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040" w:rsidRDefault="00423DBB" w:rsidP="00423DB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538031D-FFE9-4C51-BACA-44BD6055B7FF" style="width:455.25pt;height:389.25pt">
            <v:imagedata r:id="rId8" o:title=""/>
          </v:shape>
        </w:pict>
      </w:r>
    </w:p>
    <w:p w:rsidR="00443040" w:rsidRDefault="00443040" w:rsidP="00443040">
      <w:pPr>
        <w:rPr>
          <w:noProof/>
        </w:rPr>
        <w:sectPr w:rsidR="00443040" w:rsidSect="00423DBB">
          <w:footerReference w:type="even" r:id="rId9"/>
          <w:footerReference w:type="default" r:id="rId10"/>
          <w:pgSz w:w="11907" w:h="16839"/>
          <w:pgMar w:top="1134" w:right="1417" w:bottom="1134" w:left="1417" w:header="709" w:footer="709" w:gutter="0"/>
          <w:pgNumType w:start="0"/>
          <w:cols w:space="720"/>
          <w:docGrid w:linePitch="360"/>
        </w:sectPr>
      </w:pPr>
    </w:p>
    <w:p w:rsidR="00443040" w:rsidRDefault="00443040">
      <w:pPr>
        <w:pStyle w:val="Exposdesmotifstitre"/>
        <w:rPr>
          <w:noProof/>
        </w:rPr>
      </w:pPr>
      <w:bookmarkStart w:id="0" w:name="_GoBack"/>
      <w:bookmarkEnd w:id="0"/>
      <w:r w:rsidRPr="006F770D">
        <w:rPr>
          <w:noProof/>
        </w:rPr>
        <w:lastRenderedPageBreak/>
        <w:t>EXPLANATORY MEMORANDUM</w:t>
      </w:r>
    </w:p>
    <w:p w:rsidR="00443040" w:rsidRPr="006F770D" w:rsidRDefault="00443040">
      <w:pPr>
        <w:pStyle w:val="ManualHeading1"/>
        <w:rPr>
          <w:noProof/>
        </w:rPr>
      </w:pPr>
      <w:bookmarkStart w:id="1" w:name="_Toc228350737"/>
      <w:bookmarkStart w:id="2" w:name="_Toc234241689"/>
      <w:bookmarkStart w:id="3" w:name="_Toc234245478"/>
      <w:r w:rsidRPr="00C567EE">
        <w:rPr>
          <w:noProof/>
        </w:rPr>
        <w:t>1.</w:t>
      </w:r>
      <w:r w:rsidRPr="00C567EE">
        <w:rPr>
          <w:noProof/>
        </w:rPr>
        <w:tab/>
      </w:r>
      <w:r w:rsidRPr="006F770D">
        <w:rPr>
          <w:noProof/>
        </w:rPr>
        <w:t>CONTEXT OF THE PROPOSAL</w:t>
      </w:r>
      <w:bookmarkEnd w:id="1"/>
      <w:bookmarkEnd w:id="2"/>
      <w:bookmarkEnd w:id="3"/>
    </w:p>
    <w:p w:rsidR="00443040" w:rsidRPr="00D37E28" w:rsidRDefault="00443040" w:rsidP="00DE3547">
      <w:pPr>
        <w:pStyle w:val="Bullet0"/>
        <w:numPr>
          <w:ilvl w:val="0"/>
          <w:numId w:val="34"/>
        </w:numPr>
        <w:rPr>
          <w:b/>
          <w:bCs/>
          <w:noProof/>
        </w:rPr>
      </w:pPr>
      <w:bookmarkStart w:id="4" w:name="_Toc228350738"/>
      <w:bookmarkStart w:id="5" w:name="_Toc234241690"/>
      <w:bookmarkStart w:id="6" w:name="_Toc234245479"/>
      <w:r w:rsidRPr="00D37E28">
        <w:rPr>
          <w:b/>
          <w:bCs/>
          <w:noProof/>
        </w:rPr>
        <w:t>Reasons for and objectives of the proposal</w:t>
      </w:r>
      <w:bookmarkEnd w:id="4"/>
      <w:bookmarkEnd w:id="5"/>
      <w:bookmarkEnd w:id="6"/>
    </w:p>
    <w:p w:rsidR="003A2DC5" w:rsidRPr="00725495" w:rsidRDefault="003A2DC5" w:rsidP="003A2DC5">
      <w:pPr>
        <w:pBdr>
          <w:top w:val="nil"/>
          <w:left w:val="nil"/>
          <w:bottom w:val="nil"/>
          <w:right w:val="nil"/>
          <w:between w:val="nil"/>
          <w:bar w:val="nil"/>
        </w:pBdr>
        <w:spacing w:before="0" w:after="240"/>
        <w:rPr>
          <w:noProof/>
        </w:rPr>
      </w:pPr>
      <w:bookmarkStart w:id="7" w:name="_Toc228350739"/>
      <w:r w:rsidRPr="00725495">
        <w:rPr>
          <w:noProof/>
        </w:rPr>
        <w:t xml:space="preserve">The </w:t>
      </w:r>
      <w:r w:rsidR="00BF3844">
        <w:rPr>
          <w:noProof/>
        </w:rPr>
        <w:t xml:space="preserve">European </w:t>
      </w:r>
      <w:r w:rsidRPr="00725495">
        <w:rPr>
          <w:noProof/>
        </w:rPr>
        <w:t>Commission</w:t>
      </w:r>
      <w:r w:rsidR="00AA4D0D">
        <w:rPr>
          <w:noProof/>
        </w:rPr>
        <w:t xml:space="preserve"> (‘Commission’)</w:t>
      </w:r>
      <w:r w:rsidRPr="00725495">
        <w:rPr>
          <w:noProof/>
        </w:rPr>
        <w:t xml:space="preserve"> adopted the Affordable Energy </w:t>
      </w:r>
      <w:r w:rsidR="00D5623F">
        <w:rPr>
          <w:noProof/>
        </w:rPr>
        <w:t>Action Plan</w:t>
      </w:r>
      <w:r w:rsidRPr="00725495">
        <w:rPr>
          <w:noProof/>
        </w:rPr>
        <w:t xml:space="preserve"> in February 2025</w:t>
      </w:r>
      <w:r w:rsidRPr="003A2DC5">
        <w:rPr>
          <w:rStyle w:val="FootnoteReference"/>
          <w:noProof/>
        </w:rPr>
        <w:footnoteReference w:id="1"/>
      </w:r>
      <w:r w:rsidRPr="00725495">
        <w:rPr>
          <w:noProof/>
        </w:rPr>
        <w:t>, with measures aiming to decrease energy costs for citizens and businesses, most of them to be delivered in the short-term. The Action Plan examined the factors driving up energy prices</w:t>
      </w:r>
      <w:r w:rsidR="00AA4D0D">
        <w:rPr>
          <w:noProof/>
        </w:rPr>
        <w:t xml:space="preserve"> and </w:t>
      </w:r>
      <w:r w:rsidRPr="00725495">
        <w:rPr>
          <w:noProof/>
        </w:rPr>
        <w:t>identified energy supply costs and taxation as well as network and system costs as key areas to address in order to help reduce the energy bills for European consumers. The Commission followed up on this Plan with several initiatives, including Guidelines on future</w:t>
      </w:r>
      <w:r w:rsidR="00F03BA2">
        <w:rPr>
          <w:noProof/>
        </w:rPr>
        <w:t>-</w:t>
      </w:r>
      <w:r w:rsidRPr="00725495">
        <w:rPr>
          <w:noProof/>
        </w:rPr>
        <w:t>proof network charges</w:t>
      </w:r>
      <w:r w:rsidRPr="003A2DC5">
        <w:rPr>
          <w:rStyle w:val="FootnoteReference"/>
          <w:noProof/>
        </w:rPr>
        <w:footnoteReference w:id="2"/>
      </w:r>
      <w:r w:rsidRPr="00725495">
        <w:rPr>
          <w:noProof/>
        </w:rPr>
        <w:t>, the European Grids Package</w:t>
      </w:r>
      <w:r w:rsidRPr="003A2DC5">
        <w:rPr>
          <w:rStyle w:val="FootnoteReference"/>
          <w:noProof/>
        </w:rPr>
        <w:footnoteReference w:id="3"/>
      </w:r>
      <w:r w:rsidR="00AA4D0D">
        <w:rPr>
          <w:noProof/>
        </w:rPr>
        <w:t xml:space="preserve">, </w:t>
      </w:r>
      <w:r w:rsidRPr="00487462">
        <w:rPr>
          <w:noProof/>
        </w:rPr>
        <w:t>the Citizens Energy Package</w:t>
      </w:r>
      <w:r w:rsidRPr="003A2DC5">
        <w:rPr>
          <w:rStyle w:val="FootnoteReference"/>
          <w:noProof/>
        </w:rPr>
        <w:footnoteReference w:id="4"/>
      </w:r>
      <w:r w:rsidRPr="00725495">
        <w:rPr>
          <w:noProof/>
        </w:rPr>
        <w:t xml:space="preserve"> and </w:t>
      </w:r>
      <w:r w:rsidR="00D91FB3">
        <w:rPr>
          <w:noProof/>
        </w:rPr>
        <w:t>the</w:t>
      </w:r>
      <w:r w:rsidRPr="00725495">
        <w:rPr>
          <w:noProof/>
        </w:rPr>
        <w:t xml:space="preserve"> Strategic Roadmap for </w:t>
      </w:r>
      <w:r w:rsidR="00446DFA">
        <w:rPr>
          <w:noProof/>
        </w:rPr>
        <w:t>d</w:t>
      </w:r>
      <w:r w:rsidRPr="00725495">
        <w:rPr>
          <w:noProof/>
        </w:rPr>
        <w:t xml:space="preserve">igitalisation and AI in </w:t>
      </w:r>
      <w:r w:rsidR="00BB2A12">
        <w:rPr>
          <w:noProof/>
        </w:rPr>
        <w:t>the energy sector</w:t>
      </w:r>
      <w:r w:rsidR="00D91FB3">
        <w:rPr>
          <w:rStyle w:val="FootnoteReference"/>
          <w:noProof/>
        </w:rPr>
        <w:footnoteReference w:id="5"/>
      </w:r>
      <w:r w:rsidRPr="00725495">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In light of events in the Middle East, on 19 March 2026 the European Council called on the Commission to urgently present targeted</w:t>
      </w:r>
      <w:r w:rsidR="00EF29CC">
        <w:rPr>
          <w:noProof/>
        </w:rPr>
        <w:t xml:space="preserve"> </w:t>
      </w:r>
      <w:r w:rsidRPr="00725495">
        <w:rPr>
          <w:noProof/>
        </w:rPr>
        <w:t>measures</w:t>
      </w:r>
      <w:r w:rsidR="00161D74">
        <w:rPr>
          <w:noProof/>
        </w:rPr>
        <w:t xml:space="preserve"> </w:t>
      </w:r>
      <w:r w:rsidR="00EF29CC">
        <w:rPr>
          <w:noProof/>
        </w:rPr>
        <w:t xml:space="preserve">for concrete </w:t>
      </w:r>
      <w:r w:rsidR="00EF29CC" w:rsidRPr="00AA4D0D">
        <w:rPr>
          <w:noProof/>
        </w:rPr>
        <w:t>actions</w:t>
      </w:r>
      <w:r w:rsidR="00161D74" w:rsidRPr="00AA4D0D">
        <w:rPr>
          <w:noProof/>
        </w:rPr>
        <w:t xml:space="preserve"> </w:t>
      </w:r>
      <w:r w:rsidR="00161D74" w:rsidRPr="008A2E5F">
        <w:rPr>
          <w:noProof/>
        </w:rPr>
        <w:t>to lower</w:t>
      </w:r>
      <w:r w:rsidRPr="00725495">
        <w:rPr>
          <w:noProof/>
        </w:rPr>
        <w:t xml:space="preserve"> all components of electricity prices.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Commission responded with the publication of AccelerateEU</w:t>
      </w:r>
      <w:r w:rsidR="0090549F">
        <w:rPr>
          <w:rStyle w:val="FootnoteReference"/>
          <w:noProof/>
        </w:rPr>
        <w:footnoteReference w:id="6"/>
      </w:r>
      <w:r w:rsidR="00770A56">
        <w:rPr>
          <w:noProof/>
        </w:rPr>
        <w:t>, explaining</w:t>
      </w:r>
      <w:r w:rsidRPr="00725495">
        <w:rPr>
          <w:noProof/>
        </w:rPr>
        <w:t xml:space="preserve"> the need to reduce energy costs </w:t>
      </w:r>
      <w:r w:rsidR="00E4538C">
        <w:rPr>
          <w:noProof/>
        </w:rPr>
        <w:t xml:space="preserve">by </w:t>
      </w:r>
      <w:r w:rsidRPr="00725495">
        <w:rPr>
          <w:noProof/>
        </w:rPr>
        <w:t>accelerati</w:t>
      </w:r>
      <w:r w:rsidR="00E4538C">
        <w:rPr>
          <w:noProof/>
        </w:rPr>
        <w:t>ng</w:t>
      </w:r>
      <w:r w:rsidRPr="00725495">
        <w:rPr>
          <w:noProof/>
        </w:rPr>
        <w:t xml:space="preserve"> the deployment of homegrown clean energy and increas</w:t>
      </w:r>
      <w:r w:rsidR="00D536B8">
        <w:rPr>
          <w:noProof/>
        </w:rPr>
        <w:t>ing</w:t>
      </w:r>
      <w:r w:rsidR="00AC78CD">
        <w:rPr>
          <w:noProof/>
        </w:rPr>
        <w:t xml:space="preserve"> the</w:t>
      </w:r>
      <w:r w:rsidRPr="00725495">
        <w:rPr>
          <w:noProof/>
        </w:rPr>
        <w:t xml:space="preserve"> rate of electrification</w:t>
      </w:r>
      <w:r w:rsidR="00E7782F">
        <w:rPr>
          <w:noProof/>
        </w:rPr>
        <w:t>. This should be</w:t>
      </w:r>
      <w:r w:rsidRPr="00725495">
        <w:rPr>
          <w:noProof/>
        </w:rPr>
        <w:t xml:space="preserve"> combined with further upgrading the electricity system through measures </w:t>
      </w:r>
      <w:r w:rsidR="00D857C2">
        <w:rPr>
          <w:noProof/>
        </w:rPr>
        <w:t>on</w:t>
      </w:r>
      <w:r w:rsidR="00D857C2" w:rsidRPr="00725495">
        <w:rPr>
          <w:noProof/>
        </w:rPr>
        <w:t xml:space="preserve"> </w:t>
      </w:r>
      <w:r w:rsidRPr="00725495">
        <w:rPr>
          <w:noProof/>
        </w:rPr>
        <w:t xml:space="preserve">the construction of new grid infrastructure, the use of existing infrastructure and taxation.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This proposal supports the objective of AccelerateEU</w:t>
      </w:r>
      <w:r w:rsidR="0090549F">
        <w:rPr>
          <w:noProof/>
        </w:rPr>
        <w:t xml:space="preserve"> </w:t>
      </w:r>
      <w:r w:rsidRPr="00725495">
        <w:rPr>
          <w:noProof/>
        </w:rPr>
        <w:t xml:space="preserve">by improving the design of network charges </w:t>
      </w:r>
      <w:r w:rsidR="00536D65" w:rsidRPr="00725495">
        <w:rPr>
          <w:noProof/>
        </w:rPr>
        <w:t>to</w:t>
      </w:r>
      <w:r w:rsidRPr="00725495">
        <w:rPr>
          <w:noProof/>
        </w:rPr>
        <w:t xml:space="preserve"> ensure </w:t>
      </w:r>
      <w:r w:rsidR="00536D65">
        <w:rPr>
          <w:noProof/>
        </w:rPr>
        <w:t xml:space="preserve">the </w:t>
      </w:r>
      <w:r w:rsidRPr="00725495">
        <w:rPr>
          <w:noProof/>
        </w:rPr>
        <w:t>cost</w:t>
      </w:r>
      <w:r w:rsidR="001E0C8B">
        <w:rPr>
          <w:noProof/>
        </w:rPr>
        <w:t xml:space="preserve"> </w:t>
      </w:r>
      <w:r w:rsidRPr="00725495">
        <w:rPr>
          <w:noProof/>
        </w:rPr>
        <w:t xml:space="preserve">efficiency of transmission and distribution networks and incentivise both system operators and </w:t>
      </w:r>
      <w:r w:rsidR="00AA4D0D">
        <w:rPr>
          <w:noProof/>
        </w:rPr>
        <w:t>system</w:t>
      </w:r>
      <w:r w:rsidRPr="00725495">
        <w:rPr>
          <w:noProof/>
        </w:rPr>
        <w:t xml:space="preserve"> users to </w:t>
      </w:r>
      <w:r w:rsidR="009148D0">
        <w:rPr>
          <w:noProof/>
        </w:rPr>
        <w:t xml:space="preserve">make </w:t>
      </w:r>
      <w:r w:rsidRPr="00725495">
        <w:rPr>
          <w:noProof/>
        </w:rPr>
        <w:t xml:space="preserve">better use </w:t>
      </w:r>
      <w:r w:rsidR="009148D0">
        <w:rPr>
          <w:noProof/>
        </w:rPr>
        <w:t xml:space="preserve">of </w:t>
      </w:r>
      <w:r w:rsidRPr="00725495">
        <w:rPr>
          <w:noProof/>
        </w:rPr>
        <w:t xml:space="preserve">the existing infrastructure. </w:t>
      </w:r>
      <w:r w:rsidR="006D3E2A">
        <w:rPr>
          <w:noProof/>
        </w:rPr>
        <w:t>In addition, it introduces</w:t>
      </w:r>
      <w:r w:rsidRPr="00725495">
        <w:rPr>
          <w:noProof/>
        </w:rPr>
        <w:t xml:space="preserve"> taxation</w:t>
      </w:r>
      <w:r w:rsidR="006D3E2A">
        <w:rPr>
          <w:noProof/>
        </w:rPr>
        <w:t xml:space="preserve"> measures</w:t>
      </w:r>
      <w:r w:rsidRPr="00725495">
        <w:rPr>
          <w:noProof/>
        </w:rPr>
        <w:t xml:space="preserve">, </w:t>
      </w:r>
      <w:r w:rsidR="009B70C3">
        <w:rPr>
          <w:noProof/>
        </w:rPr>
        <w:t>to ensure,</w:t>
      </w:r>
      <w:r w:rsidRPr="00725495">
        <w:rPr>
          <w:noProof/>
        </w:rPr>
        <w:t xml:space="preserve"> among </w:t>
      </w:r>
      <w:r w:rsidR="00F24F82">
        <w:rPr>
          <w:noProof/>
        </w:rPr>
        <w:t>other</w:t>
      </w:r>
      <w:r w:rsidR="00AA4D0D">
        <w:rPr>
          <w:noProof/>
        </w:rPr>
        <w:t xml:space="preserve"> </w:t>
      </w:r>
      <w:r w:rsidR="00F70282" w:rsidRPr="00AA4D0D">
        <w:rPr>
          <w:noProof/>
        </w:rPr>
        <w:t>goals</w:t>
      </w:r>
      <w:r w:rsidR="00BF0C7F" w:rsidRPr="00AA4D0D">
        <w:rPr>
          <w:noProof/>
        </w:rPr>
        <w:t xml:space="preserve"> that</w:t>
      </w:r>
      <w:r w:rsidRPr="00725495">
        <w:rPr>
          <w:noProof/>
        </w:rPr>
        <w:t xml:space="preserve"> electricity is taxed less than </w:t>
      </w:r>
      <w:r w:rsidR="0090549F">
        <w:rPr>
          <w:noProof/>
        </w:rPr>
        <w:t xml:space="preserve">natural </w:t>
      </w:r>
      <w:r w:rsidRPr="00725495">
        <w:rPr>
          <w:noProof/>
        </w:rPr>
        <w:t>gas.</w:t>
      </w:r>
      <w:r w:rsidR="00A7030E">
        <w:rPr>
          <w:noProof/>
        </w:rPr>
        <w:t xml:space="preserve"> </w:t>
      </w:r>
      <w:r w:rsidR="4890EB5F" w:rsidRPr="001B4B87">
        <w:rPr>
          <w:noProof/>
        </w:rPr>
        <w:t xml:space="preserve">The </w:t>
      </w:r>
      <w:r w:rsidR="376FF5C8" w:rsidRPr="001B4B87">
        <w:rPr>
          <w:noProof/>
        </w:rPr>
        <w:t>p</w:t>
      </w:r>
      <w:r w:rsidR="00A7030E" w:rsidRPr="001B4B87">
        <w:rPr>
          <w:noProof/>
        </w:rPr>
        <w:t>roposal also</w:t>
      </w:r>
      <w:r w:rsidR="00807E2B" w:rsidRPr="001B4B87">
        <w:rPr>
          <w:noProof/>
        </w:rPr>
        <w:t xml:space="preserve"> clarifies</w:t>
      </w:r>
      <w:r w:rsidR="005224A1" w:rsidRPr="001B4B87">
        <w:rPr>
          <w:noProof/>
        </w:rPr>
        <w:t xml:space="preserve"> </w:t>
      </w:r>
      <w:r w:rsidR="019A7217" w:rsidRPr="001B4B87">
        <w:rPr>
          <w:noProof/>
        </w:rPr>
        <w:t>the</w:t>
      </w:r>
      <w:r w:rsidR="005224A1" w:rsidRPr="001B4B87">
        <w:rPr>
          <w:noProof/>
        </w:rPr>
        <w:t xml:space="preserve"> role of </w:t>
      </w:r>
      <w:r w:rsidR="00FE1AB6" w:rsidRPr="001B4B87">
        <w:rPr>
          <w:noProof/>
        </w:rPr>
        <w:t>national</w:t>
      </w:r>
      <w:r w:rsidR="005224A1" w:rsidRPr="001B4B87">
        <w:rPr>
          <w:noProof/>
        </w:rPr>
        <w:t xml:space="preserve"> regulatory authorities when it</w:t>
      </w:r>
      <w:r w:rsidR="002F18DC" w:rsidRPr="001B4B87">
        <w:rPr>
          <w:noProof/>
        </w:rPr>
        <w:t xml:space="preserve"> comes to ensuring efficient</w:t>
      </w:r>
      <w:r w:rsidR="004835AD" w:rsidRPr="001B4B87">
        <w:rPr>
          <w:noProof/>
        </w:rPr>
        <w:t xml:space="preserve">, transparent and non-discriminatory access to </w:t>
      </w:r>
      <w:r w:rsidR="00603DDE" w:rsidRPr="001B4B87">
        <w:rPr>
          <w:noProof/>
        </w:rPr>
        <w:t>transmission and distribution networks</w:t>
      </w:r>
      <w:r w:rsidR="00603DDE" w:rsidRPr="001B4B87">
        <w:rPr>
          <w:rStyle w:val="FootnoteReference"/>
          <w:noProof/>
        </w:rPr>
        <w:footnoteReference w:id="7"/>
      </w:r>
      <w:r w:rsidR="00603DDE" w:rsidRPr="001B4B87">
        <w:rPr>
          <w:noProof/>
        </w:rPr>
        <w:t>, including in situation</w:t>
      </w:r>
      <w:r w:rsidR="004914FB" w:rsidRPr="001B4B87">
        <w:rPr>
          <w:noProof/>
        </w:rPr>
        <w:t>s</w:t>
      </w:r>
      <w:r w:rsidR="00603DDE" w:rsidRPr="001B4B87">
        <w:rPr>
          <w:noProof/>
        </w:rPr>
        <w:t xml:space="preserve"> of grid congestion which may require </w:t>
      </w:r>
      <w:r w:rsidR="004914FB" w:rsidRPr="001B4B87">
        <w:rPr>
          <w:noProof/>
        </w:rPr>
        <w:t xml:space="preserve">the </w:t>
      </w:r>
      <w:r w:rsidR="00603DDE" w:rsidRPr="001B4B87">
        <w:rPr>
          <w:noProof/>
        </w:rPr>
        <w:t xml:space="preserve">application of </w:t>
      </w:r>
      <w:r w:rsidR="00D00170" w:rsidRPr="001B4B87">
        <w:rPr>
          <w:noProof/>
        </w:rPr>
        <w:t>measures ensuring maturity and  progress of grid connection requests, as well as</w:t>
      </w:r>
      <w:r w:rsidR="00D37354" w:rsidRPr="001B4B87">
        <w:rPr>
          <w:noProof/>
        </w:rPr>
        <w:t xml:space="preserve"> setting out</w:t>
      </w:r>
      <w:r w:rsidR="00D00170" w:rsidRPr="001B4B87">
        <w:rPr>
          <w:noProof/>
        </w:rPr>
        <w:t xml:space="preserve"> </w:t>
      </w:r>
      <w:r w:rsidR="00603DDE" w:rsidRPr="001B4B87">
        <w:rPr>
          <w:noProof/>
        </w:rPr>
        <w:t xml:space="preserve">prioritisation </w:t>
      </w:r>
      <w:r w:rsidR="00D00170" w:rsidRPr="001B4B87">
        <w:rPr>
          <w:noProof/>
        </w:rPr>
        <w:t>conditions</w:t>
      </w:r>
      <w:r w:rsidR="00603DDE" w:rsidRPr="001B4B87">
        <w:rPr>
          <w:noProof/>
        </w:rPr>
        <w:t>.</w:t>
      </w:r>
    </w:p>
    <w:p w:rsidR="003A2DC5" w:rsidRPr="008A2E5F" w:rsidRDefault="003A2DC5" w:rsidP="003A2DC5">
      <w:pPr>
        <w:pBdr>
          <w:top w:val="nil"/>
          <w:left w:val="nil"/>
          <w:bottom w:val="nil"/>
          <w:right w:val="nil"/>
          <w:between w:val="nil"/>
          <w:bar w:val="nil"/>
        </w:pBdr>
        <w:spacing w:before="0" w:after="240"/>
        <w:rPr>
          <w:i/>
          <w:noProof/>
        </w:rPr>
      </w:pPr>
      <w:r w:rsidRPr="008A2E5F">
        <w:rPr>
          <w:i/>
          <w:noProof/>
        </w:rPr>
        <w:t>Network charges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common electricity market is </w:t>
      </w:r>
      <w:r w:rsidR="00A922CE">
        <w:rPr>
          <w:noProof/>
        </w:rPr>
        <w:t xml:space="preserve">one of the </w:t>
      </w:r>
      <w:r w:rsidRPr="00725495">
        <w:rPr>
          <w:noProof/>
        </w:rPr>
        <w:t>cornerstone</w:t>
      </w:r>
      <w:r w:rsidR="00A922CE">
        <w:rPr>
          <w:noProof/>
        </w:rPr>
        <w:t>s</w:t>
      </w:r>
      <w:r w:rsidRPr="00725495">
        <w:rPr>
          <w:noProof/>
        </w:rPr>
        <w:t xml:space="preserve"> for competitiveness and prosperity </w:t>
      </w:r>
      <w:r w:rsidR="009A005E">
        <w:rPr>
          <w:noProof/>
        </w:rPr>
        <w:t>in</w:t>
      </w:r>
      <w:r w:rsidRPr="00725495">
        <w:rPr>
          <w:noProof/>
        </w:rPr>
        <w:t xml:space="preserve"> our Union. The </w:t>
      </w:r>
      <w:r w:rsidR="00F45BD7">
        <w:rPr>
          <w:noProof/>
        </w:rPr>
        <w:t>Union</w:t>
      </w:r>
      <w:r w:rsidRPr="00725495">
        <w:rPr>
          <w:noProof/>
        </w:rPr>
        <w:t xml:space="preserve"> is dedicated to pursuing decarbonisation while </w:t>
      </w:r>
      <w:r w:rsidR="00683CF8">
        <w:rPr>
          <w:noProof/>
        </w:rPr>
        <w:t>increasing</w:t>
      </w:r>
      <w:r w:rsidR="00683CF8" w:rsidRPr="00725495">
        <w:rPr>
          <w:noProof/>
        </w:rPr>
        <w:t xml:space="preserve"> </w:t>
      </w:r>
      <w:r w:rsidRPr="00725495">
        <w:rPr>
          <w:noProof/>
        </w:rPr>
        <w:t>energy affordability and security. This is pivotal for the competitiveness of European industries, as outlined in the Clean Industrial Deal</w:t>
      </w:r>
      <w:r w:rsidR="0090549F">
        <w:rPr>
          <w:rStyle w:val="FootnoteReference"/>
          <w:noProof/>
        </w:rPr>
        <w:footnoteReference w:id="8"/>
      </w:r>
      <w:r w:rsidRPr="00725495">
        <w:rPr>
          <w:noProof/>
        </w:rPr>
        <w:t>, which also addresses the need to support strategic autonomy</w:t>
      </w:r>
      <w:r w:rsidRPr="00AA4D0D">
        <w:rPr>
          <w:noProof/>
        </w:rPr>
        <w:t xml:space="preserve">, secure vital supply chains and maintain economic prosperity. However, in recent years, </w:t>
      </w:r>
      <w:r w:rsidR="00BF0C7F" w:rsidRPr="00AA4D0D">
        <w:rPr>
          <w:noProof/>
        </w:rPr>
        <w:t xml:space="preserve">and over two crises, </w:t>
      </w:r>
      <w:r w:rsidRPr="00AA4D0D">
        <w:rPr>
          <w:noProof/>
        </w:rPr>
        <w:t xml:space="preserve">the Union has been facing rising energy costs, which puts </w:t>
      </w:r>
      <w:r w:rsidR="00BF0C7F" w:rsidRPr="00AA4D0D">
        <w:rPr>
          <w:noProof/>
        </w:rPr>
        <w:t xml:space="preserve">our </w:t>
      </w:r>
      <w:r w:rsidRPr="00AA4D0D">
        <w:rPr>
          <w:noProof/>
        </w:rPr>
        <w:t>competitiveness at risk.</w:t>
      </w:r>
      <w:r w:rsidRPr="00725495">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487462">
        <w:rPr>
          <w:noProof/>
        </w:rPr>
        <w:lastRenderedPageBreak/>
        <w:t xml:space="preserve">The European electricity network is the most interconnected in the world and a fundamental pillar of the </w:t>
      </w:r>
      <w:r w:rsidRPr="00F27B41">
        <w:rPr>
          <w:noProof/>
        </w:rPr>
        <w:t xml:space="preserve">European electricity market. Rising electricity demand, </w:t>
      </w:r>
      <w:r w:rsidR="00F73C82" w:rsidRPr="00F27B41">
        <w:rPr>
          <w:noProof/>
        </w:rPr>
        <w:t xml:space="preserve">the </w:t>
      </w:r>
      <w:r w:rsidRPr="00F27B41">
        <w:rPr>
          <w:noProof/>
        </w:rPr>
        <w:t xml:space="preserve">increasing electrification of end uses, </w:t>
      </w:r>
      <w:r w:rsidR="00811913" w:rsidRPr="00F27B41">
        <w:rPr>
          <w:noProof/>
        </w:rPr>
        <w:t>the decentralisation of electricity production</w:t>
      </w:r>
      <w:r w:rsidRPr="00F27B41">
        <w:rPr>
          <w:noProof/>
        </w:rPr>
        <w:t xml:space="preserve"> and the accelerated deployment of renewables will require significant investment in modernising and expanding the electricity network</w:t>
      </w:r>
      <w:r w:rsidR="004F08F6" w:rsidRPr="00F27B41">
        <w:rPr>
          <w:noProof/>
        </w:rPr>
        <w:t>,</w:t>
      </w:r>
      <w:r w:rsidRPr="00F27B41">
        <w:rPr>
          <w:noProof/>
        </w:rPr>
        <w:t xml:space="preserve"> and </w:t>
      </w:r>
      <w:r w:rsidR="004F08F6" w:rsidRPr="00F27B41">
        <w:rPr>
          <w:noProof/>
        </w:rPr>
        <w:t xml:space="preserve">the </w:t>
      </w:r>
      <w:r w:rsidRPr="00F27B41">
        <w:rPr>
          <w:noProof/>
        </w:rPr>
        <w:t xml:space="preserve">optimisation of the way electricity grids are designed and operated. </w:t>
      </w:r>
      <w:r w:rsidR="00E11E04" w:rsidRPr="00F27B41">
        <w:rPr>
          <w:noProof/>
        </w:rPr>
        <w:t>At times</w:t>
      </w:r>
      <w:r w:rsidRPr="00F27B41">
        <w:rPr>
          <w:noProof/>
        </w:rPr>
        <w:t xml:space="preserve"> where a lot of electricity is generated by renewables, low or negative electricity prices – which have </w:t>
      </w:r>
      <w:r w:rsidR="00427E83" w:rsidRPr="00F27B41">
        <w:rPr>
          <w:noProof/>
        </w:rPr>
        <w:t xml:space="preserve">become more regular </w:t>
      </w:r>
      <w:r w:rsidRPr="00F27B41">
        <w:rPr>
          <w:noProof/>
        </w:rPr>
        <w:t xml:space="preserve">over </w:t>
      </w:r>
      <w:r w:rsidR="003976AB" w:rsidRPr="00F27B41">
        <w:rPr>
          <w:noProof/>
        </w:rPr>
        <w:t>recent</w:t>
      </w:r>
      <w:r w:rsidRPr="00F27B41">
        <w:rPr>
          <w:noProof/>
        </w:rPr>
        <w:t xml:space="preserve"> years</w:t>
      </w:r>
      <w:r w:rsidRPr="00F27B41">
        <w:rPr>
          <w:rStyle w:val="FootnoteReference"/>
          <w:noProof/>
        </w:rPr>
        <w:footnoteReference w:id="9"/>
      </w:r>
      <w:r w:rsidRPr="00F27B41">
        <w:rPr>
          <w:noProof/>
        </w:rPr>
        <w:t xml:space="preserve"> – reflect the need for the system to be more flexible.</w:t>
      </w:r>
      <w:r w:rsidRPr="00725495">
        <w:rPr>
          <w:noProof/>
        </w:rPr>
        <w:t xml:space="preserve"> This is crucial to exploit the potential of renewables sources and </w:t>
      </w:r>
      <w:r w:rsidRPr="00F27B41">
        <w:rPr>
          <w:noProof/>
        </w:rPr>
        <w:t xml:space="preserve">avoid </w:t>
      </w:r>
      <w:r w:rsidR="009F05D3" w:rsidRPr="00F27B41">
        <w:rPr>
          <w:noProof/>
        </w:rPr>
        <w:t>cost-inefficient</w:t>
      </w:r>
      <w:r w:rsidRPr="00F27B41">
        <w:rPr>
          <w:noProof/>
        </w:rPr>
        <w:t xml:space="preserve"> curtailment</w:t>
      </w:r>
      <w:r w:rsidRPr="00725495">
        <w:rPr>
          <w:noProof/>
        </w:rPr>
        <w:t xml:space="preserve">, </w:t>
      </w:r>
      <w:r w:rsidR="00C81B08">
        <w:rPr>
          <w:noProof/>
        </w:rPr>
        <w:t xml:space="preserve">while </w:t>
      </w:r>
      <w:r w:rsidRPr="00725495">
        <w:rPr>
          <w:noProof/>
        </w:rPr>
        <w:t>incentivis</w:t>
      </w:r>
      <w:r w:rsidR="00C81B08">
        <w:rPr>
          <w:noProof/>
        </w:rPr>
        <w:t>ing</w:t>
      </w:r>
      <w:r w:rsidRPr="00725495">
        <w:rPr>
          <w:noProof/>
        </w:rPr>
        <w:t xml:space="preserve"> consumption at times and locations </w:t>
      </w:r>
      <w:r w:rsidR="00E52B66">
        <w:rPr>
          <w:noProof/>
        </w:rPr>
        <w:t>in which</w:t>
      </w:r>
      <w:r w:rsidRPr="00725495">
        <w:rPr>
          <w:noProof/>
        </w:rPr>
        <w:t xml:space="preserve"> the cheapest energy sources are available and the costs for the operation of the system are minimised.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electricity system</w:t>
      </w:r>
      <w:r w:rsidR="00873D15">
        <w:rPr>
          <w:noProof/>
        </w:rPr>
        <w:t>’s costs</w:t>
      </w:r>
      <w:r w:rsidRPr="00725495">
        <w:rPr>
          <w:noProof/>
        </w:rPr>
        <w:t xml:space="preserve"> are covered by network charges. They finance the physical upgrade of grids</w:t>
      </w:r>
      <w:r w:rsidR="00831D1A">
        <w:rPr>
          <w:noProof/>
        </w:rPr>
        <w:t>,</w:t>
      </w:r>
      <w:r w:rsidRPr="00725495">
        <w:rPr>
          <w:noProof/>
        </w:rPr>
        <w:t xml:space="preserve"> the </w:t>
      </w:r>
      <w:r w:rsidR="00831D1A">
        <w:rPr>
          <w:noProof/>
        </w:rPr>
        <w:t>maintenance</w:t>
      </w:r>
      <w:r w:rsidRPr="00725495">
        <w:rPr>
          <w:noProof/>
        </w:rPr>
        <w:t xml:space="preserve"> and the operation of the system. This is essential </w:t>
      </w:r>
      <w:r w:rsidR="008A582B">
        <w:rPr>
          <w:noProof/>
        </w:rPr>
        <w:t>for</w:t>
      </w:r>
      <w:r w:rsidRPr="00725495">
        <w:rPr>
          <w:noProof/>
        </w:rPr>
        <w:t xml:space="preserve"> the deployment of renewables, electrification and new industrial and business demand. Network charges have</w:t>
      </w:r>
      <w:r w:rsidR="0013298B">
        <w:rPr>
          <w:noProof/>
        </w:rPr>
        <w:t>,</w:t>
      </w:r>
      <w:r w:rsidRPr="00725495">
        <w:rPr>
          <w:noProof/>
        </w:rPr>
        <w:t xml:space="preserve"> in recent years</w:t>
      </w:r>
      <w:r w:rsidR="0013298B">
        <w:rPr>
          <w:noProof/>
        </w:rPr>
        <w:t>,</w:t>
      </w:r>
      <w:r w:rsidRPr="00725495">
        <w:rPr>
          <w:noProof/>
        </w:rPr>
        <w:t xml:space="preserve"> represented</w:t>
      </w:r>
      <w:r w:rsidR="00F27B41">
        <w:rPr>
          <w:noProof/>
        </w:rPr>
        <w:t>,</w:t>
      </w:r>
      <w:r w:rsidRPr="00725495">
        <w:rPr>
          <w:noProof/>
        </w:rPr>
        <w:t xml:space="preserve"> on average</w:t>
      </w:r>
      <w:r w:rsidR="00F27B41">
        <w:rPr>
          <w:noProof/>
        </w:rPr>
        <w:t>,</w:t>
      </w:r>
      <w:r w:rsidRPr="00725495">
        <w:rPr>
          <w:noProof/>
        </w:rPr>
        <w:t xml:space="preserve"> between 24</w:t>
      </w:r>
      <w:r w:rsidR="00F27B41">
        <w:rPr>
          <w:noProof/>
        </w:rPr>
        <w:t xml:space="preserve"> and </w:t>
      </w:r>
      <w:r w:rsidRPr="00725495">
        <w:rPr>
          <w:noProof/>
        </w:rPr>
        <w:t>29%</w:t>
      </w:r>
      <w:r w:rsidRPr="003A2DC5">
        <w:rPr>
          <w:rStyle w:val="FootnoteReference"/>
          <w:noProof/>
        </w:rPr>
        <w:footnoteReference w:id="10"/>
      </w:r>
      <w:r w:rsidRPr="00725495">
        <w:rPr>
          <w:noProof/>
        </w:rPr>
        <w:t xml:space="preserve"> of the electricity bill for households (with the other main factors being the </w:t>
      </w:r>
      <w:r w:rsidRPr="00F27B41">
        <w:rPr>
          <w:noProof/>
        </w:rPr>
        <w:t xml:space="preserve">price of the </w:t>
      </w:r>
      <w:r w:rsidR="003976AB" w:rsidRPr="00F27B41">
        <w:rPr>
          <w:noProof/>
        </w:rPr>
        <w:t xml:space="preserve">energy </w:t>
      </w:r>
      <w:r w:rsidRPr="00F27B41">
        <w:rPr>
          <w:noProof/>
        </w:rPr>
        <w:t xml:space="preserve">commodity, taxes and levies and carbon costs). While the energy component </w:t>
      </w:r>
      <w:r w:rsidR="00C85619" w:rsidRPr="00F27B41">
        <w:rPr>
          <w:noProof/>
        </w:rPr>
        <w:t>of the electricity price</w:t>
      </w:r>
      <w:r w:rsidRPr="00F27B41">
        <w:rPr>
          <w:noProof/>
        </w:rPr>
        <w:t xml:space="preserve"> is expected to decrease, grid costs are expected to become an even larger item on electricity bills. </w:t>
      </w:r>
      <w:r w:rsidR="0027359C" w:rsidRPr="00F27B41">
        <w:rPr>
          <w:noProof/>
        </w:rPr>
        <w:t>The European Union Agency for the Cooperation of Energy Regulators</w:t>
      </w:r>
      <w:r w:rsidR="0027359C" w:rsidRPr="00725495">
        <w:rPr>
          <w:noProof/>
        </w:rPr>
        <w:t xml:space="preserve"> </w:t>
      </w:r>
      <w:r w:rsidR="0027359C">
        <w:rPr>
          <w:noProof/>
        </w:rPr>
        <w:t>(</w:t>
      </w:r>
      <w:r w:rsidRPr="00725495">
        <w:rPr>
          <w:noProof/>
        </w:rPr>
        <w:t>ACER</w:t>
      </w:r>
      <w:r w:rsidR="0027359C">
        <w:rPr>
          <w:noProof/>
        </w:rPr>
        <w:t>)</w:t>
      </w:r>
      <w:r w:rsidRPr="00725495">
        <w:rPr>
          <w:noProof/>
        </w:rPr>
        <w:t xml:space="preserve"> estimates that to build a decarbonised EU energy system, investments of an unprecedented </w:t>
      </w:r>
      <w:r w:rsidR="00302188">
        <w:rPr>
          <w:noProof/>
        </w:rPr>
        <w:t xml:space="preserve">level </w:t>
      </w:r>
      <w:r w:rsidRPr="00725495">
        <w:rPr>
          <w:noProof/>
        </w:rPr>
        <w:t>will be needed in the electricity transmission and distribution grids</w:t>
      </w:r>
      <w:r w:rsidR="007E5EC6" w:rsidRPr="003A2DC5">
        <w:rPr>
          <w:rStyle w:val="FootnoteReference"/>
          <w:noProof/>
        </w:rPr>
        <w:footnoteReference w:id="11"/>
      </w:r>
      <w:r w:rsidR="00E67A14">
        <w:rPr>
          <w:noProof/>
        </w:rPr>
        <w:t xml:space="preserve">. </w:t>
      </w:r>
      <w:r w:rsidR="00CE6D9A">
        <w:rPr>
          <w:noProof/>
        </w:rPr>
        <w:t>This would</w:t>
      </w:r>
      <w:r w:rsidR="000B5CFA">
        <w:rPr>
          <w:noProof/>
        </w:rPr>
        <w:t xml:space="preserve"> </w:t>
      </w:r>
      <w:r w:rsidRPr="00725495">
        <w:rPr>
          <w:noProof/>
        </w:rPr>
        <w:t>doubl</w:t>
      </w:r>
      <w:r w:rsidR="00CE6D9A">
        <w:rPr>
          <w:noProof/>
        </w:rPr>
        <w:t>e</w:t>
      </w:r>
      <w:r w:rsidRPr="00725495">
        <w:rPr>
          <w:noProof/>
        </w:rPr>
        <w:t xml:space="preserve"> and even tripl</w:t>
      </w:r>
      <w:r w:rsidR="00A95C76">
        <w:rPr>
          <w:noProof/>
        </w:rPr>
        <w:t>e</w:t>
      </w:r>
      <w:r w:rsidRPr="00725495">
        <w:rPr>
          <w:noProof/>
        </w:rPr>
        <w:t xml:space="preserve"> </w:t>
      </w:r>
      <w:r w:rsidR="00A04251">
        <w:rPr>
          <w:noProof/>
        </w:rPr>
        <w:t xml:space="preserve">the </w:t>
      </w:r>
      <w:r w:rsidRPr="00725495">
        <w:rPr>
          <w:noProof/>
        </w:rPr>
        <w:t>annual investment rates of the past decades</w:t>
      </w:r>
      <w:r w:rsidR="00F27B41">
        <w:rPr>
          <w:noProof/>
        </w:rPr>
        <w:t>.</w:t>
      </w:r>
      <w:r w:rsidRPr="00487462">
        <w:rPr>
          <w:noProof/>
        </w:rPr>
        <w:t xml:space="preserve"> Rising system costs may lead to </w:t>
      </w:r>
      <w:r w:rsidR="009E5D0A">
        <w:rPr>
          <w:noProof/>
        </w:rPr>
        <w:t xml:space="preserve">a </w:t>
      </w:r>
      <w:r w:rsidRPr="00487462">
        <w:rPr>
          <w:noProof/>
        </w:rPr>
        <w:t xml:space="preserve">significant increase </w:t>
      </w:r>
      <w:r w:rsidR="006C7B17">
        <w:rPr>
          <w:noProof/>
        </w:rPr>
        <w:t>in</w:t>
      </w:r>
      <w:r w:rsidRPr="00487462">
        <w:rPr>
          <w:noProof/>
        </w:rPr>
        <w:t xml:space="preserve"> total grid costs over time</w:t>
      </w:r>
      <w:r w:rsidR="00550818">
        <w:rPr>
          <w:noProof/>
        </w:rPr>
        <w:t xml:space="preserve"> of up to</w:t>
      </w:r>
      <w:r w:rsidRPr="00487462">
        <w:rPr>
          <w:noProof/>
        </w:rPr>
        <w:t xml:space="preserve"> by 60% by 2050 compared to 2022</w:t>
      </w:r>
      <w:r w:rsidR="00550818">
        <w:rPr>
          <w:noProof/>
        </w:rPr>
        <w:t>.</w:t>
      </w:r>
      <w:r w:rsidRPr="00725495">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487462">
        <w:rPr>
          <w:noProof/>
        </w:rPr>
        <w:t xml:space="preserve">Making the best use of </w:t>
      </w:r>
      <w:r w:rsidR="009665BC">
        <w:rPr>
          <w:noProof/>
        </w:rPr>
        <w:t xml:space="preserve">the </w:t>
      </w:r>
      <w:r w:rsidRPr="00487462">
        <w:rPr>
          <w:noProof/>
        </w:rPr>
        <w:t>existing grid infrastructure, and a smart and efficient design of network charges</w:t>
      </w:r>
      <w:r w:rsidR="00A93E8B">
        <w:rPr>
          <w:noProof/>
        </w:rPr>
        <w:t>,</w:t>
      </w:r>
      <w:r w:rsidRPr="00487462">
        <w:rPr>
          <w:noProof/>
        </w:rPr>
        <w:t xml:space="preserve"> will be instrumental in increasing the </w:t>
      </w:r>
      <w:r w:rsidRPr="00F27B41">
        <w:rPr>
          <w:noProof/>
        </w:rPr>
        <w:t xml:space="preserve">infrastructure’s efficiency </w:t>
      </w:r>
      <w:r w:rsidR="00F27B41" w:rsidRPr="00F27B41">
        <w:rPr>
          <w:noProof/>
        </w:rPr>
        <w:t>and optimising</w:t>
      </w:r>
      <w:r w:rsidRPr="00F27B41">
        <w:rPr>
          <w:noProof/>
        </w:rPr>
        <w:t xml:space="preserve"> overall system costs. </w:t>
      </w:r>
      <w:r w:rsidR="00497001" w:rsidRPr="00F27B41">
        <w:rPr>
          <w:noProof/>
        </w:rPr>
        <w:t>In particular</w:t>
      </w:r>
      <w:r w:rsidRPr="00F27B41">
        <w:rPr>
          <w:noProof/>
        </w:rPr>
        <w:t xml:space="preserve">, network charges that incentivise system efficiencies can reduce overall system </w:t>
      </w:r>
      <w:r w:rsidR="00D41591" w:rsidRPr="00F27B41">
        <w:rPr>
          <w:noProof/>
        </w:rPr>
        <w:t xml:space="preserve">operating costs </w:t>
      </w:r>
      <w:r w:rsidRPr="00F27B41">
        <w:rPr>
          <w:noProof/>
        </w:rPr>
        <w:t xml:space="preserve">and the network charges component of the energy bill, for example by decreasing re-dispatching needs and costs, </w:t>
      </w:r>
      <w:r w:rsidR="003976AB" w:rsidRPr="00F27B41">
        <w:rPr>
          <w:noProof/>
        </w:rPr>
        <w:t xml:space="preserve">or by </w:t>
      </w:r>
      <w:r w:rsidRPr="00F27B41">
        <w:rPr>
          <w:noProof/>
        </w:rPr>
        <w:t>lowering peak demand and thereby grid investment needs</w:t>
      </w:r>
      <w:r w:rsidRPr="00F27B41">
        <w:rPr>
          <w:rStyle w:val="FootnoteReference"/>
          <w:noProof/>
        </w:rPr>
        <w:footnoteReference w:id="12"/>
      </w:r>
      <w:r w:rsidR="00CC5B61" w:rsidRPr="00F27B41">
        <w:rPr>
          <w:noProof/>
        </w:rPr>
        <w:t>.</w:t>
      </w:r>
      <w:r w:rsidRPr="00725495">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Therefore, it is important to ensure that network charges incentivise system operators </w:t>
      </w:r>
      <w:r w:rsidR="00F27B41" w:rsidRPr="00725495">
        <w:rPr>
          <w:noProof/>
        </w:rPr>
        <w:t xml:space="preserve">to </w:t>
      </w:r>
      <w:r w:rsidR="00F27B41">
        <w:rPr>
          <w:noProof/>
        </w:rPr>
        <w:t>operate</w:t>
      </w:r>
      <w:r w:rsidR="003E4491">
        <w:rPr>
          <w:noProof/>
        </w:rPr>
        <w:t xml:space="preserve"> </w:t>
      </w:r>
      <w:r w:rsidRPr="00725495">
        <w:rPr>
          <w:noProof/>
        </w:rPr>
        <w:t>the grid</w:t>
      </w:r>
      <w:r w:rsidR="003E4491">
        <w:rPr>
          <w:noProof/>
        </w:rPr>
        <w:t xml:space="preserve"> efficiently</w:t>
      </w:r>
      <w:r w:rsidRPr="00725495">
        <w:rPr>
          <w:noProof/>
        </w:rPr>
        <w:t xml:space="preserve">, to use flexibility and to develop </w:t>
      </w:r>
      <w:r w:rsidR="0044498A">
        <w:rPr>
          <w:noProof/>
        </w:rPr>
        <w:t>smart electricity grids</w:t>
      </w:r>
      <w:r w:rsidRPr="00725495">
        <w:rPr>
          <w:noProof/>
        </w:rPr>
        <w:t xml:space="preserve"> and use non-wire solutions like grid-enhancing technologies, while maintaining the incentive to invest in the grid and ensuring a level playing field. </w:t>
      </w:r>
      <w:r w:rsidR="00A106DB">
        <w:rPr>
          <w:noProof/>
        </w:rPr>
        <w:t>Grid u</w:t>
      </w:r>
      <w:r w:rsidRPr="00725495">
        <w:rPr>
          <w:noProof/>
        </w:rPr>
        <w:t xml:space="preserve">sers should be incentivised to behave in a system-friendly way, adjusting their energy use or shifting it towards times and places </w:t>
      </w:r>
      <w:r w:rsidR="00935E6E">
        <w:rPr>
          <w:noProof/>
        </w:rPr>
        <w:t>in which</w:t>
      </w:r>
      <w:r w:rsidRPr="00725495">
        <w:rPr>
          <w:noProof/>
        </w:rPr>
        <w:t xml:space="preserve"> the cheapest energy sources are available and when it is the most cost efficient for the overall system. </w:t>
      </w:r>
      <w:r w:rsidR="000447AC">
        <w:rPr>
          <w:noProof/>
        </w:rPr>
        <w:t xml:space="preserve">To achieve this, </w:t>
      </w:r>
      <w:r w:rsidR="0092180F">
        <w:rPr>
          <w:noProof/>
        </w:rPr>
        <w:t xml:space="preserve">the </w:t>
      </w:r>
      <w:r w:rsidRPr="00725495">
        <w:rPr>
          <w:noProof/>
        </w:rPr>
        <w:t xml:space="preserve">Affordable Energy </w:t>
      </w:r>
      <w:r w:rsidR="0092180F">
        <w:rPr>
          <w:noProof/>
        </w:rPr>
        <w:t>Action Plan</w:t>
      </w:r>
      <w:r w:rsidRPr="00725495">
        <w:rPr>
          <w:noProof/>
        </w:rPr>
        <w:t xml:space="preserve"> has</w:t>
      </w:r>
      <w:r w:rsidR="004D73E5">
        <w:rPr>
          <w:noProof/>
        </w:rPr>
        <w:t xml:space="preserve"> </w:t>
      </w:r>
      <w:r w:rsidR="00D45110">
        <w:rPr>
          <w:noProof/>
        </w:rPr>
        <w:t xml:space="preserve">suggested </w:t>
      </w:r>
      <w:r w:rsidRPr="00725495">
        <w:rPr>
          <w:noProof/>
        </w:rPr>
        <w:t xml:space="preserve">putting forward a legislative proposal on network charge design. For this reason, the President of the Commission announced on 16 March 2026 that the Commission will prepare a </w:t>
      </w:r>
      <w:r w:rsidR="00E13C43">
        <w:rPr>
          <w:noProof/>
        </w:rPr>
        <w:t>legislative</w:t>
      </w:r>
      <w:r w:rsidR="00E13C43" w:rsidRPr="00725495">
        <w:rPr>
          <w:noProof/>
        </w:rPr>
        <w:t xml:space="preserve"> </w:t>
      </w:r>
      <w:r w:rsidRPr="00725495">
        <w:rPr>
          <w:noProof/>
        </w:rPr>
        <w:t xml:space="preserve">proposal to improve the productivity of grid infrastructure.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This proposal addresses concerns </w:t>
      </w:r>
      <w:r w:rsidR="00C74565">
        <w:rPr>
          <w:noProof/>
        </w:rPr>
        <w:t>about</w:t>
      </w:r>
      <w:r w:rsidR="00C74565" w:rsidRPr="00725495">
        <w:rPr>
          <w:noProof/>
        </w:rPr>
        <w:t xml:space="preserve"> </w:t>
      </w:r>
      <w:r w:rsidRPr="00725495">
        <w:rPr>
          <w:noProof/>
        </w:rPr>
        <w:t xml:space="preserve">rising energy costs, since they are driven not only by high and volatile prices but also by rising system costs. </w:t>
      </w:r>
      <w:r w:rsidR="00AD7C8E">
        <w:rPr>
          <w:noProof/>
        </w:rPr>
        <w:t xml:space="preserve">It does so by </w:t>
      </w:r>
      <w:r w:rsidRPr="00725495">
        <w:rPr>
          <w:noProof/>
        </w:rPr>
        <w:t>improv</w:t>
      </w:r>
      <w:r w:rsidR="00AD7C8E">
        <w:rPr>
          <w:noProof/>
        </w:rPr>
        <w:t>ing</w:t>
      </w:r>
      <w:r w:rsidRPr="00725495">
        <w:rPr>
          <w:noProof/>
        </w:rPr>
        <w:t xml:space="preserve"> the design of network charges to ensure cost</w:t>
      </w:r>
      <w:r w:rsidR="00022F07">
        <w:rPr>
          <w:noProof/>
        </w:rPr>
        <w:t xml:space="preserve"> </w:t>
      </w:r>
      <w:r w:rsidRPr="00725495">
        <w:rPr>
          <w:noProof/>
        </w:rPr>
        <w:t xml:space="preserve">efficiency of transmission and distribution networks and </w:t>
      </w:r>
      <w:r w:rsidR="00001529">
        <w:rPr>
          <w:noProof/>
        </w:rPr>
        <w:t xml:space="preserve">by ensuring that the necessary </w:t>
      </w:r>
      <w:r w:rsidRPr="00725495">
        <w:rPr>
          <w:noProof/>
        </w:rPr>
        <w:t>incentiv</w:t>
      </w:r>
      <w:r w:rsidR="00001529">
        <w:rPr>
          <w:noProof/>
        </w:rPr>
        <w:t>es are provided to</w:t>
      </w:r>
      <w:r w:rsidRPr="00725495">
        <w:rPr>
          <w:noProof/>
        </w:rPr>
        <w:t xml:space="preserve"> both system operators and </w:t>
      </w:r>
      <w:r w:rsidR="00627D39">
        <w:rPr>
          <w:noProof/>
        </w:rPr>
        <w:t>system</w:t>
      </w:r>
      <w:r w:rsidRPr="00725495">
        <w:rPr>
          <w:noProof/>
        </w:rPr>
        <w:t xml:space="preserve"> users to lower system costs</w:t>
      </w:r>
      <w:r w:rsidR="00627D39">
        <w:rPr>
          <w:noProof/>
        </w:rPr>
        <w:t>,</w:t>
      </w:r>
      <w:r w:rsidRPr="00725495">
        <w:rPr>
          <w:noProof/>
        </w:rPr>
        <w:t xml:space="preserve"> including through better use of the existing infrastructure.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proposal is putting forward stronger incentives for system operators to increase cost-effectiveness as well as to enable timely grid access, </w:t>
      </w:r>
      <w:r w:rsidR="00A50ECD">
        <w:rPr>
          <w:noProof/>
        </w:rPr>
        <w:t xml:space="preserve">provide </w:t>
      </w:r>
      <w:r w:rsidRPr="00725495">
        <w:rPr>
          <w:noProof/>
        </w:rPr>
        <w:t xml:space="preserve">incentives for grid users to adapt their consumption behaviour, </w:t>
      </w:r>
      <w:r w:rsidR="007321FD">
        <w:rPr>
          <w:noProof/>
        </w:rPr>
        <w:t xml:space="preserve">encourage </w:t>
      </w:r>
      <w:r w:rsidRPr="00725495">
        <w:rPr>
          <w:noProof/>
        </w:rPr>
        <w:t xml:space="preserve">enhanced transparency and </w:t>
      </w:r>
      <w:r w:rsidR="007B6D6D">
        <w:rPr>
          <w:noProof/>
        </w:rPr>
        <w:t>oblig</w:t>
      </w:r>
      <w:r w:rsidR="00627D39">
        <w:rPr>
          <w:noProof/>
        </w:rPr>
        <w:t xml:space="preserve">e </w:t>
      </w:r>
      <w:r w:rsidRPr="00725495">
        <w:rPr>
          <w:noProof/>
        </w:rPr>
        <w:t>regulatory authorities to set performance indicators to increase efficien</w:t>
      </w:r>
      <w:r w:rsidR="007B6D6D">
        <w:rPr>
          <w:noProof/>
        </w:rPr>
        <w:t xml:space="preserve">t grid use </w:t>
      </w:r>
      <w:r w:rsidR="002E4B69">
        <w:rPr>
          <w:noProof/>
        </w:rPr>
        <w:t>and</w:t>
      </w:r>
      <w:r w:rsidRPr="00725495">
        <w:rPr>
          <w:noProof/>
        </w:rPr>
        <w:t xml:space="preserve"> system efficiency. All these </w:t>
      </w:r>
      <w:r w:rsidR="00286E48">
        <w:rPr>
          <w:noProof/>
        </w:rPr>
        <w:t>measures</w:t>
      </w:r>
      <w:r w:rsidR="00286E48" w:rsidRPr="00725495">
        <w:rPr>
          <w:noProof/>
        </w:rPr>
        <w:t xml:space="preserve"> </w:t>
      </w:r>
      <w:r w:rsidRPr="00725495">
        <w:rPr>
          <w:noProof/>
        </w:rPr>
        <w:t xml:space="preserve">should help ensure that network charges reflect the true costs imposed on the system and </w:t>
      </w:r>
      <w:r w:rsidR="00613F83">
        <w:rPr>
          <w:noProof/>
        </w:rPr>
        <w:t xml:space="preserve">further </w:t>
      </w:r>
      <w:r w:rsidRPr="00725495">
        <w:rPr>
          <w:noProof/>
        </w:rPr>
        <w:t xml:space="preserve">support efficient </w:t>
      </w:r>
      <w:r w:rsidR="00613F83">
        <w:rPr>
          <w:noProof/>
        </w:rPr>
        <w:t xml:space="preserve">grid </w:t>
      </w:r>
      <w:r w:rsidRPr="00725495">
        <w:rPr>
          <w:noProof/>
        </w:rPr>
        <w:t>use</w:t>
      </w:r>
      <w:r w:rsidR="00613F83">
        <w:rPr>
          <w:noProof/>
        </w:rPr>
        <w:t>.</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w:t>
      </w:r>
      <w:r w:rsidRPr="00627D39">
        <w:rPr>
          <w:noProof/>
        </w:rPr>
        <w:t xml:space="preserve">proposal allows for special </w:t>
      </w:r>
      <w:r w:rsidR="00902875" w:rsidRPr="00627D39">
        <w:rPr>
          <w:noProof/>
        </w:rPr>
        <w:t xml:space="preserve">cost-reflective </w:t>
      </w:r>
      <w:r w:rsidRPr="00627D39">
        <w:rPr>
          <w:noProof/>
        </w:rPr>
        <w:t xml:space="preserve">network charge regimes </w:t>
      </w:r>
      <w:r w:rsidR="00627D39">
        <w:rPr>
          <w:noProof/>
        </w:rPr>
        <w:t>to apply</w:t>
      </w:r>
      <w:r w:rsidRPr="00627D39">
        <w:rPr>
          <w:noProof/>
        </w:rPr>
        <w:t xml:space="preserve"> to </w:t>
      </w:r>
      <w:r w:rsidR="00627D39">
        <w:rPr>
          <w:noProof/>
        </w:rPr>
        <w:t>specific categories of system</w:t>
      </w:r>
      <w:r w:rsidRPr="00627D39">
        <w:rPr>
          <w:noProof/>
        </w:rPr>
        <w:t xml:space="preserve"> user</w:t>
      </w:r>
      <w:r w:rsidR="00627D39">
        <w:rPr>
          <w:noProof/>
        </w:rPr>
        <w:t>s</w:t>
      </w:r>
      <w:r w:rsidR="00902875" w:rsidRPr="00627D39">
        <w:rPr>
          <w:noProof/>
        </w:rPr>
        <w:t xml:space="preserve"> based on their consumption pattern</w:t>
      </w:r>
      <w:r w:rsidRPr="00627D39">
        <w:rPr>
          <w:noProof/>
        </w:rPr>
        <w:t>, such as energy</w:t>
      </w:r>
      <w:r w:rsidR="00EA413B" w:rsidRPr="00627D39">
        <w:rPr>
          <w:noProof/>
        </w:rPr>
        <w:t>-</w:t>
      </w:r>
      <w:r w:rsidRPr="00627D39">
        <w:rPr>
          <w:noProof/>
        </w:rPr>
        <w:t>intensive industr</w:t>
      </w:r>
      <w:r w:rsidR="00627D39">
        <w:rPr>
          <w:noProof/>
        </w:rPr>
        <w:t>ies</w:t>
      </w:r>
      <w:r w:rsidR="004936B9">
        <w:rPr>
          <w:noProof/>
        </w:rPr>
        <w:t xml:space="preserve">, </w:t>
      </w:r>
      <w:r w:rsidR="0041701E" w:rsidRPr="003F2585">
        <w:rPr>
          <w:noProof/>
        </w:rPr>
        <w:t xml:space="preserve">and </w:t>
      </w:r>
      <w:r w:rsidR="00C9582E" w:rsidRPr="003F2585">
        <w:rPr>
          <w:noProof/>
        </w:rPr>
        <w:t>data cent</w:t>
      </w:r>
      <w:r w:rsidR="004936B9" w:rsidRPr="003F2585">
        <w:rPr>
          <w:noProof/>
        </w:rPr>
        <w:t>res</w:t>
      </w:r>
      <w:r w:rsidR="005B1B24" w:rsidRPr="003F2585">
        <w:rPr>
          <w:noProof/>
        </w:rPr>
        <w:t>.</w:t>
      </w:r>
      <w:r w:rsidR="005B1B24" w:rsidRPr="00627D39">
        <w:rPr>
          <w:noProof/>
        </w:rPr>
        <w:t xml:space="preserve"> It</w:t>
      </w:r>
      <w:r w:rsidRPr="00627D39">
        <w:rPr>
          <w:noProof/>
        </w:rPr>
        <w:t xml:space="preserve"> combines </w:t>
      </w:r>
      <w:r w:rsidR="005B1B24" w:rsidRPr="00627D39">
        <w:rPr>
          <w:noProof/>
        </w:rPr>
        <w:t>this</w:t>
      </w:r>
      <w:r w:rsidRPr="00627D39">
        <w:rPr>
          <w:noProof/>
        </w:rPr>
        <w:t xml:space="preserve"> option with safeguards to avoid adverse effects on affordability for households and SMEs.</w:t>
      </w:r>
    </w:p>
    <w:p w:rsidR="003A2DC5" w:rsidRDefault="003A2DC5" w:rsidP="003A2DC5">
      <w:pPr>
        <w:pBdr>
          <w:top w:val="nil"/>
          <w:left w:val="nil"/>
          <w:bottom w:val="nil"/>
          <w:right w:val="nil"/>
          <w:between w:val="nil"/>
          <w:bar w:val="nil"/>
        </w:pBdr>
        <w:spacing w:before="0" w:after="240"/>
        <w:rPr>
          <w:noProof/>
        </w:rPr>
      </w:pPr>
      <w:r w:rsidRPr="00725495">
        <w:rPr>
          <w:noProof/>
        </w:rPr>
        <w:t xml:space="preserve">To make these changes operational, the proposal needs to be combined with </w:t>
      </w:r>
      <w:r w:rsidR="00627D39">
        <w:rPr>
          <w:noProof/>
        </w:rPr>
        <w:t>tertiary legislation</w:t>
      </w:r>
      <w:r w:rsidRPr="00725495">
        <w:rPr>
          <w:noProof/>
        </w:rPr>
        <w:t xml:space="preserve"> on </w:t>
      </w:r>
      <w:r w:rsidR="00AD0AC6">
        <w:rPr>
          <w:noProof/>
        </w:rPr>
        <w:t xml:space="preserve">a common structure and </w:t>
      </w:r>
      <w:r w:rsidR="00142AA8">
        <w:rPr>
          <w:noProof/>
        </w:rPr>
        <w:t xml:space="preserve">harmonised methodology </w:t>
      </w:r>
      <w:r w:rsidR="00DB0A23">
        <w:rPr>
          <w:noProof/>
        </w:rPr>
        <w:t xml:space="preserve">on </w:t>
      </w:r>
      <w:r w:rsidRPr="00725495">
        <w:rPr>
          <w:noProof/>
        </w:rPr>
        <w:t>network charges</w:t>
      </w:r>
      <w:r w:rsidR="00325E0A">
        <w:rPr>
          <w:noProof/>
        </w:rPr>
        <w:t xml:space="preserve">, similar to existing </w:t>
      </w:r>
      <w:r w:rsidR="00627D39">
        <w:rPr>
          <w:noProof/>
        </w:rPr>
        <w:t>legislation</w:t>
      </w:r>
      <w:r w:rsidR="00325E0A">
        <w:rPr>
          <w:noProof/>
        </w:rPr>
        <w:t xml:space="preserve"> </w:t>
      </w:r>
      <w:r w:rsidRPr="00725495">
        <w:rPr>
          <w:noProof/>
        </w:rPr>
        <w:t>in the gas sector.</w:t>
      </w:r>
      <w:r w:rsidR="00E82348">
        <w:rPr>
          <w:noProof/>
        </w:rPr>
        <w:t xml:space="preserve"> </w:t>
      </w:r>
    </w:p>
    <w:p w:rsidR="00D91FB3" w:rsidRPr="00627D39" w:rsidRDefault="00D91FB3" w:rsidP="003A2DC5">
      <w:pPr>
        <w:pBdr>
          <w:top w:val="nil"/>
          <w:left w:val="nil"/>
          <w:bottom w:val="nil"/>
          <w:right w:val="nil"/>
          <w:between w:val="nil"/>
          <w:bar w:val="nil"/>
        </w:pBdr>
        <w:spacing w:before="0" w:after="240"/>
        <w:rPr>
          <w:i/>
          <w:noProof/>
        </w:rPr>
      </w:pPr>
      <w:r w:rsidRPr="00627D39">
        <w:rPr>
          <w:i/>
          <w:noProof/>
        </w:rPr>
        <w:t xml:space="preserve">Smart meters and </w:t>
      </w:r>
      <w:r w:rsidR="0044498A" w:rsidRPr="00627D39">
        <w:rPr>
          <w:i/>
          <w:noProof/>
        </w:rPr>
        <w:t>smart electricity grids</w:t>
      </w:r>
    </w:p>
    <w:p w:rsidR="003A2DC5" w:rsidRPr="00725495" w:rsidRDefault="003A2DC5" w:rsidP="75797A66">
      <w:pPr>
        <w:pBdr>
          <w:top w:val="nil"/>
          <w:left w:val="nil"/>
          <w:bottom w:val="nil"/>
          <w:right w:val="nil"/>
          <w:between w:val="nil"/>
          <w:bar w:val="nil"/>
        </w:pBdr>
        <w:spacing w:before="0" w:after="240"/>
        <w:rPr>
          <w:noProof/>
        </w:rPr>
      </w:pPr>
      <w:r>
        <w:rPr>
          <w:noProof/>
        </w:rPr>
        <w:t xml:space="preserve">To improve grid infrastructure </w:t>
      </w:r>
      <w:r w:rsidR="003E650B">
        <w:rPr>
          <w:noProof/>
        </w:rPr>
        <w:t>efficiency,</w:t>
      </w:r>
      <w:r>
        <w:rPr>
          <w:noProof/>
        </w:rPr>
        <w:t xml:space="preserve"> the electricity system </w:t>
      </w:r>
      <w:r w:rsidR="003E650B">
        <w:rPr>
          <w:noProof/>
        </w:rPr>
        <w:t>must be</w:t>
      </w:r>
      <w:r>
        <w:rPr>
          <w:noProof/>
        </w:rPr>
        <w:t xml:space="preserve"> equipped with the technical and digital capabilities to monitor the grid status and optimise grid usage</w:t>
      </w:r>
      <w:r w:rsidR="00DA1EED">
        <w:rPr>
          <w:noProof/>
        </w:rPr>
        <w:t xml:space="preserve"> </w:t>
      </w:r>
      <w:r>
        <w:rPr>
          <w:noProof/>
        </w:rPr>
        <w:t>close to real-time, and to incentivise or steer grid users to optimise their grid us</w:t>
      </w:r>
      <w:r w:rsidRPr="00163547">
        <w:rPr>
          <w:noProof/>
        </w:rPr>
        <w:t>e</w:t>
      </w:r>
      <w:r w:rsidR="02D3C3E8" w:rsidRPr="00163547">
        <w:rPr>
          <w:rFonts w:eastAsia="Times New Roman"/>
          <w:noProof/>
          <w:szCs w:val="24"/>
        </w:rPr>
        <w:t>, especially when coupled with PV installation and home batteries and/or dynamic tariffs</w:t>
      </w:r>
      <w:r w:rsidRPr="00163547">
        <w:rPr>
          <w:noProof/>
        </w:rPr>
        <w:t xml:space="preserve">. This </w:t>
      </w:r>
      <w:r w:rsidR="0044602E" w:rsidRPr="00163547">
        <w:rPr>
          <w:noProof/>
        </w:rPr>
        <w:t>may</w:t>
      </w:r>
      <w:r w:rsidRPr="00163547">
        <w:rPr>
          <w:noProof/>
        </w:rPr>
        <w:t xml:space="preserve"> further reduc</w:t>
      </w:r>
      <w:r w:rsidR="00174F9B" w:rsidRPr="00163547">
        <w:rPr>
          <w:noProof/>
        </w:rPr>
        <w:t>e</w:t>
      </w:r>
      <w:r w:rsidRPr="00163547">
        <w:rPr>
          <w:noProof/>
        </w:rPr>
        <w:t xml:space="preserve"> system costs</w:t>
      </w:r>
      <w:r w:rsidR="705A6D27" w:rsidRPr="00163547">
        <w:rPr>
          <w:rFonts w:eastAsia="Times New Roman"/>
          <w:noProof/>
          <w:szCs w:val="24"/>
        </w:rPr>
        <w:t xml:space="preserve"> notably by reducing peak demands</w:t>
      </w:r>
      <w:r w:rsidRPr="00163547">
        <w:rPr>
          <w:noProof/>
        </w:rPr>
        <w:t xml:space="preserve">. </w:t>
      </w:r>
      <w:r w:rsidR="00174F9B">
        <w:rPr>
          <w:noProof/>
        </w:rPr>
        <w:t>These</w:t>
      </w:r>
      <w:r>
        <w:rPr>
          <w:noProof/>
        </w:rPr>
        <w:t xml:space="preserve"> capabilities enable system operators to respond faster and more efficiently, </w:t>
      </w:r>
      <w:r w:rsidR="00FF09E6">
        <w:rPr>
          <w:noProof/>
        </w:rPr>
        <w:t xml:space="preserve">making </w:t>
      </w:r>
      <w:r>
        <w:rPr>
          <w:noProof/>
        </w:rPr>
        <w:t>better us</w:t>
      </w:r>
      <w:r w:rsidR="00FF09E6">
        <w:rPr>
          <w:noProof/>
        </w:rPr>
        <w:t>e</w:t>
      </w:r>
      <w:r w:rsidR="00BF39D8">
        <w:rPr>
          <w:noProof/>
        </w:rPr>
        <w:t xml:space="preserve"> of</w:t>
      </w:r>
      <w:r>
        <w:rPr>
          <w:noProof/>
        </w:rPr>
        <w:t xml:space="preserve"> </w:t>
      </w:r>
      <w:r w:rsidR="00BF39D8">
        <w:rPr>
          <w:noProof/>
        </w:rPr>
        <w:t>the</w:t>
      </w:r>
      <w:r>
        <w:rPr>
          <w:noProof/>
        </w:rPr>
        <w:t xml:space="preserve"> existing infrastructure, and allow system users to react to price signals. To achieve this, a broader enabling framework is required combining smart metering systems, smart and digitalised grids and more effective re-use of electricity grid data. Without such enabling conditions, the scope for consumers, aggregators, suppliers and system operators to respond to price signals, including from smart network charges to provide flexibility and optimise system operation remains structurally limited.</w:t>
      </w:r>
    </w:p>
    <w:p w:rsidR="003A2DC5" w:rsidRPr="00725495" w:rsidRDefault="003A2DC5" w:rsidP="75797A66">
      <w:pPr>
        <w:pBdr>
          <w:top w:val="nil"/>
          <w:left w:val="nil"/>
          <w:bottom w:val="nil"/>
          <w:right w:val="nil"/>
          <w:between w:val="nil"/>
          <w:bar w:val="nil"/>
        </w:pBdr>
        <w:spacing w:before="0" w:after="240"/>
        <w:rPr>
          <w:noProof/>
        </w:rPr>
      </w:pPr>
      <w:r w:rsidRPr="00487462">
        <w:rPr>
          <w:noProof/>
        </w:rPr>
        <w:t xml:space="preserve">For </w:t>
      </w:r>
      <w:r w:rsidR="00C03ACF">
        <w:rPr>
          <w:noProof/>
        </w:rPr>
        <w:t>this</w:t>
      </w:r>
      <w:r w:rsidR="00C03ACF" w:rsidRPr="00487462">
        <w:rPr>
          <w:noProof/>
        </w:rPr>
        <w:t xml:space="preserve"> </w:t>
      </w:r>
      <w:r w:rsidRPr="00487462">
        <w:rPr>
          <w:noProof/>
        </w:rPr>
        <w:t xml:space="preserve">reason, the proposal on network charges is accompanied </w:t>
      </w:r>
      <w:r w:rsidR="00C03ACF">
        <w:rPr>
          <w:noProof/>
        </w:rPr>
        <w:t>by</w:t>
      </w:r>
      <w:r w:rsidR="00C03ACF" w:rsidRPr="00487462">
        <w:rPr>
          <w:noProof/>
        </w:rPr>
        <w:t xml:space="preserve"> </w:t>
      </w:r>
      <w:r w:rsidRPr="00487462">
        <w:rPr>
          <w:noProof/>
        </w:rPr>
        <w:t>limited but targeted measures on smart meters</w:t>
      </w:r>
      <w:r w:rsidR="00D91FB3">
        <w:rPr>
          <w:noProof/>
        </w:rPr>
        <w:t xml:space="preserve"> and</w:t>
      </w:r>
      <w:r w:rsidRPr="00487462">
        <w:rPr>
          <w:noProof/>
        </w:rPr>
        <w:t xml:space="preserve"> </w:t>
      </w:r>
      <w:r w:rsidR="0044498A">
        <w:rPr>
          <w:noProof/>
        </w:rPr>
        <w:t>smart electricity grids</w:t>
      </w:r>
      <w:r w:rsidRPr="00487462">
        <w:rPr>
          <w:noProof/>
        </w:rPr>
        <w:t>. It introduces a minimum Union-wide deployment obligation for smart metering systems to ensure that, in each Member State, at least 50</w:t>
      </w:r>
      <w:r w:rsidR="00126532">
        <w:rPr>
          <w:rFonts w:eastAsia="Times New Roman"/>
          <w:noProof/>
        </w:rPr>
        <w:t> </w:t>
      </w:r>
      <w:r w:rsidRPr="00487462">
        <w:rPr>
          <w:noProof/>
        </w:rPr>
        <w:t xml:space="preserve">% of final customers </w:t>
      </w:r>
      <w:r w:rsidR="00E152F9">
        <w:rPr>
          <w:noProof/>
        </w:rPr>
        <w:t>will be</w:t>
      </w:r>
      <w:r w:rsidR="00E152F9" w:rsidRPr="00487462">
        <w:rPr>
          <w:noProof/>
        </w:rPr>
        <w:t xml:space="preserve"> </w:t>
      </w:r>
      <w:r w:rsidRPr="00487462">
        <w:rPr>
          <w:noProof/>
        </w:rPr>
        <w:t xml:space="preserve">equipped with smart meters by </w:t>
      </w:r>
      <w:r w:rsidR="00EC7D2D">
        <w:rPr>
          <w:noProof/>
        </w:rPr>
        <w:t>2030</w:t>
      </w:r>
      <w:r w:rsidR="00512111">
        <w:rPr>
          <w:noProof/>
        </w:rPr>
        <w:t xml:space="preserve">. </w:t>
      </w:r>
      <w:r w:rsidR="00E152F9">
        <w:rPr>
          <w:noProof/>
        </w:rPr>
        <w:t>T</w:t>
      </w:r>
      <w:r w:rsidR="00EC7D2D" w:rsidRPr="00D873DB">
        <w:rPr>
          <w:noProof/>
        </w:rPr>
        <w:t xml:space="preserve">his </w:t>
      </w:r>
      <w:r w:rsidR="00E152F9">
        <w:rPr>
          <w:noProof/>
        </w:rPr>
        <w:t>proportion</w:t>
      </w:r>
      <w:r w:rsidR="00EC7D2D" w:rsidRPr="00D873DB">
        <w:rPr>
          <w:noProof/>
        </w:rPr>
        <w:t xml:space="preserve"> </w:t>
      </w:r>
      <w:r w:rsidR="006841AA">
        <w:rPr>
          <w:noProof/>
        </w:rPr>
        <w:t>should be</w:t>
      </w:r>
      <w:r w:rsidR="00E152F9" w:rsidRPr="00D873DB">
        <w:rPr>
          <w:noProof/>
        </w:rPr>
        <w:t xml:space="preserve"> </w:t>
      </w:r>
      <w:r w:rsidR="00EC7D2D" w:rsidRPr="00D873DB">
        <w:rPr>
          <w:noProof/>
        </w:rPr>
        <w:t xml:space="preserve">progressively increased to at least </w:t>
      </w:r>
      <w:r w:rsidR="00320DA4">
        <w:rPr>
          <w:noProof/>
        </w:rPr>
        <w:t>7</w:t>
      </w:r>
      <w:r w:rsidR="00320DA4" w:rsidRPr="00D873DB">
        <w:rPr>
          <w:noProof/>
        </w:rPr>
        <w:t>5</w:t>
      </w:r>
      <w:r w:rsidR="00320DA4">
        <w:rPr>
          <w:rFonts w:eastAsia="Times New Roman"/>
          <w:noProof/>
        </w:rPr>
        <w:t> </w:t>
      </w:r>
      <w:r w:rsidR="00EC7D2D" w:rsidRPr="00D873DB">
        <w:rPr>
          <w:noProof/>
        </w:rPr>
        <w:t>% of final customers by 2033</w:t>
      </w:r>
      <w:r w:rsidR="00FA5F3E">
        <w:rPr>
          <w:noProof/>
        </w:rPr>
        <w:t xml:space="preserve"> to</w:t>
      </w:r>
      <w:r w:rsidR="00903C00">
        <w:rPr>
          <w:noProof/>
        </w:rPr>
        <w:t xml:space="preserve"> </w:t>
      </w:r>
      <w:r w:rsidRPr="00487462">
        <w:rPr>
          <w:noProof/>
        </w:rPr>
        <w:t xml:space="preserve">strengthen the technical basis for active consumer participation and more granular system visibility. </w:t>
      </w:r>
      <w:r>
        <w:rPr>
          <w:noProof/>
        </w:rPr>
        <w:t>For Member States with deployment levels below 30</w:t>
      </w:r>
      <w:r>
        <w:rPr>
          <w:rFonts w:eastAsia="Times New Roman"/>
          <w:noProof/>
        </w:rPr>
        <w:t> </w:t>
      </w:r>
      <w:r>
        <w:rPr>
          <w:noProof/>
        </w:rPr>
        <w:t>% at the date of entry into force of this Regulation, a limited extension for the deadline of the 50</w:t>
      </w:r>
      <w:r>
        <w:rPr>
          <w:rFonts w:eastAsia="Times New Roman"/>
          <w:noProof/>
        </w:rPr>
        <w:t> </w:t>
      </w:r>
      <w:r>
        <w:rPr>
          <w:noProof/>
        </w:rPr>
        <w:t>% target would be appropriate.</w:t>
      </w:r>
      <w:r>
        <w:rPr>
          <w:noProof/>
        </w:rPr>
        <w:br/>
      </w:r>
      <w:r w:rsidR="00512111" w:rsidRPr="00627D39">
        <w:rPr>
          <w:noProof/>
        </w:rPr>
        <w:t>This approach reflects the current state of play across the Union, w</w:t>
      </w:r>
      <w:r w:rsidR="003E7621">
        <w:rPr>
          <w:noProof/>
        </w:rPr>
        <w:t>ith</w:t>
      </w:r>
      <w:r w:rsidR="00512111" w:rsidRPr="00627D39">
        <w:rPr>
          <w:noProof/>
        </w:rPr>
        <w:t xml:space="preserve"> overall smart meter penetration </w:t>
      </w:r>
      <w:r w:rsidR="003E7621">
        <w:rPr>
          <w:noProof/>
        </w:rPr>
        <w:t>at</w:t>
      </w:r>
      <w:r w:rsidR="00512111" w:rsidRPr="00627D39">
        <w:rPr>
          <w:noProof/>
        </w:rPr>
        <w:t xml:space="preserve"> around 60</w:t>
      </w:r>
      <w:r w:rsidR="00294F57">
        <w:rPr>
          <w:rFonts w:eastAsia="Times New Roman"/>
          <w:noProof/>
        </w:rPr>
        <w:t> </w:t>
      </w:r>
      <w:r w:rsidR="00512111" w:rsidRPr="00627D39">
        <w:rPr>
          <w:noProof/>
        </w:rPr>
        <w:t xml:space="preserve">% </w:t>
      </w:r>
      <w:r w:rsidR="002E6B08">
        <w:rPr>
          <w:noProof/>
        </w:rPr>
        <w:t>in</w:t>
      </w:r>
      <w:r w:rsidR="00512111" w:rsidRPr="00627D39">
        <w:rPr>
          <w:noProof/>
        </w:rPr>
        <w:t xml:space="preserve"> 2024</w:t>
      </w:r>
      <w:r w:rsidR="002A5632">
        <w:rPr>
          <w:rStyle w:val="FootnoteReference"/>
          <w:noProof/>
        </w:rPr>
        <w:footnoteReference w:id="13"/>
      </w:r>
      <w:r w:rsidR="003E7621">
        <w:rPr>
          <w:noProof/>
        </w:rPr>
        <w:t xml:space="preserve"> and </w:t>
      </w:r>
      <w:r w:rsidR="002E6B08">
        <w:rPr>
          <w:noProof/>
        </w:rPr>
        <w:t>fifteen</w:t>
      </w:r>
      <w:r w:rsidR="00512111" w:rsidRPr="00627D39">
        <w:rPr>
          <w:noProof/>
        </w:rPr>
        <w:t xml:space="preserve"> Member States already exceeding 80</w:t>
      </w:r>
      <w:r w:rsidR="00431E2A">
        <w:rPr>
          <w:rFonts w:eastAsia="Times New Roman"/>
          <w:noProof/>
        </w:rPr>
        <w:t> </w:t>
      </w:r>
      <w:r w:rsidR="00512111" w:rsidRPr="00627D39">
        <w:rPr>
          <w:noProof/>
        </w:rPr>
        <w:t>% coverage</w:t>
      </w:r>
      <w:r w:rsidR="00CD0934">
        <w:rPr>
          <w:noProof/>
        </w:rPr>
        <w:t>, in line with</w:t>
      </w:r>
      <w:r w:rsidR="003F4D4C">
        <w:rPr>
          <w:noProof/>
        </w:rPr>
        <w:t xml:space="preserve"> </w:t>
      </w:r>
      <w:r w:rsidR="008854BA">
        <w:rPr>
          <w:noProof/>
        </w:rPr>
        <w:t>th</w:t>
      </w:r>
      <w:r w:rsidR="00B90E73">
        <w:rPr>
          <w:noProof/>
        </w:rPr>
        <w:t>e</w:t>
      </w:r>
      <w:r w:rsidR="00CD0934">
        <w:rPr>
          <w:noProof/>
        </w:rPr>
        <w:t xml:space="preserve"> deployment </w:t>
      </w:r>
      <w:r w:rsidR="003E7621">
        <w:rPr>
          <w:noProof/>
        </w:rPr>
        <w:t>levels</w:t>
      </w:r>
      <w:r w:rsidR="008854BA">
        <w:rPr>
          <w:noProof/>
        </w:rPr>
        <w:t xml:space="preserve"> set out in </w:t>
      </w:r>
      <w:r w:rsidR="00B90E73">
        <w:rPr>
          <w:noProof/>
        </w:rPr>
        <w:t xml:space="preserve">Annex II of </w:t>
      </w:r>
      <w:r w:rsidR="002E6B08">
        <w:rPr>
          <w:noProof/>
        </w:rPr>
        <w:t>Directive</w:t>
      </w:r>
      <w:r w:rsidR="00645E0D">
        <w:rPr>
          <w:noProof/>
        </w:rPr>
        <w:t xml:space="preserve"> (EU) 2019/944</w:t>
      </w:r>
      <w:r w:rsidR="003F4D4C">
        <w:rPr>
          <w:rStyle w:val="FootnoteReference"/>
          <w:noProof/>
        </w:rPr>
        <w:footnoteReference w:id="14"/>
      </w:r>
      <w:r w:rsidR="002E6B08">
        <w:rPr>
          <w:noProof/>
        </w:rPr>
        <w:t xml:space="preserve">, </w:t>
      </w:r>
      <w:r w:rsidR="00512111" w:rsidRPr="00627D39">
        <w:rPr>
          <w:noProof/>
        </w:rPr>
        <w:t xml:space="preserve">demonstrating </w:t>
      </w:r>
      <w:r w:rsidR="003E7621">
        <w:rPr>
          <w:noProof/>
        </w:rPr>
        <w:t>that</w:t>
      </w:r>
      <w:r w:rsidR="00512111" w:rsidRPr="00627D39">
        <w:rPr>
          <w:noProof/>
        </w:rPr>
        <w:t xml:space="preserve"> higher </w:t>
      </w:r>
      <w:r w:rsidR="00CE5FDB">
        <w:rPr>
          <w:noProof/>
        </w:rPr>
        <w:t xml:space="preserve">penetration rates are </w:t>
      </w:r>
      <w:r w:rsidR="003E7621">
        <w:rPr>
          <w:noProof/>
        </w:rPr>
        <w:t>achievable</w:t>
      </w:r>
      <w:r w:rsidR="00512111" w:rsidRPr="00627D39">
        <w:rPr>
          <w:noProof/>
        </w:rPr>
        <w:t>,</w:t>
      </w:r>
      <w:r w:rsidR="00512111" w:rsidRPr="00512111">
        <w:rPr>
          <w:noProof/>
        </w:rPr>
        <w:t xml:space="preserve"> </w:t>
      </w:r>
      <w:r w:rsidR="00512111" w:rsidRPr="00627D39">
        <w:rPr>
          <w:noProof/>
        </w:rPr>
        <w:t xml:space="preserve">while others remain significantly below this </w:t>
      </w:r>
      <w:r w:rsidR="00AE6FA9">
        <w:rPr>
          <w:noProof/>
        </w:rPr>
        <w:t xml:space="preserve">threshold </w:t>
      </w:r>
      <w:r w:rsidR="00512111" w:rsidRPr="00627D39">
        <w:rPr>
          <w:noProof/>
        </w:rPr>
        <w:t>or have not yet initiated large-scale deployment.</w:t>
      </w:r>
      <w:r w:rsidR="00512111" w:rsidRPr="00512111">
        <w:rPr>
          <w:noProof/>
        </w:rPr>
        <w:t xml:space="preserve"> </w:t>
      </w:r>
      <w:r w:rsidR="00F1586D" w:rsidRPr="00627D39">
        <w:rPr>
          <w:rStyle w:val="Strong"/>
          <w:b w:val="0"/>
          <w:bCs w:val="0"/>
          <w:noProof/>
        </w:rPr>
        <w:t xml:space="preserve">This uneven rollout undermines the </w:t>
      </w:r>
      <w:r w:rsidR="00F1586D" w:rsidRPr="75797A66">
        <w:rPr>
          <w:noProof/>
        </w:rPr>
        <w:t>effective functioning</w:t>
      </w:r>
      <w:r w:rsidR="00F1586D" w:rsidRPr="75797A66">
        <w:rPr>
          <w:b/>
          <w:bCs/>
          <w:noProof/>
        </w:rPr>
        <w:t xml:space="preserve"> </w:t>
      </w:r>
      <w:r w:rsidR="00F1586D" w:rsidRPr="00627D39">
        <w:rPr>
          <w:rStyle w:val="Strong"/>
          <w:b w:val="0"/>
          <w:bCs w:val="0"/>
          <w:noProof/>
        </w:rPr>
        <w:t xml:space="preserve">of the internal market and the development of innovative products and services. </w:t>
      </w:r>
      <w:r w:rsidRPr="00487462">
        <w:rPr>
          <w:noProof/>
        </w:rPr>
        <w:t xml:space="preserve">At the same time, </w:t>
      </w:r>
      <w:r w:rsidR="00F1586D" w:rsidRPr="00487462">
        <w:rPr>
          <w:noProof/>
        </w:rPr>
        <w:t>th</w:t>
      </w:r>
      <w:r w:rsidR="00F1586D">
        <w:rPr>
          <w:noProof/>
        </w:rPr>
        <w:t xml:space="preserve">e proposed </w:t>
      </w:r>
      <w:r w:rsidR="0008365E">
        <w:rPr>
          <w:noProof/>
        </w:rPr>
        <w:t>deployment obligation</w:t>
      </w:r>
      <w:r w:rsidR="00F1586D" w:rsidRPr="00487462">
        <w:rPr>
          <w:noProof/>
        </w:rPr>
        <w:t xml:space="preserve"> </w:t>
      </w:r>
      <w:r w:rsidR="0002018D">
        <w:rPr>
          <w:noProof/>
        </w:rPr>
        <w:t>should</w:t>
      </w:r>
      <w:r w:rsidR="0002018D" w:rsidRPr="00487462">
        <w:rPr>
          <w:noProof/>
        </w:rPr>
        <w:t xml:space="preserve"> </w:t>
      </w:r>
      <w:r w:rsidRPr="00487462">
        <w:rPr>
          <w:noProof/>
        </w:rPr>
        <w:t>creat</w:t>
      </w:r>
      <w:r w:rsidR="0002018D">
        <w:rPr>
          <w:noProof/>
        </w:rPr>
        <w:t>e</w:t>
      </w:r>
      <w:r w:rsidRPr="00487462">
        <w:rPr>
          <w:noProof/>
        </w:rPr>
        <w:t xml:space="preserve"> a sufficient uptake across the Union to support more efficient use of </w:t>
      </w:r>
      <w:r w:rsidR="001F1A85">
        <w:rPr>
          <w:noProof/>
        </w:rPr>
        <w:t xml:space="preserve">the </w:t>
      </w:r>
      <w:r w:rsidR="003831F9" w:rsidRPr="00487462">
        <w:rPr>
          <w:noProof/>
        </w:rPr>
        <w:t>existing</w:t>
      </w:r>
      <w:r w:rsidR="003831F9">
        <w:rPr>
          <w:noProof/>
        </w:rPr>
        <w:t xml:space="preserve"> </w:t>
      </w:r>
      <w:r w:rsidRPr="00487462">
        <w:rPr>
          <w:noProof/>
        </w:rPr>
        <w:t xml:space="preserve">electricity network infrastructure and enable consumers to </w:t>
      </w:r>
      <w:r w:rsidR="667C1D5D" w:rsidRPr="00163547">
        <w:rPr>
          <w:rFonts w:eastAsia="Times New Roman"/>
          <w:noProof/>
          <w:szCs w:val="24"/>
        </w:rPr>
        <w:t>understand and</w:t>
      </w:r>
      <w:r w:rsidR="667C1D5D" w:rsidRPr="75797A66">
        <w:rPr>
          <w:rFonts w:eastAsia="Times New Roman"/>
          <w:noProof/>
          <w:szCs w:val="24"/>
        </w:rPr>
        <w:t xml:space="preserve"> </w:t>
      </w:r>
      <w:r>
        <w:rPr>
          <w:noProof/>
        </w:rPr>
        <w:t>manage their energy consumption and costs</w:t>
      </w:r>
      <w:r w:rsidR="001F1A85">
        <w:rPr>
          <w:noProof/>
        </w:rPr>
        <w:t xml:space="preserve"> better</w:t>
      </w:r>
      <w:r>
        <w:rPr>
          <w:noProof/>
        </w:rPr>
        <w:t xml:space="preserve">. In addition, </w:t>
      </w:r>
      <w:r w:rsidR="001F1A85">
        <w:rPr>
          <w:noProof/>
        </w:rPr>
        <w:t>the proposal</w:t>
      </w:r>
      <w:r>
        <w:rPr>
          <w:noProof/>
        </w:rPr>
        <w:t xml:space="preserve"> clarifies that cost-benefit assessments under Directive (EU) 2019/944 </w:t>
      </w:r>
      <w:r w:rsidR="002C36DD">
        <w:rPr>
          <w:noProof/>
        </w:rPr>
        <w:t>will</w:t>
      </w:r>
      <w:r>
        <w:rPr>
          <w:noProof/>
        </w:rPr>
        <w:t xml:space="preserve"> apply only to deployment beyond </w:t>
      </w:r>
      <w:r w:rsidR="007F2682">
        <w:rPr>
          <w:noProof/>
        </w:rPr>
        <w:t xml:space="preserve">the </w:t>
      </w:r>
      <w:r w:rsidR="00320DA4">
        <w:rPr>
          <w:noProof/>
        </w:rPr>
        <w:t>75</w:t>
      </w:r>
      <w:r w:rsidR="00320DA4" w:rsidRPr="75797A66">
        <w:rPr>
          <w:rFonts w:eastAsia="Times New Roman"/>
          <w:noProof/>
        </w:rPr>
        <w:t> </w:t>
      </w:r>
      <w:r w:rsidR="007F2682">
        <w:rPr>
          <w:noProof/>
        </w:rPr>
        <w:t xml:space="preserve">% </w:t>
      </w:r>
      <w:r>
        <w:rPr>
          <w:noProof/>
        </w:rPr>
        <w:t xml:space="preserve">level, ensuring a consistent Union-wide approach while preserving flexibility for further deployment based on economic considerations. It also provides for the development of common smart </w:t>
      </w:r>
      <w:r w:rsidR="004A3EE6">
        <w:rPr>
          <w:noProof/>
        </w:rPr>
        <w:t>electricity</w:t>
      </w:r>
      <w:r>
        <w:rPr>
          <w:noProof/>
        </w:rPr>
        <w:t xml:space="preserve"> grid indicators to support a more consistent monitoring of the uptake of smart and innovative grid solutions and to strengthen the link between network regulation, performance and efficient use of existing infrastructure. </w:t>
      </w:r>
      <w:r w:rsidR="00D85D1C">
        <w:rPr>
          <w:noProof/>
        </w:rPr>
        <w:t>Most i</w:t>
      </w:r>
      <w:r>
        <w:rPr>
          <w:noProof/>
        </w:rPr>
        <w:t>mportantly, it establishes a targeted framework to improve the exchange and secure re</w:t>
      </w:r>
      <w:r w:rsidR="006744FB">
        <w:rPr>
          <w:noProof/>
        </w:rPr>
        <w:t>-</w:t>
      </w:r>
      <w:r>
        <w:rPr>
          <w:noProof/>
        </w:rPr>
        <w:t>use of electricity grid data</w:t>
      </w:r>
      <w:r w:rsidR="00CA3DF4">
        <w:rPr>
          <w:noProof/>
        </w:rPr>
        <w:t xml:space="preserve">. It also </w:t>
      </w:r>
      <w:r>
        <w:rPr>
          <w:noProof/>
        </w:rPr>
        <w:t>support</w:t>
      </w:r>
      <w:r w:rsidR="0085025F">
        <w:rPr>
          <w:noProof/>
        </w:rPr>
        <w:t>s</w:t>
      </w:r>
      <w:r>
        <w:rPr>
          <w:noProof/>
        </w:rPr>
        <w:t xml:space="preserve"> the efficient, secure and flexible operation of the electricity system, </w:t>
      </w:r>
      <w:r w:rsidR="0085025F">
        <w:rPr>
          <w:noProof/>
        </w:rPr>
        <w:t>and</w:t>
      </w:r>
      <w:r>
        <w:rPr>
          <w:noProof/>
        </w:rPr>
        <w:t xml:space="preserve"> the development of innovative digital and data-driven tools, including artificial intelligence applications, capable of improving grid performance and optimisation</w:t>
      </w:r>
      <w:r w:rsidR="009812B7">
        <w:rPr>
          <w:noProof/>
        </w:rPr>
        <w:t>.</w:t>
      </w:r>
      <w:r>
        <w:rPr>
          <w:noProof/>
        </w:rPr>
        <w:t xml:space="preserve"> </w:t>
      </w:r>
      <w:r w:rsidR="009812B7">
        <w:rPr>
          <w:noProof/>
        </w:rPr>
        <w:t>This in direct response</w:t>
      </w:r>
      <w:r>
        <w:rPr>
          <w:noProof/>
        </w:rPr>
        <w:t xml:space="preserve"> to the President’s call for grid operators to improve the productivity of </w:t>
      </w:r>
      <w:r w:rsidR="009812B7">
        <w:rPr>
          <w:noProof/>
        </w:rPr>
        <w:t xml:space="preserve">the </w:t>
      </w:r>
      <w:r>
        <w:rPr>
          <w:noProof/>
        </w:rPr>
        <w:t>existing infrastructure by making full use of innovative technologies.</w:t>
      </w:r>
      <w:r w:rsidRPr="75797A66">
        <w:rPr>
          <w:rStyle w:val="FootnoteReference"/>
          <w:noProof/>
        </w:rPr>
        <w:footnoteReference w:id="15"/>
      </w:r>
      <w:r>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Taken together, these measures are intended to ensure that the incentives created through smart network charges can </w:t>
      </w:r>
      <w:r w:rsidR="00C24FED">
        <w:rPr>
          <w:noProof/>
        </w:rPr>
        <w:t xml:space="preserve">be </w:t>
      </w:r>
      <w:r w:rsidRPr="00725495">
        <w:rPr>
          <w:noProof/>
        </w:rPr>
        <w:t>translate</w:t>
      </w:r>
      <w:r w:rsidR="00C24FED">
        <w:rPr>
          <w:noProof/>
        </w:rPr>
        <w:t>d</w:t>
      </w:r>
      <w:r w:rsidRPr="00725495">
        <w:rPr>
          <w:noProof/>
        </w:rPr>
        <w:t xml:space="preserve"> into concrete operational efficiencies and lower overall system costs.</w:t>
      </w:r>
    </w:p>
    <w:p w:rsidR="003A2DC5" w:rsidRPr="008A2E5F" w:rsidRDefault="003A2DC5" w:rsidP="003A2DC5">
      <w:pPr>
        <w:pBdr>
          <w:top w:val="nil"/>
          <w:left w:val="nil"/>
          <w:bottom w:val="nil"/>
          <w:right w:val="nil"/>
          <w:between w:val="nil"/>
          <w:bar w:val="nil"/>
        </w:pBdr>
        <w:spacing w:before="0" w:after="240"/>
        <w:rPr>
          <w:i/>
          <w:noProof/>
        </w:rPr>
      </w:pPr>
      <w:r w:rsidRPr="008A2E5F">
        <w:rPr>
          <w:i/>
          <w:noProof/>
        </w:rPr>
        <w:t>Taxation</w:t>
      </w:r>
    </w:p>
    <w:p w:rsidR="00866E0B" w:rsidRDefault="00866E0B" w:rsidP="003A2DC5">
      <w:pPr>
        <w:pBdr>
          <w:top w:val="nil"/>
          <w:left w:val="nil"/>
          <w:bottom w:val="nil"/>
          <w:right w:val="nil"/>
          <w:between w:val="nil"/>
          <w:bar w:val="nil"/>
        </w:pBdr>
        <w:spacing w:before="0" w:after="240"/>
        <w:rPr>
          <w:noProof/>
        </w:rPr>
      </w:pPr>
      <w:r>
        <w:rPr>
          <w:noProof/>
        </w:rPr>
        <w:t>The electrification of the European economy is a strategic imperative for the Union’s competitiveness, energy security, and decarbonisation objectives. Achieving a more electrified and climate-neutral energy system requires substantial investments in electricity grids and infrastructure. Network charges and energy taxation together constitute the main regulatory cost drivers embedded in electricity bills and, as such, are inextricably linked levers in incentivising electrification. Addressing network charges in isolation, without simultaneously aligning the principles of taxation of electricity with EU electrification, would undermine the coherence and effectiveness of Union energy policy. Only by acting on both elements in a coordinated manner can this proposal structurally reduce the cost of electricity for consumers and meaningfully advance the Union’s electrification goals.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In line with the objectives of the Affordable Energy Action Plan and AccelerateEU, reforming network charges should be accompanied by targeted measures on the taxation of electricity and, more specifically, the incentives for electrification embedded therein, or risk falling short of achieving the objective of durably reducing the cost drivers of electricity bills. Such an approach would therefore have a significant adverse impact on affordability for Union consumers and on the competitiveness of the Union economy.</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To that end this proposal also aligns the principles on taxation of electricity with EU energy, environment and climate policies thus contributing to the EU efforts to reduce emissions. To increase the electrification of the European energy system, as detailed in AccelerateEU, incentives for the use of natural gas over electricity in Member State taxation systems should be reversed.</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In addition to this broader measure, this proposal includes a tailored and more targeted possibility to reduce electricity taxation for energy intensive industries, so that the taxes on electricity for these users may be further decreased and the incentive for electrification enhanced.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These measures will ensure that final energy costs for consumers are reduced and that regulation of energy costs is better aligned with European electrification objectives.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principles on taxation of energy as laid out in this amendment to</w:t>
      </w:r>
      <w:r w:rsidR="008A73A8">
        <w:rPr>
          <w:noProof/>
        </w:rPr>
        <w:t xml:space="preserve"> Regulation (EU) 2019/943</w:t>
      </w:r>
      <w:r w:rsidRPr="00725495">
        <w:rPr>
          <w:noProof/>
        </w:rPr>
        <w:t xml:space="preserve"> </w:t>
      </w:r>
      <w:r w:rsidR="008A73A8">
        <w:rPr>
          <w:noProof/>
        </w:rPr>
        <w:t>(</w:t>
      </w:r>
      <w:r w:rsidRPr="00725495">
        <w:rPr>
          <w:noProof/>
        </w:rPr>
        <w:t>the Electricity Regulation</w:t>
      </w:r>
      <w:r w:rsidR="008A73A8">
        <w:rPr>
          <w:noProof/>
        </w:rPr>
        <w:t>)</w:t>
      </w:r>
      <w:r w:rsidRPr="00725495">
        <w:rPr>
          <w:noProof/>
        </w:rPr>
        <w:t xml:space="preserve"> focus on the implementation of the EU provisions imposing a minimum rate on electricity and natural gas and regulating the possibility granted to Member States to apply reduced taxation rates on electricity used by energy intensive industries as set by Council Directive 2003/96/EC. In line with the objectives of this Directive, Member States remain free to set their energy tax levels, provided they follow the provisions in the Directive, while the principles in </w:t>
      </w:r>
      <w:r w:rsidR="008A73A8">
        <w:rPr>
          <w:noProof/>
        </w:rPr>
        <w:t>the Electricity</w:t>
      </w:r>
      <w:r w:rsidR="008A73A8" w:rsidRPr="00725495">
        <w:rPr>
          <w:noProof/>
        </w:rPr>
        <w:t xml:space="preserve"> </w:t>
      </w:r>
      <w:r w:rsidRPr="00725495">
        <w:rPr>
          <w:noProof/>
        </w:rPr>
        <w:t xml:space="preserve">Regulation will enable existing differences in the electrification incentives in energy taxation frameworks of Member States to be reduced. </w:t>
      </w:r>
    </w:p>
    <w:p w:rsidR="003A2DC5" w:rsidRDefault="003A2DC5" w:rsidP="003A2DC5">
      <w:pPr>
        <w:pBdr>
          <w:top w:val="nil"/>
          <w:left w:val="nil"/>
          <w:bottom w:val="nil"/>
          <w:right w:val="nil"/>
          <w:between w:val="nil"/>
          <w:bar w:val="nil"/>
        </w:pBdr>
        <w:spacing w:before="0" w:after="240"/>
        <w:rPr>
          <w:noProof/>
        </w:rPr>
      </w:pPr>
      <w:r w:rsidRPr="00725495">
        <w:rPr>
          <w:noProof/>
        </w:rPr>
        <w:t>This proposal introduces limited and targeted amendments to the Electricity Regulation which are strictly necessary to achieve the proposal’s objectives. Further possible modifications of th</w:t>
      </w:r>
      <w:r w:rsidR="008A73A8">
        <w:rPr>
          <w:noProof/>
        </w:rPr>
        <w:t>at</w:t>
      </w:r>
      <w:r w:rsidRPr="00725495">
        <w:rPr>
          <w:noProof/>
        </w:rPr>
        <w:t xml:space="preserve"> Regulation are entirely outside of the scope and aims of the present proposal. The Commission will constructively engage with the co-legislators, in order to ensure that the legislative process on the present proposal fully preserves its essential </w:t>
      </w:r>
      <w:r w:rsidR="008A73A8">
        <w:rPr>
          <w:noProof/>
        </w:rPr>
        <w:t>scope</w:t>
      </w:r>
      <w:r w:rsidR="008A73A8" w:rsidRPr="00725495">
        <w:rPr>
          <w:noProof/>
        </w:rPr>
        <w:t xml:space="preserve"> </w:t>
      </w:r>
      <w:r w:rsidRPr="00725495">
        <w:rPr>
          <w:noProof/>
        </w:rPr>
        <w:t>and does not distort it.</w:t>
      </w:r>
    </w:p>
    <w:p w:rsidR="00F86CB4" w:rsidRPr="001B4B87" w:rsidRDefault="00F86CB4" w:rsidP="003A2DC5">
      <w:pPr>
        <w:pBdr>
          <w:top w:val="nil"/>
          <w:left w:val="nil"/>
          <w:bottom w:val="nil"/>
          <w:right w:val="nil"/>
          <w:between w:val="nil"/>
          <w:bar w:val="nil"/>
        </w:pBdr>
        <w:spacing w:before="0" w:after="240"/>
        <w:rPr>
          <w:noProof/>
        </w:rPr>
      </w:pPr>
      <w:r w:rsidRPr="000C10B3">
        <w:rPr>
          <w:i/>
          <w:noProof/>
        </w:rPr>
        <w:t xml:space="preserve">Grid </w:t>
      </w:r>
      <w:r w:rsidR="00B75E49" w:rsidRPr="000C10B3">
        <w:rPr>
          <w:i/>
          <w:noProof/>
        </w:rPr>
        <w:t xml:space="preserve">connection measures in case of </w:t>
      </w:r>
      <w:r w:rsidR="006801DC" w:rsidRPr="000C10B3">
        <w:rPr>
          <w:i/>
          <w:noProof/>
        </w:rPr>
        <w:t>network congestion</w:t>
      </w:r>
    </w:p>
    <w:p w:rsidR="00212D87" w:rsidRPr="001B4B87" w:rsidRDefault="00157090" w:rsidP="003A2DC5">
      <w:pPr>
        <w:pBdr>
          <w:top w:val="nil"/>
          <w:left w:val="nil"/>
          <w:bottom w:val="nil"/>
          <w:right w:val="nil"/>
          <w:between w:val="nil"/>
          <w:bar w:val="nil"/>
        </w:pBdr>
        <w:spacing w:before="0" w:after="240"/>
        <w:rPr>
          <w:noProof/>
        </w:rPr>
      </w:pPr>
      <w:r w:rsidRPr="001B4B87">
        <w:rPr>
          <w:noProof/>
        </w:rPr>
        <w:t>Timely electricity network access is crucial for the competitiveness and decarbonisation of the European industry, automotive and transport sectors</w:t>
      </w:r>
      <w:r>
        <w:rPr>
          <w:noProof/>
        </w:rPr>
        <w:t xml:space="preserve"> – for example recharging pools –</w:t>
      </w:r>
      <w:r w:rsidR="4C9C8538" w:rsidRPr="001B4B87">
        <w:rPr>
          <w:noProof/>
        </w:rPr>
        <w:t xml:space="preserve"> and digitalisation of the economy including</w:t>
      </w:r>
      <w:r w:rsidR="405171CC" w:rsidRPr="001B4B87">
        <w:rPr>
          <w:noProof/>
        </w:rPr>
        <w:t xml:space="preserve"> the establishment of data centres. </w:t>
      </w:r>
      <w:r w:rsidR="3E8BC362" w:rsidRPr="001B4B87">
        <w:rPr>
          <w:noProof/>
        </w:rPr>
        <w:t>It is also</w:t>
      </w:r>
      <w:r w:rsidRPr="001B4B87">
        <w:rPr>
          <w:noProof/>
        </w:rPr>
        <w:t xml:space="preserve"> a </w:t>
      </w:r>
      <w:r w:rsidR="000642F4" w:rsidRPr="001B4B87">
        <w:rPr>
          <w:noProof/>
        </w:rPr>
        <w:t>crucial</w:t>
      </w:r>
      <w:r w:rsidRPr="001B4B87">
        <w:rPr>
          <w:noProof/>
        </w:rPr>
        <w:t xml:space="preserve"> condition for fulfilling the goals of the Clean Industrial Deal</w:t>
      </w:r>
      <w:r w:rsidR="000642F4" w:rsidRPr="001B4B87">
        <w:rPr>
          <w:noProof/>
        </w:rPr>
        <w:t>, Accelerate EU</w:t>
      </w:r>
      <w:r w:rsidRPr="001B4B87">
        <w:rPr>
          <w:noProof/>
        </w:rPr>
        <w:t xml:space="preserve"> and achieving climate neutrality by 2050.</w:t>
      </w:r>
      <w:r w:rsidR="00DF656A" w:rsidRPr="001B4B87">
        <w:rPr>
          <w:noProof/>
        </w:rPr>
        <w:t xml:space="preserve"> It is also critical for fulfilling housing needs and related basic societal needs. </w:t>
      </w:r>
      <w:r w:rsidR="00401156" w:rsidRPr="001B4B87">
        <w:rPr>
          <w:noProof/>
        </w:rPr>
        <w:t xml:space="preserve">Delays in grid connections slow down the clean transition and European economic growth. </w:t>
      </w:r>
      <w:r w:rsidR="6536DAC1" w:rsidRPr="001B4B87">
        <w:rPr>
          <w:noProof/>
        </w:rPr>
        <w:t>G</w:t>
      </w:r>
      <w:r w:rsidR="00212D87" w:rsidRPr="001B4B87">
        <w:rPr>
          <w:noProof/>
        </w:rPr>
        <w:t>rid connection queues are present in at least 16 Member States based on the evidence collected in 2025.</w:t>
      </w:r>
      <w:r w:rsidR="00212D87" w:rsidRPr="001B4B87">
        <w:rPr>
          <w:rStyle w:val="FootnoteReference"/>
          <w:noProof/>
        </w:rPr>
        <w:footnoteReference w:id="16"/>
      </w:r>
      <w:r w:rsidR="00212D87" w:rsidRPr="001B4B87">
        <w:rPr>
          <w:noProof/>
        </w:rPr>
        <w:t xml:space="preserve"> </w:t>
      </w:r>
      <w:r w:rsidR="00401156" w:rsidRPr="001B4B87">
        <w:rPr>
          <w:noProof/>
        </w:rPr>
        <w:t>This is why tackling grid connection queues is becoming increasingly urgent throughout the EU.</w:t>
      </w:r>
    </w:p>
    <w:p w:rsidR="00401156" w:rsidRPr="001B4B87" w:rsidRDefault="00AB702B" w:rsidP="003A2DC5">
      <w:pPr>
        <w:pBdr>
          <w:top w:val="nil"/>
          <w:left w:val="nil"/>
          <w:bottom w:val="nil"/>
          <w:right w:val="nil"/>
          <w:between w:val="nil"/>
          <w:bar w:val="nil"/>
        </w:pBdr>
        <w:spacing w:before="0" w:after="240"/>
        <w:rPr>
          <w:noProof/>
        </w:rPr>
      </w:pPr>
      <w:r w:rsidRPr="001B4B87">
        <w:rPr>
          <w:noProof/>
        </w:rPr>
        <w:t>While the long-term solution to the challenge of insufficient network capacity is the accelerated build out of grids in a forward-looking manner, more short-term solutions can be advanced in parallel to ensure timely grid connection of clean energy generation and electrified loads. Building on existing legal framework, the Commission put forward a Guidance on efficient and timely grid connections</w:t>
      </w:r>
      <w:r w:rsidRPr="001B4B87">
        <w:rPr>
          <w:rStyle w:val="FootnoteReference"/>
          <w:noProof/>
        </w:rPr>
        <w:footnoteReference w:id="17"/>
      </w:r>
      <w:r w:rsidR="005C0F7C" w:rsidRPr="001B4B87">
        <w:rPr>
          <w:noProof/>
        </w:rPr>
        <w:t xml:space="preserve"> (“Guidance”)</w:t>
      </w:r>
      <w:r w:rsidRPr="001B4B87">
        <w:rPr>
          <w:noProof/>
        </w:rPr>
        <w:t xml:space="preserve"> as part of the European Grids package. </w:t>
      </w:r>
      <w:r w:rsidR="00783782" w:rsidRPr="001B4B87">
        <w:rPr>
          <w:noProof/>
        </w:rPr>
        <w:t xml:space="preserve">The Guidance provided concrete recommendations for coordinated network planning involving society and industry, more efficient utilisation of existing grids, including through </w:t>
      </w:r>
      <w:r w:rsidR="355956C6" w:rsidRPr="001B4B87">
        <w:rPr>
          <w:noProof/>
        </w:rPr>
        <w:t xml:space="preserve">design of </w:t>
      </w:r>
      <w:r w:rsidR="00783782" w:rsidRPr="001B4B87">
        <w:rPr>
          <w:noProof/>
        </w:rPr>
        <w:t>network tariffs, connection charges or flexibility, and finally, transparency of grid hosting capacity and connection procedures.</w:t>
      </w:r>
      <w:r w:rsidR="00222B86" w:rsidRPr="001B4B87">
        <w:rPr>
          <w:noProof/>
        </w:rPr>
        <w:t xml:space="preserve"> </w:t>
      </w:r>
      <w:r w:rsidR="00511A96" w:rsidRPr="001B4B87">
        <w:rPr>
          <w:noProof/>
        </w:rPr>
        <w:t xml:space="preserve">Concerning the grid connection procedures, </w:t>
      </w:r>
      <w:r w:rsidR="783EC62B" w:rsidRPr="001B4B87">
        <w:rPr>
          <w:noProof/>
        </w:rPr>
        <w:t xml:space="preserve">the </w:t>
      </w:r>
      <w:r w:rsidR="005C0F7C" w:rsidRPr="001B4B87">
        <w:rPr>
          <w:noProof/>
        </w:rPr>
        <w:t>G</w:t>
      </w:r>
      <w:r w:rsidR="00511A96" w:rsidRPr="001B4B87">
        <w:rPr>
          <w:noProof/>
        </w:rPr>
        <w:t>uidance stress</w:t>
      </w:r>
      <w:r w:rsidR="407ABF7F" w:rsidRPr="001B4B87">
        <w:rPr>
          <w:noProof/>
        </w:rPr>
        <w:t>es</w:t>
      </w:r>
      <w:r w:rsidR="00511A96" w:rsidRPr="001B4B87">
        <w:rPr>
          <w:noProof/>
        </w:rPr>
        <w:t xml:space="preserve"> the</w:t>
      </w:r>
      <w:r w:rsidR="00E27121" w:rsidRPr="001B4B87">
        <w:rPr>
          <w:noProof/>
        </w:rPr>
        <w:t xml:space="preserve"> need to move away from first-come first-served allocation of network capacity towards a system considering maturity and progress of grid connection requests, as well as their impacts on </w:t>
      </w:r>
      <w:r w:rsidR="00A76002" w:rsidRPr="001B4B87">
        <w:rPr>
          <w:noProof/>
        </w:rPr>
        <w:t>congestion,</w:t>
      </w:r>
      <w:r w:rsidR="002B558A" w:rsidRPr="001B4B87">
        <w:rPr>
          <w:noProof/>
        </w:rPr>
        <w:t xml:space="preserve"> or</w:t>
      </w:r>
      <w:r w:rsidR="00A76002" w:rsidRPr="001B4B87">
        <w:rPr>
          <w:noProof/>
        </w:rPr>
        <w:t xml:space="preserve"> environmental, social or economic </w:t>
      </w:r>
      <w:r w:rsidR="002B558A" w:rsidRPr="001B4B87">
        <w:rPr>
          <w:noProof/>
        </w:rPr>
        <w:t>considerations.</w:t>
      </w:r>
    </w:p>
    <w:p w:rsidR="00783782" w:rsidRPr="00F86CB4" w:rsidRDefault="00783782" w:rsidP="003A2DC5">
      <w:pPr>
        <w:pBdr>
          <w:top w:val="nil"/>
          <w:left w:val="nil"/>
          <w:bottom w:val="nil"/>
          <w:right w:val="nil"/>
          <w:between w:val="nil"/>
          <w:bar w:val="nil"/>
        </w:pBdr>
        <w:spacing w:before="0" w:after="240"/>
        <w:rPr>
          <w:noProof/>
        </w:rPr>
      </w:pPr>
      <w:r w:rsidRPr="001B4B87">
        <w:rPr>
          <w:noProof/>
        </w:rPr>
        <w:t>This legal proposal</w:t>
      </w:r>
      <w:r w:rsidR="00214138" w:rsidRPr="001B4B87">
        <w:rPr>
          <w:noProof/>
        </w:rPr>
        <w:t xml:space="preserve"> </w:t>
      </w:r>
      <w:r w:rsidR="00222B86" w:rsidRPr="001B4B87">
        <w:rPr>
          <w:noProof/>
        </w:rPr>
        <w:t>implements</w:t>
      </w:r>
      <w:r w:rsidR="00214138" w:rsidRPr="001B4B87">
        <w:rPr>
          <w:noProof/>
        </w:rPr>
        <w:t xml:space="preserve"> the provisions of the Guidance related to efficient and non-discriminatory grid connection procedures</w:t>
      </w:r>
      <w:r w:rsidR="00222B86" w:rsidRPr="001B4B87">
        <w:rPr>
          <w:noProof/>
        </w:rPr>
        <w:t xml:space="preserve"> in case of congestion in the</w:t>
      </w:r>
      <w:r w:rsidR="002B558A" w:rsidRPr="001B4B87">
        <w:rPr>
          <w:noProof/>
        </w:rPr>
        <w:t xml:space="preserve"> EU</w:t>
      </w:r>
      <w:r w:rsidR="00222B86" w:rsidRPr="001B4B87">
        <w:rPr>
          <w:noProof/>
        </w:rPr>
        <w:t xml:space="preserve"> legal framework, </w:t>
      </w:r>
      <w:r w:rsidR="622BBE74" w:rsidRPr="001B4B87">
        <w:rPr>
          <w:noProof/>
        </w:rPr>
        <w:t xml:space="preserve">further specifying </w:t>
      </w:r>
      <w:r w:rsidR="00222B86" w:rsidRPr="001B4B87">
        <w:rPr>
          <w:noProof/>
        </w:rPr>
        <w:t xml:space="preserve">the existing rules under the Article 6 of the Directive (EU) 2019/944 </w:t>
      </w:r>
      <w:r w:rsidR="393DA5E1" w:rsidRPr="001B4B87">
        <w:rPr>
          <w:noProof/>
        </w:rPr>
        <w:t>by making explicit</w:t>
      </w:r>
      <w:r w:rsidR="00222B86" w:rsidRPr="001B4B87">
        <w:rPr>
          <w:noProof/>
        </w:rPr>
        <w:t xml:space="preserve"> mention </w:t>
      </w:r>
      <w:r w:rsidR="2CB76A65" w:rsidRPr="001B4B87">
        <w:rPr>
          <w:noProof/>
        </w:rPr>
        <w:t>of the</w:t>
      </w:r>
      <w:r w:rsidR="00222B86" w:rsidRPr="001B4B87">
        <w:rPr>
          <w:noProof/>
        </w:rPr>
        <w:t xml:space="preserve"> option to prioritise </w:t>
      </w:r>
      <w:r w:rsidR="006B3718" w:rsidRPr="001B4B87">
        <w:rPr>
          <w:noProof/>
        </w:rPr>
        <w:t>sectors or network users within a sector</w:t>
      </w:r>
      <w:r w:rsidR="00A83638" w:rsidRPr="001B4B87">
        <w:rPr>
          <w:noProof/>
        </w:rPr>
        <w:t xml:space="preserve"> or</w:t>
      </w:r>
      <w:r w:rsidR="006B3718" w:rsidRPr="001B4B87">
        <w:rPr>
          <w:noProof/>
        </w:rPr>
        <w:t xml:space="preserve"> the option to consider impacts on network congestion, economic, social or environmental considerations</w:t>
      </w:r>
      <w:r w:rsidR="0986D2B0" w:rsidRPr="001B4B87">
        <w:rPr>
          <w:noProof/>
        </w:rPr>
        <w:t xml:space="preserve"> as long as these are based on transparent and non-discriminatory criteria</w:t>
      </w:r>
      <w:r w:rsidR="006B3718" w:rsidRPr="001B4B87">
        <w:rPr>
          <w:noProof/>
        </w:rPr>
        <w:t xml:space="preserve">. </w:t>
      </w:r>
      <w:r w:rsidR="003150E7" w:rsidRPr="001B4B87">
        <w:rPr>
          <w:noProof/>
        </w:rPr>
        <w:t xml:space="preserve">Existing legislation also does not explicitly cover </w:t>
      </w:r>
      <w:r w:rsidR="00CA07BA" w:rsidRPr="001B4B87">
        <w:rPr>
          <w:noProof/>
        </w:rPr>
        <w:t>maturity and progress criteria to tackle speculative or immature connection requests.</w:t>
      </w:r>
      <w:r w:rsidR="006B3718" w:rsidRPr="001B4B87">
        <w:rPr>
          <w:noProof/>
        </w:rPr>
        <w:t xml:space="preserve"> Clarification is</w:t>
      </w:r>
      <w:r w:rsidR="005C0F7C" w:rsidRPr="001B4B87">
        <w:rPr>
          <w:noProof/>
        </w:rPr>
        <w:t xml:space="preserve"> necessary to enable full implementation of the Guidance provisions as well as to clarify the  role of regulatory authorities in setting the network access conditions, in line with existing provisions of Articles 6 and 59 of the Directive (EU) 2019/944.</w:t>
      </w:r>
      <w:r w:rsidR="00CA07BA" w:rsidRPr="001B4B87">
        <w:rPr>
          <w:noProof/>
        </w:rPr>
        <w:t xml:space="preserve"> At the same time, </w:t>
      </w:r>
      <w:r w:rsidR="2E914B11" w:rsidRPr="001B4B87">
        <w:rPr>
          <w:noProof/>
        </w:rPr>
        <w:t>the</w:t>
      </w:r>
      <w:r w:rsidR="00CA07BA" w:rsidRPr="001B4B87">
        <w:rPr>
          <w:noProof/>
        </w:rPr>
        <w:t xml:space="preserve"> proposal leaves space to consider national conditions </w:t>
      </w:r>
      <w:r w:rsidR="001D48DA" w:rsidRPr="001B4B87">
        <w:rPr>
          <w:noProof/>
        </w:rPr>
        <w:t xml:space="preserve">by </w:t>
      </w:r>
      <w:r w:rsidR="00C70890" w:rsidRPr="001B4B87">
        <w:rPr>
          <w:noProof/>
        </w:rPr>
        <w:t xml:space="preserve">leaving full discretion over selection of respective measures to the national regulatory authority. They must however ensure that </w:t>
      </w:r>
      <w:r w:rsidR="00AB68B6" w:rsidRPr="001B4B87">
        <w:rPr>
          <w:noProof/>
        </w:rPr>
        <w:t xml:space="preserve">other </w:t>
      </w:r>
      <w:r w:rsidR="006F4180" w:rsidRPr="001B4B87">
        <w:rPr>
          <w:noProof/>
        </w:rPr>
        <w:t>measures addressing grid congestion,</w:t>
      </w:r>
      <w:r w:rsidR="00FB1D61" w:rsidRPr="001B4B87">
        <w:rPr>
          <w:noProof/>
        </w:rPr>
        <w:t xml:space="preserve"> implementing the existing EU legal framework,</w:t>
      </w:r>
      <w:r w:rsidR="006F4180" w:rsidRPr="001B4B87">
        <w:rPr>
          <w:noProof/>
        </w:rPr>
        <w:t xml:space="preserve"> like </w:t>
      </w:r>
      <w:r w:rsidR="002E1FA3" w:rsidRPr="001B4B87">
        <w:rPr>
          <w:noProof/>
        </w:rPr>
        <w:t>cross-sectorial network planning involving stakeholders, flexible connection agreement or use of non-wire and digital solutions to ensure network efficiency</w:t>
      </w:r>
      <w:r w:rsidR="00FB1D61" w:rsidRPr="001B4B87">
        <w:rPr>
          <w:noProof/>
        </w:rPr>
        <w:t>,</w:t>
      </w:r>
      <w:r w:rsidR="002E1FA3" w:rsidRPr="001B4B87">
        <w:rPr>
          <w:noProof/>
        </w:rPr>
        <w:t xml:space="preserve"> are in place.</w:t>
      </w:r>
    </w:p>
    <w:p w:rsidR="003E6F0D" w:rsidRPr="003E6F0D" w:rsidRDefault="003A2DC5" w:rsidP="00D37E28">
      <w:pPr>
        <w:pStyle w:val="Bullet0"/>
        <w:rPr>
          <w:rFonts w:eastAsia="Arial Unicode MS"/>
          <w:noProof/>
        </w:rPr>
      </w:pPr>
      <w:bookmarkStart w:id="8" w:name="_Toc234241691"/>
      <w:bookmarkStart w:id="9" w:name="_Toc234245480"/>
      <w:bookmarkEnd w:id="7"/>
      <w:r w:rsidRPr="00D37E28">
        <w:rPr>
          <w:b/>
          <w:bCs/>
          <w:noProof/>
        </w:rPr>
        <w:t>Consistency with existing policy provisions in the policy area and other Union policies</w:t>
      </w:r>
      <w:bookmarkEnd w:id="8"/>
      <w:bookmarkEnd w:id="9"/>
    </w:p>
    <w:p w:rsidR="003A2DC5" w:rsidRDefault="003A2DC5" w:rsidP="3645D733">
      <w:pPr>
        <w:pBdr>
          <w:top w:val="nil"/>
          <w:left w:val="nil"/>
          <w:bottom w:val="nil"/>
          <w:right w:val="nil"/>
          <w:between w:val="nil"/>
          <w:bar w:val="nil"/>
        </w:pBdr>
        <w:spacing w:before="0" w:after="240"/>
        <w:rPr>
          <w:noProof/>
        </w:rPr>
      </w:pPr>
      <w:r>
        <w:rPr>
          <w:noProof/>
        </w:rPr>
        <w:t>This proposed initiative aligns with the objectives of increasing electrification</w:t>
      </w:r>
      <w:r w:rsidR="7B97A337">
        <w:rPr>
          <w:noProof/>
        </w:rPr>
        <w:t xml:space="preserve"> while ensuring affordability</w:t>
      </w:r>
      <w:r>
        <w:rPr>
          <w:noProof/>
        </w:rPr>
        <w:t xml:space="preserve"> as </w:t>
      </w:r>
      <w:r w:rsidR="003852A6">
        <w:rPr>
          <w:noProof/>
        </w:rPr>
        <w:t xml:space="preserve">laid down </w:t>
      </w:r>
      <w:r>
        <w:rPr>
          <w:noProof/>
        </w:rPr>
        <w:t>in AccelerateEU and the Clean Industrial Deal.</w:t>
      </w:r>
      <w:r w:rsidR="00430D74">
        <w:rPr>
          <w:noProof/>
        </w:rPr>
        <w:t xml:space="preserve"> </w:t>
      </w:r>
      <w:r w:rsidR="00971A45">
        <w:rPr>
          <w:noProof/>
        </w:rPr>
        <w:t>Hence</w:t>
      </w:r>
      <w:r w:rsidR="00430D74">
        <w:rPr>
          <w:noProof/>
        </w:rPr>
        <w:t xml:space="preserve">, </w:t>
      </w:r>
      <w:r w:rsidR="000A57E4">
        <w:rPr>
          <w:noProof/>
        </w:rPr>
        <w:t>th</w:t>
      </w:r>
      <w:r w:rsidR="00A07832">
        <w:rPr>
          <w:noProof/>
        </w:rPr>
        <w:t>is</w:t>
      </w:r>
      <w:r w:rsidR="000A57E4">
        <w:rPr>
          <w:noProof/>
        </w:rPr>
        <w:t xml:space="preserve"> proposal </w:t>
      </w:r>
      <w:r w:rsidR="00971A45">
        <w:rPr>
          <w:noProof/>
        </w:rPr>
        <w:t xml:space="preserve">also </w:t>
      </w:r>
      <w:r w:rsidR="00435DBA">
        <w:rPr>
          <w:noProof/>
        </w:rPr>
        <w:t xml:space="preserve">aligns with the </w:t>
      </w:r>
      <w:r w:rsidR="003617FF">
        <w:rPr>
          <w:noProof/>
        </w:rPr>
        <w:t xml:space="preserve">objective of the </w:t>
      </w:r>
      <w:r w:rsidR="00971A45">
        <w:rPr>
          <w:noProof/>
        </w:rPr>
        <w:t>Electrification Action Plan</w:t>
      </w:r>
      <w:r w:rsidR="00AB01E0">
        <w:rPr>
          <w:rStyle w:val="FootnoteReference"/>
          <w:noProof/>
        </w:rPr>
        <w:footnoteReference w:id="18"/>
      </w:r>
      <w:r w:rsidR="00971A45">
        <w:rPr>
          <w:noProof/>
        </w:rPr>
        <w:t xml:space="preserve"> </w:t>
      </w:r>
      <w:r w:rsidR="00435DBA">
        <w:rPr>
          <w:noProof/>
        </w:rPr>
        <w:t>which is the acceleration of electrification in the energy sector</w:t>
      </w:r>
      <w:r w:rsidR="51B78D74">
        <w:rPr>
          <w:noProof/>
        </w:rPr>
        <w:t xml:space="preserve"> to ensure cost-efficient and secure energy transition and decreasing import dependency</w:t>
      </w:r>
      <w:r w:rsidR="003617FF">
        <w:rPr>
          <w:noProof/>
        </w:rPr>
        <w:t xml:space="preserve">. </w:t>
      </w:r>
      <w:r w:rsidR="00577797">
        <w:rPr>
          <w:noProof/>
        </w:rPr>
        <w:t>The e</w:t>
      </w:r>
      <w:r w:rsidR="0B019BE0">
        <w:rPr>
          <w:noProof/>
        </w:rPr>
        <w:t>lectrification action plan includes horizontal action</w:t>
      </w:r>
      <w:r w:rsidR="09D52CCF">
        <w:rPr>
          <w:noProof/>
        </w:rPr>
        <w:t xml:space="preserve">s to achieve indicative electrification objectives as well as sector-specific actions targeting transport, buildings and industry. Efficient network </w:t>
      </w:r>
      <w:r w:rsidR="23E2AD5C">
        <w:rPr>
          <w:noProof/>
        </w:rPr>
        <w:t>charges as well as grid use and development is critical for the success of the Action Plan.</w:t>
      </w:r>
    </w:p>
    <w:p w:rsidR="00050A14" w:rsidRDefault="003A2DC5" w:rsidP="003A2DC5">
      <w:pPr>
        <w:pBdr>
          <w:top w:val="nil"/>
          <w:left w:val="nil"/>
          <w:bottom w:val="nil"/>
          <w:right w:val="nil"/>
          <w:between w:val="nil"/>
          <w:bar w:val="nil"/>
        </w:pBdr>
        <w:spacing w:before="0" w:after="240"/>
        <w:rPr>
          <w:noProof/>
        </w:rPr>
      </w:pPr>
      <w:r w:rsidRPr="00725495">
        <w:rPr>
          <w:noProof/>
        </w:rPr>
        <w:t xml:space="preserve">The proposal’s objectives to </w:t>
      </w:r>
      <w:r w:rsidR="00F10CDC" w:rsidRPr="007E3DA3">
        <w:rPr>
          <w:noProof/>
        </w:rPr>
        <w:t xml:space="preserve">reduce costs for </w:t>
      </w:r>
      <w:r w:rsidRPr="007E3DA3">
        <w:rPr>
          <w:noProof/>
        </w:rPr>
        <w:t>consumers</w:t>
      </w:r>
      <w:r w:rsidRPr="00725495">
        <w:rPr>
          <w:noProof/>
        </w:rPr>
        <w:t xml:space="preserve">, improve </w:t>
      </w:r>
      <w:r w:rsidR="00D46C67">
        <w:rPr>
          <w:noProof/>
        </w:rPr>
        <w:t xml:space="preserve">the </w:t>
      </w:r>
      <w:r w:rsidRPr="00725495">
        <w:rPr>
          <w:noProof/>
        </w:rPr>
        <w:t>competitiveness of EU industry</w:t>
      </w:r>
      <w:r w:rsidR="00F10CDC">
        <w:rPr>
          <w:noProof/>
        </w:rPr>
        <w:t>,</w:t>
      </w:r>
      <w:r w:rsidRPr="00725495">
        <w:rPr>
          <w:noProof/>
        </w:rPr>
        <w:t xml:space="preserve"> and boost renewables and low</w:t>
      </w:r>
      <w:r w:rsidR="00D46C67">
        <w:rPr>
          <w:noProof/>
        </w:rPr>
        <w:t>-</w:t>
      </w:r>
      <w:r w:rsidRPr="00725495">
        <w:rPr>
          <w:noProof/>
        </w:rPr>
        <w:t>carbon investment are consistent with the framework of the European Green Deal</w:t>
      </w:r>
      <w:r w:rsidR="0087376B">
        <w:rPr>
          <w:noProof/>
        </w:rPr>
        <w:t xml:space="preserve"> and </w:t>
      </w:r>
      <w:r w:rsidRPr="00725495">
        <w:rPr>
          <w:noProof/>
        </w:rPr>
        <w:t>the Clean Industrial Deal</w:t>
      </w:r>
      <w:r w:rsidR="0087376B">
        <w:rPr>
          <w:noProof/>
        </w:rPr>
        <w:t xml:space="preserve">, </w:t>
      </w:r>
      <w:r w:rsidR="00666D50">
        <w:rPr>
          <w:noProof/>
        </w:rPr>
        <w:t xml:space="preserve">and </w:t>
      </w:r>
      <w:r w:rsidR="0087376B">
        <w:rPr>
          <w:noProof/>
        </w:rPr>
        <w:t xml:space="preserve">in line with </w:t>
      </w:r>
      <w:r w:rsidRPr="00725495">
        <w:rPr>
          <w:noProof/>
        </w:rPr>
        <w:t xml:space="preserve">current initiatives. </w:t>
      </w:r>
      <w:r w:rsidR="00ED116F">
        <w:rPr>
          <w:noProof/>
        </w:rPr>
        <w:t>The proposal</w:t>
      </w:r>
      <w:r w:rsidRPr="00725495">
        <w:rPr>
          <w:noProof/>
        </w:rPr>
        <w:t xml:space="preserve"> responds to the issues that were identified in the Commission’s Action Plan for Affordable Energy in February 2025, </w:t>
      </w:r>
      <w:r w:rsidR="002020A7">
        <w:rPr>
          <w:noProof/>
        </w:rPr>
        <w:t>i.e.,</w:t>
      </w:r>
      <w:r w:rsidR="002020A7" w:rsidRPr="00725495">
        <w:rPr>
          <w:noProof/>
        </w:rPr>
        <w:t xml:space="preserve"> </w:t>
      </w:r>
      <w:r w:rsidRPr="00725495">
        <w:rPr>
          <w:noProof/>
        </w:rPr>
        <w:t xml:space="preserve">that high energy costs put the competitiveness of European companies </w:t>
      </w:r>
      <w:r w:rsidR="001F02F6">
        <w:rPr>
          <w:noProof/>
        </w:rPr>
        <w:t xml:space="preserve">at risk </w:t>
      </w:r>
      <w:r w:rsidRPr="00725495">
        <w:rPr>
          <w:noProof/>
        </w:rPr>
        <w:t>and represent a significant burden for consumers.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It is therefore imperative to ensure </w:t>
      </w:r>
      <w:r w:rsidR="001F02F6">
        <w:rPr>
          <w:noProof/>
        </w:rPr>
        <w:t xml:space="preserve">that </w:t>
      </w:r>
      <w:r w:rsidRPr="00725495">
        <w:rPr>
          <w:noProof/>
        </w:rPr>
        <w:t xml:space="preserve">an efficient use of the energy system, supported by an appropriate </w:t>
      </w:r>
      <w:r w:rsidR="006E036D">
        <w:rPr>
          <w:noProof/>
        </w:rPr>
        <w:t xml:space="preserve">tax </w:t>
      </w:r>
      <w:r w:rsidRPr="00725495">
        <w:rPr>
          <w:noProof/>
        </w:rPr>
        <w:t>structure, play</w:t>
      </w:r>
      <w:r w:rsidR="00865149">
        <w:rPr>
          <w:noProof/>
        </w:rPr>
        <w:t>s</w:t>
      </w:r>
      <w:r w:rsidRPr="00725495">
        <w:rPr>
          <w:noProof/>
        </w:rPr>
        <w:t xml:space="preserve"> an important role </w:t>
      </w:r>
      <w:r w:rsidR="00A4086E">
        <w:rPr>
          <w:noProof/>
        </w:rPr>
        <w:t>in</w:t>
      </w:r>
      <w:r w:rsidRPr="00725495">
        <w:rPr>
          <w:noProof/>
        </w:rPr>
        <w:t xml:space="preserve"> enabl</w:t>
      </w:r>
      <w:r w:rsidR="00A4086E">
        <w:rPr>
          <w:noProof/>
        </w:rPr>
        <w:t>ing</w:t>
      </w:r>
      <w:r w:rsidRPr="00725495">
        <w:rPr>
          <w:noProof/>
        </w:rPr>
        <w:t xml:space="preserve"> electricity users to benefit from more predictable and lower energy costs. </w:t>
      </w:r>
    </w:p>
    <w:p w:rsidR="003A2DC5" w:rsidRDefault="003A2DC5" w:rsidP="003A2DC5">
      <w:pPr>
        <w:pBdr>
          <w:top w:val="nil"/>
          <w:left w:val="nil"/>
          <w:bottom w:val="nil"/>
          <w:right w:val="nil"/>
          <w:between w:val="nil"/>
          <w:bar w:val="nil"/>
        </w:pBdr>
        <w:spacing w:before="0" w:after="240"/>
        <w:rPr>
          <w:noProof/>
        </w:rPr>
      </w:pPr>
      <w:r w:rsidRPr="00725495">
        <w:rPr>
          <w:noProof/>
        </w:rPr>
        <w:t xml:space="preserve">The proposed initiative is strongly linked </w:t>
      </w:r>
      <w:r w:rsidR="00A30679">
        <w:rPr>
          <w:noProof/>
        </w:rPr>
        <w:t xml:space="preserve">to </w:t>
      </w:r>
      <w:r w:rsidRPr="00725495">
        <w:rPr>
          <w:noProof/>
        </w:rPr>
        <w:t xml:space="preserve">and </w:t>
      </w:r>
      <w:r w:rsidR="00A30679">
        <w:rPr>
          <w:noProof/>
        </w:rPr>
        <w:t>works well with</w:t>
      </w:r>
      <w:r w:rsidR="00B61730">
        <w:rPr>
          <w:noProof/>
        </w:rPr>
        <w:t xml:space="preserve"> </w:t>
      </w:r>
      <w:r w:rsidRPr="00725495">
        <w:rPr>
          <w:noProof/>
        </w:rPr>
        <w:t xml:space="preserve">the legislative proposals </w:t>
      </w:r>
      <w:r w:rsidR="000B6D8E">
        <w:rPr>
          <w:noProof/>
        </w:rPr>
        <w:t>put</w:t>
      </w:r>
      <w:r w:rsidR="000B6D8E" w:rsidRPr="00725495">
        <w:rPr>
          <w:noProof/>
        </w:rPr>
        <w:t xml:space="preserve"> </w:t>
      </w:r>
      <w:r w:rsidRPr="00725495">
        <w:rPr>
          <w:noProof/>
        </w:rPr>
        <w:t xml:space="preserve">forward in the European Grids Package. It </w:t>
      </w:r>
      <w:r w:rsidR="005466C9">
        <w:rPr>
          <w:noProof/>
        </w:rPr>
        <w:t>aims</w:t>
      </w:r>
      <w:r w:rsidRPr="00725495">
        <w:rPr>
          <w:noProof/>
        </w:rPr>
        <w:t xml:space="preserve"> to make the best use of existing grid infrastructure to reduce the cost of grid to what is necessary</w:t>
      </w:r>
      <w:r w:rsidR="00515F0C">
        <w:rPr>
          <w:noProof/>
        </w:rPr>
        <w:t>. Therefore, it</w:t>
      </w:r>
      <w:r w:rsidRPr="00725495">
        <w:rPr>
          <w:noProof/>
        </w:rPr>
        <w:t xml:space="preserve"> complements the European Grids Package, which aims to make the planning of new grid infrastructure more efficient and cost-effective</w:t>
      </w:r>
      <w:r w:rsidR="001B2358">
        <w:rPr>
          <w:noProof/>
        </w:rPr>
        <w:t>. This includes giving</w:t>
      </w:r>
      <w:r w:rsidRPr="00725495">
        <w:rPr>
          <w:noProof/>
        </w:rPr>
        <w:t xml:space="preserve"> priority consideration </w:t>
      </w:r>
      <w:r w:rsidR="0073429A">
        <w:rPr>
          <w:noProof/>
        </w:rPr>
        <w:t>to</w:t>
      </w:r>
      <w:r w:rsidRPr="00725495">
        <w:rPr>
          <w:noProof/>
        </w:rPr>
        <w:t xml:space="preserve"> alternatives to network development like non-wire, smart and digital solutions or non-fossil flexibility such as demand response and storage in the network planning both </w:t>
      </w:r>
      <w:r w:rsidR="006B36F1">
        <w:rPr>
          <w:noProof/>
        </w:rPr>
        <w:t>at</w:t>
      </w:r>
      <w:r w:rsidR="006B36F1" w:rsidRPr="00725495">
        <w:rPr>
          <w:noProof/>
        </w:rPr>
        <w:t xml:space="preserve"> </w:t>
      </w:r>
      <w:r w:rsidRPr="00725495">
        <w:rPr>
          <w:noProof/>
        </w:rPr>
        <w:t xml:space="preserve">national and </w:t>
      </w:r>
      <w:r w:rsidR="004C400B">
        <w:rPr>
          <w:noProof/>
        </w:rPr>
        <w:t>Union</w:t>
      </w:r>
      <w:r w:rsidR="004C400B" w:rsidRPr="00725495">
        <w:rPr>
          <w:noProof/>
        </w:rPr>
        <w:t xml:space="preserve"> </w:t>
      </w:r>
      <w:r w:rsidRPr="00725495">
        <w:rPr>
          <w:noProof/>
        </w:rPr>
        <w:t>level</w:t>
      </w:r>
      <w:r w:rsidR="004C400B">
        <w:rPr>
          <w:noProof/>
        </w:rPr>
        <w:t>s</w:t>
      </w:r>
      <w:r w:rsidRPr="00725495">
        <w:rPr>
          <w:noProof/>
        </w:rPr>
        <w:t>.  The proposal strengthens the regulatory framework for the deployment of non-wire, smart and digital solutions and their use in system operation</w:t>
      </w:r>
      <w:r w:rsidR="00BD214C">
        <w:rPr>
          <w:noProof/>
        </w:rPr>
        <w:t xml:space="preserve"> on a national</w:t>
      </w:r>
      <w:r w:rsidR="000157CA">
        <w:rPr>
          <w:noProof/>
        </w:rPr>
        <w:t xml:space="preserve"> level, while the </w:t>
      </w:r>
      <w:r w:rsidR="007E3DA3">
        <w:rPr>
          <w:noProof/>
        </w:rPr>
        <w:t>European</w:t>
      </w:r>
      <w:r w:rsidR="000157CA">
        <w:rPr>
          <w:noProof/>
        </w:rPr>
        <w:t xml:space="preserve"> Grids </w:t>
      </w:r>
      <w:r w:rsidR="009B17B2">
        <w:rPr>
          <w:noProof/>
        </w:rPr>
        <w:t>P</w:t>
      </w:r>
      <w:r w:rsidR="000157CA">
        <w:rPr>
          <w:noProof/>
        </w:rPr>
        <w:t>ackage focuses more prominently on cross-border infrastructure</w:t>
      </w:r>
      <w:r w:rsidR="00ED4207">
        <w:rPr>
          <w:noProof/>
        </w:rPr>
        <w:t>. It does so</w:t>
      </w:r>
      <w:r w:rsidRPr="00725495">
        <w:rPr>
          <w:noProof/>
        </w:rPr>
        <w:t xml:space="preserve"> by ensuring that such solutions are promoted whenever they can improve the usable capacity, flexibility and reliability of electricity networks in a cost-efficient manner</w:t>
      </w:r>
      <w:r w:rsidR="007E3DA3">
        <w:rPr>
          <w:noProof/>
        </w:rPr>
        <w:t>.</w:t>
      </w:r>
      <w:r w:rsidR="004B36C8">
        <w:rPr>
          <w:noProof/>
        </w:rPr>
        <w:t xml:space="preserve"> It</w:t>
      </w:r>
      <w:r w:rsidRPr="00725495">
        <w:rPr>
          <w:noProof/>
        </w:rPr>
        <w:t xml:space="preserve"> reinforc</w:t>
      </w:r>
      <w:r w:rsidR="004B36C8">
        <w:rPr>
          <w:noProof/>
        </w:rPr>
        <w:t>es</w:t>
      </w:r>
      <w:r w:rsidRPr="00725495">
        <w:rPr>
          <w:noProof/>
        </w:rPr>
        <w:t xml:space="preserve"> the policy direction already </w:t>
      </w:r>
      <w:r w:rsidR="00156A9A">
        <w:rPr>
          <w:noProof/>
        </w:rPr>
        <w:t>taken</w:t>
      </w:r>
      <w:r w:rsidR="00156A9A" w:rsidRPr="00725495">
        <w:rPr>
          <w:noProof/>
        </w:rPr>
        <w:t xml:space="preserve"> </w:t>
      </w:r>
      <w:r w:rsidRPr="00725495">
        <w:rPr>
          <w:noProof/>
        </w:rPr>
        <w:t xml:space="preserve">under the European Grids Package to give priority in network planning to non-wire solutions alongside non-fossil flexibility. </w:t>
      </w:r>
      <w:r w:rsidR="0028736C" w:rsidRPr="001B4B87">
        <w:rPr>
          <w:noProof/>
        </w:rPr>
        <w:t xml:space="preserve">On grid access, the legal proposal is fully consistent with the goals of the European Grids Package by implementing the provisions of the Guidance on efficient and timely grid connections related to efficient and non-discriminatory grid connection procedures in case of congestion management in the EU legal framework, </w:t>
      </w:r>
      <w:r w:rsidR="00BA466C" w:rsidRPr="001B4B87">
        <w:rPr>
          <w:noProof/>
        </w:rPr>
        <w:t>hence reinforcing ongoing work on Guidance implementation</w:t>
      </w:r>
      <w:r w:rsidR="0028736C" w:rsidRPr="001B4B87">
        <w:rPr>
          <w:noProof/>
        </w:rPr>
        <w:t>.</w:t>
      </w:r>
    </w:p>
    <w:p w:rsidR="003A2DC5" w:rsidRPr="00725495" w:rsidRDefault="00B6737C" w:rsidP="003A2DC5">
      <w:pPr>
        <w:pBdr>
          <w:top w:val="nil"/>
          <w:left w:val="nil"/>
          <w:bottom w:val="nil"/>
          <w:right w:val="nil"/>
          <w:between w:val="nil"/>
          <w:bar w:val="nil"/>
        </w:pBdr>
        <w:spacing w:before="0" w:after="240"/>
        <w:rPr>
          <w:noProof/>
        </w:rPr>
      </w:pPr>
      <w:r>
        <w:rPr>
          <w:noProof/>
        </w:rPr>
        <w:t>In line with the objectives of the Citizens Energy Package</w:t>
      </w:r>
      <w:r w:rsidR="002C7815">
        <w:rPr>
          <w:rStyle w:val="FootnoteReference"/>
          <w:noProof/>
        </w:rPr>
        <w:footnoteReference w:id="19"/>
      </w:r>
      <w:r>
        <w:rPr>
          <w:noProof/>
        </w:rPr>
        <w:t xml:space="preserve"> to empower consumers and strengthen their participation in the energy market</w:t>
      </w:r>
      <w:r w:rsidR="0063779E">
        <w:rPr>
          <w:noProof/>
        </w:rPr>
        <w:t>, t</w:t>
      </w:r>
      <w:r w:rsidR="0063779E" w:rsidRPr="00725495">
        <w:rPr>
          <w:noProof/>
        </w:rPr>
        <w:t xml:space="preserve">he </w:t>
      </w:r>
      <w:r w:rsidR="003A2DC5" w:rsidRPr="00725495">
        <w:rPr>
          <w:noProof/>
        </w:rPr>
        <w:t>proposal also seeks to reduce final energy costs for consumers by providing the right incentives to use European grids in an optimal way</w:t>
      </w:r>
      <w:r w:rsidR="00770555">
        <w:rPr>
          <w:noProof/>
        </w:rPr>
        <w:t xml:space="preserve">. </w:t>
      </w:r>
      <w:r w:rsidR="00C76791" w:rsidRPr="007E3DA3">
        <w:rPr>
          <w:rStyle w:val="Strong"/>
          <w:b w:val="0"/>
          <w:bCs w:val="0"/>
          <w:noProof/>
        </w:rPr>
        <w:t xml:space="preserve">This is consistent with findings of the </w:t>
      </w:r>
      <w:r w:rsidR="00D57771">
        <w:rPr>
          <w:rStyle w:val="Strong"/>
          <w:b w:val="0"/>
          <w:bCs w:val="0"/>
          <w:noProof/>
        </w:rPr>
        <w:t>r</w:t>
      </w:r>
      <w:r w:rsidR="00C76791" w:rsidRPr="007E3DA3">
        <w:rPr>
          <w:rStyle w:val="Strong"/>
          <w:b w:val="0"/>
          <w:bCs w:val="0"/>
          <w:noProof/>
        </w:rPr>
        <w:t xml:space="preserve">eport on </w:t>
      </w:r>
      <w:r w:rsidR="00BF7F7D" w:rsidRPr="007E3DA3">
        <w:rPr>
          <w:rStyle w:val="Strong"/>
          <w:b w:val="0"/>
          <w:bCs w:val="0"/>
          <w:noProof/>
        </w:rPr>
        <w:t>market-based electricity supply prices and promoting remuneration of flexibility in retail contracts</w:t>
      </w:r>
      <w:r w:rsidR="0012231C">
        <w:rPr>
          <w:rStyle w:val="FootnoteReference"/>
          <w:noProof/>
        </w:rPr>
        <w:footnoteReference w:id="20"/>
      </w:r>
      <w:r w:rsidR="00C76791" w:rsidRPr="007E3DA3">
        <w:rPr>
          <w:rStyle w:val="Strong"/>
          <w:b w:val="0"/>
          <w:bCs w:val="0"/>
          <w:noProof/>
        </w:rPr>
        <w:t xml:space="preserve"> under the Citizens Energy Package implementation set, which highlights the importance of smart meter rollout.</w:t>
      </w:r>
      <w:r w:rsidR="00C76791" w:rsidRPr="007E3DA3">
        <w:rPr>
          <w:b/>
          <w:noProof/>
        </w:rPr>
        <w:t xml:space="preserve"> </w:t>
      </w:r>
      <w:r w:rsidR="00C76791" w:rsidRPr="007E3DA3">
        <w:rPr>
          <w:rStyle w:val="Strong"/>
          <w:b w:val="0"/>
          <w:bCs w:val="0"/>
          <w:noProof/>
        </w:rPr>
        <w:t xml:space="preserve">The proposal </w:t>
      </w:r>
      <w:r w:rsidR="005052D2">
        <w:rPr>
          <w:noProof/>
        </w:rPr>
        <w:t>delivers on</w:t>
      </w:r>
      <w:r w:rsidR="00770555">
        <w:rPr>
          <w:noProof/>
        </w:rPr>
        <w:t xml:space="preserve"> this</w:t>
      </w:r>
      <w:r w:rsidR="003A2DC5" w:rsidRPr="00725495">
        <w:rPr>
          <w:noProof/>
        </w:rPr>
        <w:t xml:space="preserve"> by </w:t>
      </w:r>
      <w:r w:rsidR="00A872FC">
        <w:rPr>
          <w:noProof/>
        </w:rPr>
        <w:t>increasing</w:t>
      </w:r>
      <w:r w:rsidR="00A872FC" w:rsidRPr="00725495">
        <w:rPr>
          <w:noProof/>
        </w:rPr>
        <w:t xml:space="preserve"> </w:t>
      </w:r>
      <w:r w:rsidR="003A2DC5" w:rsidRPr="00725495">
        <w:rPr>
          <w:noProof/>
        </w:rPr>
        <w:t>observability of the grid via smart meters</w:t>
      </w:r>
      <w:r w:rsidR="00335134">
        <w:rPr>
          <w:noProof/>
        </w:rPr>
        <w:t>, thereby enabling more active consumer participation and facilitating demand-side flexibility, while helping</w:t>
      </w:r>
      <w:r w:rsidR="003A2DC5" w:rsidRPr="00725495">
        <w:rPr>
          <w:noProof/>
        </w:rPr>
        <w:t xml:space="preserve"> to protect consumers against rising energy costs and to safeguard </w:t>
      </w:r>
      <w:r w:rsidR="00472AB3">
        <w:rPr>
          <w:noProof/>
        </w:rPr>
        <w:t xml:space="preserve">the </w:t>
      </w:r>
      <w:r w:rsidR="003A2DC5" w:rsidRPr="00725495">
        <w:rPr>
          <w:noProof/>
        </w:rPr>
        <w:t xml:space="preserve">competitiveness of European industries. To this end, it introduces a Union-wide baseline for smart meter deployment, aimed at achieving sufficient uptake to support more responsive system operation and improved use of network capacity. In parallel, it clarifies that the role of cost-benefit assessments is limited to deployment beyond that baseline, ensuring a </w:t>
      </w:r>
      <w:r w:rsidR="00BE786A">
        <w:rPr>
          <w:noProof/>
        </w:rPr>
        <w:t>consistent</w:t>
      </w:r>
      <w:r w:rsidR="00BE786A" w:rsidRPr="00725495">
        <w:rPr>
          <w:noProof/>
        </w:rPr>
        <w:t xml:space="preserve"> </w:t>
      </w:r>
      <w:r w:rsidR="003A2DC5" w:rsidRPr="00725495">
        <w:rPr>
          <w:noProof/>
        </w:rPr>
        <w:t>approach across the Union while maintaining flexibility for Member States.</w:t>
      </w:r>
    </w:p>
    <w:p w:rsidR="003A2DC5" w:rsidRDefault="003A2DC5" w:rsidP="003A2DC5">
      <w:pPr>
        <w:pBdr>
          <w:top w:val="nil"/>
          <w:left w:val="nil"/>
          <w:bottom w:val="nil"/>
          <w:right w:val="nil"/>
          <w:between w:val="nil"/>
          <w:bar w:val="nil"/>
        </w:pBdr>
        <w:spacing w:before="0" w:after="240"/>
        <w:rPr>
          <w:noProof/>
        </w:rPr>
      </w:pPr>
      <w:r w:rsidRPr="00725495">
        <w:rPr>
          <w:noProof/>
        </w:rPr>
        <w:t xml:space="preserve">It is also consistent with the Union’s broader digital and energy policy framework, including the </w:t>
      </w:r>
      <w:r w:rsidR="00F178F1">
        <w:rPr>
          <w:noProof/>
        </w:rPr>
        <w:t>Regulation on harmonised rules on fair access to and use of data (</w:t>
      </w:r>
      <w:r w:rsidR="00E623E6">
        <w:rPr>
          <w:noProof/>
        </w:rPr>
        <w:t xml:space="preserve">the </w:t>
      </w:r>
      <w:r w:rsidRPr="00725495">
        <w:rPr>
          <w:noProof/>
        </w:rPr>
        <w:t>Data Act</w:t>
      </w:r>
      <w:r w:rsidR="00F178F1">
        <w:rPr>
          <w:noProof/>
        </w:rPr>
        <w:t>)</w:t>
      </w:r>
      <w:r w:rsidRPr="003A2DC5">
        <w:rPr>
          <w:rStyle w:val="FootnoteReference"/>
          <w:noProof/>
        </w:rPr>
        <w:footnoteReference w:id="21"/>
      </w:r>
      <w:r w:rsidRPr="00725495">
        <w:rPr>
          <w:noProof/>
        </w:rPr>
        <w:t xml:space="preserve">, </w:t>
      </w:r>
      <w:r w:rsidR="007E3DA3" w:rsidRPr="00725495">
        <w:rPr>
          <w:noProof/>
        </w:rPr>
        <w:t xml:space="preserve">the </w:t>
      </w:r>
      <w:r w:rsidR="007E3DA3">
        <w:rPr>
          <w:noProof/>
        </w:rPr>
        <w:t>Regulation</w:t>
      </w:r>
      <w:r w:rsidR="00E623E6">
        <w:rPr>
          <w:noProof/>
        </w:rPr>
        <w:t xml:space="preserve"> on harmonised rules on fair access to and use of data (the </w:t>
      </w:r>
      <w:r w:rsidRPr="00725495">
        <w:rPr>
          <w:noProof/>
        </w:rPr>
        <w:t>AI Act</w:t>
      </w:r>
      <w:r w:rsidR="00E623E6">
        <w:rPr>
          <w:noProof/>
        </w:rPr>
        <w:t>)</w:t>
      </w:r>
      <w:r w:rsidRPr="003A2DC5">
        <w:rPr>
          <w:rStyle w:val="FootnoteReference"/>
          <w:noProof/>
        </w:rPr>
        <w:footnoteReference w:id="22"/>
      </w:r>
      <w:r w:rsidRPr="00487462">
        <w:rPr>
          <w:noProof/>
        </w:rPr>
        <w:t xml:space="preserve"> and existing electricity market legislation</w:t>
      </w:r>
      <w:r w:rsidRPr="003A2DC5">
        <w:rPr>
          <w:rStyle w:val="FootnoteReference"/>
          <w:noProof/>
        </w:rPr>
        <w:footnoteReference w:id="23"/>
      </w:r>
      <w:r w:rsidRPr="00725495">
        <w:rPr>
          <w:noProof/>
        </w:rPr>
        <w:t xml:space="preserve"> on data management and interoperability. The proposal complements those instruments by addressing sector-specific needs linked to electricity grid data exchange and the development of innovative digital and AI-based solutions for electricity grid system operation and optimisation</w:t>
      </w:r>
      <w:r w:rsidR="00E623E6">
        <w:rPr>
          <w:noProof/>
        </w:rPr>
        <w:t>. At the same time,</w:t>
      </w:r>
      <w:r w:rsidRPr="00725495">
        <w:rPr>
          <w:noProof/>
        </w:rPr>
        <w:t xml:space="preserve"> </w:t>
      </w:r>
      <w:r w:rsidR="00E623E6">
        <w:rPr>
          <w:noProof/>
        </w:rPr>
        <w:t>it</w:t>
      </w:r>
      <w:r w:rsidRPr="00725495">
        <w:rPr>
          <w:noProof/>
        </w:rPr>
        <w:t xml:space="preserve"> ensur</w:t>
      </w:r>
      <w:r w:rsidR="00E623E6">
        <w:rPr>
          <w:noProof/>
        </w:rPr>
        <w:t>es</w:t>
      </w:r>
      <w:r w:rsidRPr="00725495">
        <w:rPr>
          <w:noProof/>
        </w:rPr>
        <w:t xml:space="preserve"> alignment with Union rules on data protection, cybersecurity, transparency and lawful data use and support</w:t>
      </w:r>
      <w:r w:rsidR="008A4A70">
        <w:rPr>
          <w:noProof/>
        </w:rPr>
        <w:t>s</w:t>
      </w:r>
      <w:r w:rsidRPr="00725495">
        <w:rPr>
          <w:noProof/>
        </w:rPr>
        <w:t xml:space="preserve"> the development of European digital and AI-based solutions for critical energy infrastructure, thereby contributing to the Union’s strategic autonomy.</w:t>
      </w:r>
      <w:r w:rsidR="00B91C6C">
        <w:rPr>
          <w:noProof/>
        </w:rPr>
        <w:t xml:space="preserve"> </w:t>
      </w:r>
      <w:bookmarkStart w:id="10" w:name="_Hlk231814309"/>
      <w:r w:rsidR="00B91C6C" w:rsidRPr="00B91C6C">
        <w:rPr>
          <w:noProof/>
        </w:rPr>
        <w:t>It also contributes to the objectives of the Cloud and AI Development Act (CADA)</w:t>
      </w:r>
      <w:r w:rsidR="00C905CA">
        <w:rPr>
          <w:noProof/>
        </w:rPr>
        <w:t xml:space="preserve">, notably by improving the use of existing infrastructure, hence enabling </w:t>
      </w:r>
      <w:r w:rsidR="00835E84">
        <w:rPr>
          <w:noProof/>
        </w:rPr>
        <w:t xml:space="preserve">more timely </w:t>
      </w:r>
      <w:r w:rsidR="00C905CA">
        <w:rPr>
          <w:noProof/>
        </w:rPr>
        <w:t>grid connections</w:t>
      </w:r>
      <w:r w:rsidR="000F7A3B">
        <w:rPr>
          <w:noProof/>
        </w:rPr>
        <w:t xml:space="preserve"> and thereby timely</w:t>
      </w:r>
      <w:r w:rsidR="00C905CA">
        <w:rPr>
          <w:noProof/>
        </w:rPr>
        <w:t xml:space="preserve"> </w:t>
      </w:r>
      <w:r w:rsidR="00B91C6C" w:rsidRPr="00B91C6C">
        <w:rPr>
          <w:noProof/>
        </w:rPr>
        <w:t xml:space="preserve">deployment of cloud and AI infrastructure, including data centres. </w:t>
      </w:r>
      <w:bookmarkEnd w:id="10"/>
    </w:p>
    <w:p w:rsidR="00033A71" w:rsidRPr="00725495" w:rsidRDefault="00033A71" w:rsidP="003A2DC5">
      <w:pPr>
        <w:pBdr>
          <w:top w:val="nil"/>
          <w:left w:val="nil"/>
          <w:bottom w:val="nil"/>
          <w:right w:val="nil"/>
          <w:between w:val="nil"/>
          <w:bar w:val="nil"/>
        </w:pBdr>
        <w:spacing w:before="0" w:after="240"/>
        <w:rPr>
          <w:noProof/>
        </w:rPr>
      </w:pPr>
      <w:r>
        <w:rPr>
          <w:noProof/>
        </w:rPr>
        <w:t>Furthermore, t</w:t>
      </w:r>
      <w:r w:rsidRPr="00033A71">
        <w:rPr>
          <w:noProof/>
        </w:rPr>
        <w:t xml:space="preserve">he proposal is also consistent with the </w:t>
      </w:r>
      <w:r w:rsidRPr="008A2E5F">
        <w:rPr>
          <w:noProof/>
        </w:rPr>
        <w:t>European Climate Law</w:t>
      </w:r>
      <w:r w:rsidRPr="00033A71">
        <w:rPr>
          <w:noProof/>
        </w:rPr>
        <w:t>, as it supports emissions reductions through improved energy efficiency, demand-side flexibility and the integration of renewable energy sources, contributing to a more decarbonised and resilient energy system.</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 xml:space="preserve">This proposal </w:t>
      </w:r>
      <w:r w:rsidR="003105A7">
        <w:rPr>
          <w:noProof/>
        </w:rPr>
        <w:t>also</w:t>
      </w:r>
      <w:r w:rsidRPr="00725495">
        <w:rPr>
          <w:noProof/>
        </w:rPr>
        <w:t xml:space="preserve"> delivers on the political commitment made by President von der Leyen, who announced in her letter to the Heads of State and Government ahead of the March 2026 EU Council, dated 16 March 2026, that there is clear scope</w:t>
      </w:r>
      <w:r w:rsidR="00466B9B">
        <w:rPr>
          <w:noProof/>
        </w:rPr>
        <w:t xml:space="preserve"> </w:t>
      </w:r>
      <w:r w:rsidRPr="00725495">
        <w:rPr>
          <w:noProof/>
        </w:rPr>
        <w:t>to reduce electricity taxation</w:t>
      </w:r>
      <w:r w:rsidR="00466B9B">
        <w:rPr>
          <w:noProof/>
        </w:rPr>
        <w:t>, including through legislation</w:t>
      </w:r>
      <w:r w:rsidR="004821B1">
        <w:rPr>
          <w:noProof/>
        </w:rPr>
        <w:t>. This can be done</w:t>
      </w:r>
      <w:r w:rsidRPr="00725495">
        <w:rPr>
          <w:noProof/>
        </w:rPr>
        <w:t xml:space="preserve"> by ensuring that electricity is taxed more favourably than gas and </w:t>
      </w:r>
      <w:r w:rsidR="004821B1">
        <w:rPr>
          <w:noProof/>
        </w:rPr>
        <w:t>by</w:t>
      </w:r>
      <w:r w:rsidR="004821B1" w:rsidRPr="00725495">
        <w:rPr>
          <w:noProof/>
        </w:rPr>
        <w:t xml:space="preserve"> </w:t>
      </w:r>
      <w:r w:rsidRPr="00725495">
        <w:rPr>
          <w:noProof/>
        </w:rPr>
        <w:t>facilitating reductions on the taxation of electricity used by energy</w:t>
      </w:r>
      <w:r w:rsidR="00AA7A02">
        <w:rPr>
          <w:noProof/>
        </w:rPr>
        <w:t>-</w:t>
      </w:r>
      <w:r w:rsidRPr="00725495">
        <w:rPr>
          <w:noProof/>
        </w:rPr>
        <w:t>intensive businesses.</w:t>
      </w:r>
    </w:p>
    <w:p w:rsidR="003A2DC5" w:rsidRPr="003A2DC5" w:rsidRDefault="003A2DC5" w:rsidP="003A2DC5">
      <w:pPr>
        <w:pStyle w:val="ManualHeading1"/>
        <w:rPr>
          <w:noProof/>
        </w:rPr>
      </w:pPr>
      <w:bookmarkStart w:id="11" w:name="_Toc234241692"/>
      <w:bookmarkStart w:id="12" w:name="_Toc234245481"/>
      <w:r w:rsidRPr="003A2DC5">
        <w:rPr>
          <w:noProof/>
        </w:rPr>
        <w:t>2.</w:t>
      </w:r>
      <w:r w:rsidRPr="003A2DC5">
        <w:rPr>
          <w:noProof/>
        </w:rPr>
        <w:tab/>
        <w:t>LEGAL BASIS, SUBSIDIARITY AND PROPORTIONALITY</w:t>
      </w:r>
      <w:bookmarkEnd w:id="11"/>
      <w:bookmarkEnd w:id="12"/>
    </w:p>
    <w:p w:rsidR="003A2DC5" w:rsidRPr="00D37E28" w:rsidRDefault="003A2DC5" w:rsidP="00D37E28">
      <w:pPr>
        <w:pStyle w:val="Bullet0"/>
        <w:rPr>
          <w:rFonts w:eastAsia="Arial Unicode MS"/>
          <w:b/>
          <w:bCs/>
          <w:noProof/>
          <w:u w:color="000000"/>
          <w:bdr w:val="nil"/>
          <w:lang w:val="en-US" w:eastAsia="en-GB"/>
        </w:rPr>
      </w:pPr>
      <w:bookmarkStart w:id="13" w:name="_Toc234241693"/>
      <w:bookmarkStart w:id="14" w:name="_Toc234245482"/>
      <w:r w:rsidRPr="00D37E28">
        <w:rPr>
          <w:b/>
          <w:bCs/>
          <w:noProof/>
        </w:rPr>
        <w:t>Legal</w:t>
      </w:r>
      <w:r w:rsidRPr="00D37E28">
        <w:rPr>
          <w:rFonts w:eastAsia="Arial Unicode MS"/>
          <w:b/>
          <w:bCs/>
          <w:noProof/>
          <w:u w:color="000000"/>
          <w:bdr w:val="nil"/>
          <w:lang w:val="en-US" w:eastAsia="en-GB"/>
        </w:rPr>
        <w:t xml:space="preserve"> basis</w:t>
      </w:r>
      <w:bookmarkEnd w:id="13"/>
      <w:bookmarkEnd w:id="14"/>
    </w:p>
    <w:p w:rsidR="003A2DC5" w:rsidRPr="00725495" w:rsidRDefault="003A2DC5" w:rsidP="003A2DC5">
      <w:pPr>
        <w:pBdr>
          <w:top w:val="nil"/>
          <w:left w:val="nil"/>
          <w:bottom w:val="nil"/>
          <w:right w:val="nil"/>
          <w:between w:val="nil"/>
          <w:bar w:val="nil"/>
        </w:pBdr>
        <w:spacing w:before="0" w:after="240"/>
        <w:rPr>
          <w:noProof/>
        </w:rPr>
      </w:pPr>
      <w:r w:rsidRPr="00487462">
        <w:rPr>
          <w:noProof/>
        </w:rPr>
        <w:t>The proposal is based on Article 194(2) of the Treaty on the Functioning of the European Union (TFEU), which provides the legal basis for proposing measures aiming inter alia to ensure the functioning of the energy market, promote energy efficiency and energy saving and the development of new and renewable forms of energy</w:t>
      </w:r>
      <w:r w:rsidRPr="003A2DC5">
        <w:rPr>
          <w:rStyle w:val="FootnoteReference"/>
          <w:noProof/>
        </w:rPr>
        <w:footnoteReference w:id="24"/>
      </w:r>
      <w:r w:rsidR="009C476B">
        <w:rPr>
          <w:noProof/>
        </w:rPr>
        <w:t>.</w:t>
      </w:r>
      <w:r w:rsidRPr="00725495">
        <w:rPr>
          <w:noProof/>
        </w:rPr>
        <w:t xml:space="preserve"> In the field of energy, the </w:t>
      </w:r>
      <w:r w:rsidR="00AA7A02">
        <w:rPr>
          <w:noProof/>
        </w:rPr>
        <w:t>Union</w:t>
      </w:r>
      <w:r w:rsidR="00AA7A02" w:rsidRPr="00725495">
        <w:rPr>
          <w:noProof/>
        </w:rPr>
        <w:t xml:space="preserve"> </w:t>
      </w:r>
      <w:r w:rsidRPr="00725495">
        <w:rPr>
          <w:noProof/>
        </w:rPr>
        <w:t>has a shared competence pursuant to Article 4(2)(i) TFEU.</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The proposal also includes targeted taxation measures</w:t>
      </w:r>
      <w:r w:rsidR="00B815FC">
        <w:rPr>
          <w:noProof/>
        </w:rPr>
        <w:t>,</w:t>
      </w:r>
      <w:r w:rsidRPr="00725495">
        <w:rPr>
          <w:noProof/>
        </w:rPr>
        <w:t xml:space="preserve"> which are purely ancillary to the main energy system objective ensuring the functioning of the energy market as listed in Article 194(2) </w:t>
      </w:r>
      <w:r w:rsidR="008A73A8">
        <w:rPr>
          <w:noProof/>
        </w:rPr>
        <w:t>TFEU</w:t>
      </w:r>
      <w:r w:rsidRPr="00725495">
        <w:rPr>
          <w:noProof/>
        </w:rPr>
        <w:t xml:space="preserve">. Specifically, the taxation measures are designed to support the achievement of this objective by complementing and reinforcing the objective of increasing the cost-effectiveness of network charges with targeted measures aiming at lowering electricity costs for consumers, thereby increasing its affordability, ensure a level playing field between energy consumers across the EU and support the EU’s electrification objectives. These measures consist of general principles and clarifications </w:t>
      </w:r>
      <w:r w:rsidR="3655783A">
        <w:rPr>
          <w:noProof/>
        </w:rPr>
        <w:t>and complement</w:t>
      </w:r>
      <w:r w:rsidRPr="00725495">
        <w:rPr>
          <w:noProof/>
        </w:rPr>
        <w:t xml:space="preserve"> the existing EU harmonised framework as set out in Council Directive 2003/96/EU. </w:t>
      </w:r>
    </w:p>
    <w:p w:rsidR="003A2DC5" w:rsidRPr="003A2DC5" w:rsidRDefault="003A2DC5" w:rsidP="00D37E28">
      <w:pPr>
        <w:pStyle w:val="Bullet0"/>
        <w:rPr>
          <w:rFonts w:eastAsia="Arial Unicode MS"/>
          <w:noProof/>
          <w:u w:color="000000"/>
          <w:bdr w:val="nil"/>
          <w:lang w:val="en-US" w:eastAsia="en-GB"/>
        </w:rPr>
      </w:pPr>
      <w:bookmarkStart w:id="15" w:name="_Toc234241694"/>
      <w:bookmarkStart w:id="16" w:name="_Toc234245483"/>
      <w:r w:rsidRPr="00D37E28">
        <w:rPr>
          <w:b/>
          <w:bCs/>
          <w:noProof/>
        </w:rPr>
        <w:t>Subsidiarity</w:t>
      </w:r>
      <w:r w:rsidRPr="00D37E28">
        <w:rPr>
          <w:rFonts w:eastAsia="Arial Unicode MS"/>
          <w:b/>
          <w:noProof/>
          <w:u w:color="000000"/>
          <w:bdr w:val="nil"/>
          <w:lang w:val="en-US" w:eastAsia="en-GB"/>
        </w:rPr>
        <w:t xml:space="preserve"> (for non-exclusive competence)</w:t>
      </w:r>
      <w:bookmarkEnd w:id="15"/>
      <w:bookmarkEnd w:id="16"/>
      <w:r w:rsidRPr="00D37E28">
        <w:rPr>
          <w:rFonts w:eastAsia="Arial Unicode MS"/>
          <w:b/>
          <w:noProof/>
          <w:u w:color="000000"/>
          <w:bdr w:val="nil"/>
          <w:lang w:val="en-US" w:eastAsia="en-GB"/>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need for EU action</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growing share of low-cost</w:t>
      </w:r>
      <w:r w:rsidR="00003E3B">
        <w:rPr>
          <w:noProof/>
        </w:rPr>
        <w:t>,</w:t>
      </w:r>
      <w:r w:rsidRPr="00725495">
        <w:rPr>
          <w:noProof/>
        </w:rPr>
        <w:t xml:space="preserve"> </w:t>
      </w:r>
      <w:r w:rsidR="00683E11">
        <w:rPr>
          <w:noProof/>
        </w:rPr>
        <w:t>variable and decentralised</w:t>
      </w:r>
      <w:r w:rsidR="00683E11" w:rsidRPr="00725495">
        <w:rPr>
          <w:noProof/>
        </w:rPr>
        <w:t xml:space="preserve"> </w:t>
      </w:r>
      <w:r w:rsidRPr="00725495">
        <w:rPr>
          <w:noProof/>
        </w:rPr>
        <w:t xml:space="preserve">electricity </w:t>
      </w:r>
      <w:r w:rsidR="00AA7A02">
        <w:rPr>
          <w:noProof/>
        </w:rPr>
        <w:t xml:space="preserve">from renewables </w:t>
      </w:r>
      <w:r w:rsidRPr="00725495">
        <w:rPr>
          <w:noProof/>
        </w:rPr>
        <w:t xml:space="preserve">across the </w:t>
      </w:r>
      <w:r w:rsidR="00AA7A02">
        <w:rPr>
          <w:noProof/>
        </w:rPr>
        <w:t>Union</w:t>
      </w:r>
      <w:r w:rsidRPr="00725495">
        <w:rPr>
          <w:noProof/>
        </w:rPr>
        <w:t xml:space="preserve"> combined with the goal of increased electrification to secure energy autonomy</w:t>
      </w:r>
      <w:r w:rsidR="001F6245">
        <w:rPr>
          <w:noProof/>
        </w:rPr>
        <w:t>,</w:t>
      </w:r>
      <w:r w:rsidRPr="00725495">
        <w:rPr>
          <w:noProof/>
        </w:rPr>
        <w:t xml:space="preserve"> puts more stress on European grids. This requires significant grid investments, which translate into higher grid costs</w:t>
      </w:r>
      <w:r w:rsidR="00764C90">
        <w:rPr>
          <w:noProof/>
        </w:rPr>
        <w:t>, at least in a short-term horizon until the demand fully materializes and</w:t>
      </w:r>
      <w:r w:rsidR="000546E6">
        <w:rPr>
          <w:noProof/>
        </w:rPr>
        <w:t xml:space="preserve"> the costs are spread across wider consumer base</w:t>
      </w:r>
      <w:r w:rsidRPr="00725495">
        <w:rPr>
          <w:noProof/>
        </w:rPr>
        <w:t xml:space="preserve">. Households and businesses across the </w:t>
      </w:r>
      <w:r w:rsidR="006847E1">
        <w:rPr>
          <w:noProof/>
        </w:rPr>
        <w:t>Union</w:t>
      </w:r>
      <w:r w:rsidR="006847E1" w:rsidRPr="00725495">
        <w:rPr>
          <w:noProof/>
        </w:rPr>
        <w:t xml:space="preserve"> </w:t>
      </w:r>
      <w:r w:rsidRPr="00725495">
        <w:rPr>
          <w:noProof/>
        </w:rPr>
        <w:t>have been exposed to these higher costs, affecting affordability and competitiveness.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This is an issue of </w:t>
      </w:r>
      <w:r w:rsidR="00744714">
        <w:rPr>
          <w:noProof/>
        </w:rPr>
        <w:t>Union</w:t>
      </w:r>
      <w:r w:rsidRPr="00725495">
        <w:rPr>
          <w:noProof/>
        </w:rPr>
        <w:t xml:space="preserve">-wide relevance, requiring a consistent legal framework within the Union, which can only be addressed with action at </w:t>
      </w:r>
      <w:r w:rsidR="00A25D3D">
        <w:rPr>
          <w:noProof/>
        </w:rPr>
        <w:t>Union</w:t>
      </w:r>
      <w:r w:rsidRPr="00725495">
        <w:rPr>
          <w:noProof/>
        </w:rPr>
        <w:t xml:space="preserve"> level. Uncoordinated national policies </w:t>
      </w:r>
      <w:r w:rsidR="003755B1">
        <w:rPr>
          <w:noProof/>
        </w:rPr>
        <w:t>on</w:t>
      </w:r>
      <w:r w:rsidR="003755B1" w:rsidRPr="00725495">
        <w:rPr>
          <w:noProof/>
        </w:rPr>
        <w:t xml:space="preserve"> </w:t>
      </w:r>
      <w:r w:rsidRPr="00725495">
        <w:rPr>
          <w:noProof/>
        </w:rPr>
        <w:t xml:space="preserve">the principles for transmission and distribution tariffs may distort the internal market to </w:t>
      </w:r>
      <w:r w:rsidR="00F821E5">
        <w:rPr>
          <w:noProof/>
        </w:rPr>
        <w:t>the</w:t>
      </w:r>
      <w:r w:rsidR="00F821E5" w:rsidRPr="00725495">
        <w:rPr>
          <w:noProof/>
        </w:rPr>
        <w:t xml:space="preserve"> </w:t>
      </w:r>
      <w:r w:rsidRPr="00725495">
        <w:rPr>
          <w:noProof/>
        </w:rPr>
        <w:t xml:space="preserve">extent that generation, energy storage services or consumers will be under very different incentives to participate in the market. The incentives for </w:t>
      </w:r>
      <w:r w:rsidR="00942CCD">
        <w:rPr>
          <w:noProof/>
        </w:rPr>
        <w:t xml:space="preserve">the </w:t>
      </w:r>
      <w:r w:rsidRPr="00725495">
        <w:rPr>
          <w:noProof/>
        </w:rPr>
        <w:t>use of electricity over natural gas in national taxation syste</w:t>
      </w:r>
      <w:r w:rsidRPr="0014207A">
        <w:rPr>
          <w:noProof/>
        </w:rPr>
        <w:t xml:space="preserve">ms should be streamlined </w:t>
      </w:r>
      <w:r w:rsidR="0009018A" w:rsidRPr="0014207A">
        <w:rPr>
          <w:noProof/>
        </w:rPr>
        <w:t>at Union</w:t>
      </w:r>
      <w:r w:rsidR="009554F5" w:rsidRPr="0014207A">
        <w:rPr>
          <w:noProof/>
        </w:rPr>
        <w:t xml:space="preserve"> level </w:t>
      </w:r>
      <w:r w:rsidRPr="0014207A">
        <w:rPr>
          <w:noProof/>
        </w:rPr>
        <w:t>to ensure consistent price signals across the EU energy market, supporting a unified approach to</w:t>
      </w:r>
      <w:r w:rsidR="00A512DB" w:rsidRPr="0014207A">
        <w:rPr>
          <w:noProof/>
        </w:rPr>
        <w:t xml:space="preserve"> electrification and by extension</w:t>
      </w:r>
      <w:r w:rsidRPr="0014207A">
        <w:rPr>
          <w:noProof/>
        </w:rPr>
        <w:t xml:space="preserve"> energy security</w:t>
      </w:r>
      <w:r w:rsidRPr="00725495">
        <w:rPr>
          <w:noProof/>
        </w:rPr>
        <w:t>.</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current rules leave national regulatory authorities (NRAs) a significant margin </w:t>
      </w:r>
      <w:r w:rsidR="00075D96">
        <w:rPr>
          <w:noProof/>
        </w:rPr>
        <w:t>for</w:t>
      </w:r>
      <w:r w:rsidRPr="00725495">
        <w:rPr>
          <w:noProof/>
        </w:rPr>
        <w:t xml:space="preserve"> implementation. This has created strongly diverging network charge regimes between different Member States. However, the increased integration of EU electricity markets requires closer coordination between national actors. National policy interventions in the electricity sector have a direct impact on neighbouring Member States due to grid interconnections. </w:t>
      </w:r>
      <w:r w:rsidR="002F39BF">
        <w:rPr>
          <w:noProof/>
        </w:rPr>
        <w:t xml:space="preserve">A common approach is needed </w:t>
      </w:r>
      <w:r w:rsidR="00AF6941">
        <w:rPr>
          <w:noProof/>
        </w:rPr>
        <w:t>for a</w:t>
      </w:r>
      <w:r w:rsidR="002F39BF">
        <w:rPr>
          <w:noProof/>
        </w:rPr>
        <w:t xml:space="preserve"> </w:t>
      </w:r>
      <w:r w:rsidRPr="00725495">
        <w:rPr>
          <w:noProof/>
        </w:rPr>
        <w:t>functioning electricity system, efficien</w:t>
      </w:r>
      <w:r w:rsidR="00CA71A3">
        <w:rPr>
          <w:noProof/>
        </w:rPr>
        <w:t>t</w:t>
      </w:r>
      <w:r w:rsidRPr="00725495">
        <w:rPr>
          <w:noProof/>
        </w:rPr>
        <w:t xml:space="preserve"> cross-border trade and investment and </w:t>
      </w:r>
      <w:r w:rsidR="00A8283C">
        <w:rPr>
          <w:noProof/>
        </w:rPr>
        <w:t xml:space="preserve">a faster, </w:t>
      </w:r>
      <w:r w:rsidR="00C52711">
        <w:rPr>
          <w:noProof/>
        </w:rPr>
        <w:t xml:space="preserve">better </w:t>
      </w:r>
      <w:r w:rsidRPr="00725495">
        <w:rPr>
          <w:noProof/>
        </w:rPr>
        <w:t>coordinated energy transition towards a more integrated and energy-efficient energy system based on renewable generation.</w:t>
      </w:r>
    </w:p>
    <w:p w:rsidR="003A2DC5" w:rsidRDefault="003A2DC5" w:rsidP="003A2DC5">
      <w:pPr>
        <w:pBdr>
          <w:top w:val="nil"/>
          <w:left w:val="nil"/>
          <w:bottom w:val="nil"/>
          <w:right w:val="nil"/>
          <w:between w:val="nil"/>
          <w:bar w:val="nil"/>
        </w:pBdr>
        <w:spacing w:before="0" w:after="240"/>
        <w:rPr>
          <w:noProof/>
        </w:rPr>
      </w:pPr>
      <w:r w:rsidRPr="00725495">
        <w:rPr>
          <w:noProof/>
        </w:rPr>
        <w:t xml:space="preserve">In addition, making network charges more system-friendly should be supported by common enabling conditions across the Union. Smart meters, </w:t>
      </w:r>
      <w:r w:rsidR="0044498A">
        <w:rPr>
          <w:noProof/>
        </w:rPr>
        <w:t>smart electricity</w:t>
      </w:r>
      <w:r w:rsidRPr="00725495">
        <w:rPr>
          <w:noProof/>
        </w:rPr>
        <w:t xml:space="preserve"> grids and effective electricity grid data exchange</w:t>
      </w:r>
      <w:r w:rsidR="008A73A8">
        <w:rPr>
          <w:noProof/>
        </w:rPr>
        <w:t>s</w:t>
      </w:r>
      <w:r w:rsidRPr="00725495">
        <w:rPr>
          <w:noProof/>
        </w:rPr>
        <w:t xml:space="preserve"> </w:t>
      </w:r>
      <w:r w:rsidR="00CB572B">
        <w:rPr>
          <w:noProof/>
        </w:rPr>
        <w:t>make it eas</w:t>
      </w:r>
      <w:r w:rsidR="00E3008B">
        <w:rPr>
          <w:noProof/>
        </w:rPr>
        <w:t>ier</w:t>
      </w:r>
      <w:r w:rsidR="00CB572B">
        <w:rPr>
          <w:noProof/>
        </w:rPr>
        <w:t xml:space="preserve"> for</w:t>
      </w:r>
      <w:r w:rsidRPr="00725495">
        <w:rPr>
          <w:noProof/>
        </w:rPr>
        <w:t xml:space="preserve"> both system operators and grid users to respond to price signals and use </w:t>
      </w:r>
      <w:r w:rsidR="0057336A">
        <w:rPr>
          <w:noProof/>
        </w:rPr>
        <w:t xml:space="preserve">the </w:t>
      </w:r>
      <w:r w:rsidRPr="00725495">
        <w:rPr>
          <w:noProof/>
        </w:rPr>
        <w:t>existing infrastructure more efficiently. A minimum level of smart meter deployment across the Union supports these conditions by ensuring sufficient uptake for interoperable solutions, while leaving further deployment subject to cost-benefit assessments at national level. Without a more coordinated Union framework in these areas, national approaches would remain fragmented, slowing down the development of innovative and data-driven solutions</w:t>
      </w:r>
      <w:r w:rsidR="00F9492A">
        <w:rPr>
          <w:noProof/>
        </w:rPr>
        <w:t xml:space="preserve"> at Union level</w:t>
      </w:r>
      <w:r w:rsidRPr="00725495">
        <w:rPr>
          <w:noProof/>
        </w:rPr>
        <w:t>. A pan-</w:t>
      </w:r>
      <w:r w:rsidR="00F9492A">
        <w:rPr>
          <w:noProof/>
        </w:rPr>
        <w:t>EU</w:t>
      </w:r>
      <w:r w:rsidR="00F9492A" w:rsidRPr="00725495">
        <w:rPr>
          <w:noProof/>
        </w:rPr>
        <w:t xml:space="preserve"> </w:t>
      </w:r>
      <w:r w:rsidRPr="00725495">
        <w:rPr>
          <w:noProof/>
        </w:rPr>
        <w:t xml:space="preserve">system of electricity grid data reuse is needed to enable the development, testing and scaling of innovative digital solutions for </w:t>
      </w:r>
      <w:r w:rsidR="00F9492A">
        <w:rPr>
          <w:noProof/>
        </w:rPr>
        <w:t xml:space="preserve">EU </w:t>
      </w:r>
      <w:r w:rsidRPr="00725495">
        <w:rPr>
          <w:noProof/>
        </w:rPr>
        <w:t>grid operation and management</w:t>
      </w:r>
      <w:r w:rsidR="002444E9">
        <w:rPr>
          <w:noProof/>
        </w:rPr>
        <w:t>. These</w:t>
      </w:r>
      <w:r w:rsidRPr="00725495">
        <w:rPr>
          <w:noProof/>
        </w:rPr>
        <w:t xml:space="preserve"> solutions depend on access to sufficiently diverse, high-quality and interoperable grid data across systems and Member States. </w:t>
      </w:r>
    </w:p>
    <w:p w:rsidR="00DB7119" w:rsidRPr="00725495" w:rsidRDefault="00BF7EB4" w:rsidP="003A2DC5">
      <w:pPr>
        <w:pBdr>
          <w:top w:val="nil"/>
          <w:left w:val="nil"/>
          <w:bottom w:val="nil"/>
          <w:right w:val="nil"/>
          <w:between w:val="nil"/>
          <w:bar w:val="nil"/>
        </w:pBdr>
        <w:spacing w:before="0" w:after="240"/>
        <w:rPr>
          <w:noProof/>
        </w:rPr>
      </w:pPr>
      <w:r w:rsidRPr="000C10B3">
        <w:rPr>
          <w:noProof/>
        </w:rPr>
        <w:t>Concerning</w:t>
      </w:r>
      <w:r w:rsidR="008B7409" w:rsidRPr="000C10B3">
        <w:rPr>
          <w:noProof/>
        </w:rPr>
        <w:t xml:space="preserve"> grid connection measures in case of network congestion</w:t>
      </w:r>
      <w:r w:rsidRPr="006111D5">
        <w:rPr>
          <w:noProof/>
        </w:rPr>
        <w:t xml:space="preserve">, the proposal </w:t>
      </w:r>
      <w:r w:rsidR="00EE31D5" w:rsidRPr="006111D5">
        <w:rPr>
          <w:noProof/>
        </w:rPr>
        <w:t>clarifies the scope of application of</w:t>
      </w:r>
      <w:r w:rsidR="00B27ADC" w:rsidRPr="006111D5">
        <w:rPr>
          <w:noProof/>
        </w:rPr>
        <w:t xml:space="preserve"> existing rules under Article 6 of Directive (EU) 2019/944 in situation</w:t>
      </w:r>
      <w:r w:rsidR="009E29BE" w:rsidRPr="006111D5">
        <w:rPr>
          <w:noProof/>
        </w:rPr>
        <w:t>s</w:t>
      </w:r>
      <w:r w:rsidR="00B27ADC" w:rsidRPr="006111D5">
        <w:rPr>
          <w:noProof/>
        </w:rPr>
        <w:t xml:space="preserve"> of grid congestion, by enabling regulatory authorities to adapt national conditions and measures as they see </w:t>
      </w:r>
      <w:r w:rsidR="00E63B96" w:rsidRPr="006111D5">
        <w:rPr>
          <w:noProof/>
        </w:rPr>
        <w:t>fit to reflect</w:t>
      </w:r>
      <w:r w:rsidR="000206C4" w:rsidRPr="006111D5">
        <w:rPr>
          <w:noProof/>
        </w:rPr>
        <w:t xml:space="preserve"> the</w:t>
      </w:r>
      <w:r w:rsidR="00E63B96" w:rsidRPr="006111D5">
        <w:rPr>
          <w:noProof/>
        </w:rPr>
        <w:t xml:space="preserve"> specific situation in a given Member States or grid area. </w:t>
      </w:r>
      <w:r w:rsidR="005C38E6" w:rsidRPr="006111D5">
        <w:rPr>
          <w:noProof/>
        </w:rPr>
        <w:t>T</w:t>
      </w:r>
      <w:r w:rsidR="00053079" w:rsidRPr="006111D5">
        <w:rPr>
          <w:noProof/>
        </w:rPr>
        <w:t xml:space="preserve">he </w:t>
      </w:r>
      <w:r w:rsidR="005C38E6" w:rsidRPr="006111D5">
        <w:rPr>
          <w:noProof/>
        </w:rPr>
        <w:t>p</w:t>
      </w:r>
      <w:r w:rsidR="00E63B96" w:rsidRPr="006111D5">
        <w:rPr>
          <w:noProof/>
        </w:rPr>
        <w:t>roposal does</w:t>
      </w:r>
      <w:r w:rsidR="009C4E44" w:rsidRPr="006111D5">
        <w:rPr>
          <w:noProof/>
        </w:rPr>
        <w:t xml:space="preserve"> not </w:t>
      </w:r>
      <w:r w:rsidR="00B27ADC" w:rsidRPr="006111D5">
        <w:rPr>
          <w:noProof/>
        </w:rPr>
        <w:t>lead to impacts from subsidiarity angle</w:t>
      </w:r>
      <w:r w:rsidR="009C4E44" w:rsidRPr="006111D5">
        <w:rPr>
          <w:noProof/>
        </w:rPr>
        <w:t xml:space="preserve"> as i</w:t>
      </w:r>
      <w:r w:rsidR="00B27ADC" w:rsidRPr="006111D5">
        <w:rPr>
          <w:noProof/>
        </w:rPr>
        <w:t xml:space="preserve">t fully </w:t>
      </w:r>
      <w:r w:rsidR="541753D4" w:rsidRPr="006111D5">
        <w:rPr>
          <w:noProof/>
        </w:rPr>
        <w:t>maintains</w:t>
      </w:r>
      <w:r w:rsidR="00B27ADC" w:rsidRPr="006111D5">
        <w:rPr>
          <w:noProof/>
        </w:rPr>
        <w:t xml:space="preserve"> the responsibility of national regulatory </w:t>
      </w:r>
      <w:r w:rsidR="00E63B96" w:rsidRPr="006111D5">
        <w:rPr>
          <w:noProof/>
        </w:rPr>
        <w:t>authorities.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amendments proposed </w:t>
      </w:r>
      <w:r w:rsidR="002444E9">
        <w:rPr>
          <w:noProof/>
        </w:rPr>
        <w:t>strike</w:t>
      </w:r>
      <w:r w:rsidRPr="00725495">
        <w:rPr>
          <w:noProof/>
        </w:rPr>
        <w:t xml:space="preserve"> a balance between </w:t>
      </w:r>
      <w:r w:rsidR="002444E9">
        <w:rPr>
          <w:noProof/>
        </w:rPr>
        <w:t xml:space="preserve">the </w:t>
      </w:r>
      <w:r w:rsidRPr="00725495">
        <w:rPr>
          <w:noProof/>
        </w:rPr>
        <w:t>obligations and flexibility left to the Member States on how to achieve cost-efficient grid charges,</w:t>
      </w:r>
      <w:r w:rsidR="00720CC5">
        <w:rPr>
          <w:noProof/>
        </w:rPr>
        <w:t xml:space="preserve"> </w:t>
      </w:r>
      <w:r w:rsidR="008B7409">
        <w:rPr>
          <w:noProof/>
        </w:rPr>
        <w:t xml:space="preserve">efficient and timely </w:t>
      </w:r>
      <w:r w:rsidR="00720CC5">
        <w:rPr>
          <w:noProof/>
        </w:rPr>
        <w:t>grid access,</w:t>
      </w:r>
      <w:r w:rsidRPr="00725495">
        <w:rPr>
          <w:noProof/>
        </w:rPr>
        <w:t xml:space="preserve"> roll</w:t>
      </w:r>
      <w:r w:rsidR="002444E9">
        <w:rPr>
          <w:noProof/>
        </w:rPr>
        <w:t xml:space="preserve"> </w:t>
      </w:r>
      <w:r w:rsidRPr="00725495">
        <w:rPr>
          <w:noProof/>
        </w:rPr>
        <w:t xml:space="preserve">out smart meters, establish </w:t>
      </w:r>
      <w:r w:rsidR="0044498A">
        <w:rPr>
          <w:noProof/>
        </w:rPr>
        <w:t>smart electricity grids</w:t>
      </w:r>
      <w:r w:rsidRPr="00725495">
        <w:rPr>
          <w:noProof/>
        </w:rPr>
        <w:t xml:space="preserve"> and facilitate data exchanges and reuse of data for innovation purposes.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Additionally, the proposals in this Regulation align with the objectives set out </w:t>
      </w:r>
      <w:r w:rsidR="009C50B1">
        <w:rPr>
          <w:noProof/>
        </w:rPr>
        <w:t>in</w:t>
      </w:r>
      <w:r w:rsidRPr="00725495">
        <w:rPr>
          <w:noProof/>
        </w:rPr>
        <w:t xml:space="preserve"> Council Directive (EU) 2003/96, including the proper functioning of the internal market.</w:t>
      </w:r>
    </w:p>
    <w:p w:rsidR="003A2DC5" w:rsidRPr="00D37E28" w:rsidRDefault="003A2DC5" w:rsidP="00D37E28">
      <w:pPr>
        <w:pStyle w:val="Bullet0"/>
        <w:rPr>
          <w:b/>
          <w:noProof/>
        </w:rPr>
      </w:pPr>
      <w:r w:rsidRPr="00D37E28">
        <w:rPr>
          <w:rFonts w:eastAsia="Arial Unicode MS"/>
          <w:b/>
          <w:noProof/>
          <w:u w:color="000000"/>
          <w:bdr w:val="nil"/>
          <w:lang w:val="en-US" w:eastAsia="en-GB"/>
        </w:rPr>
        <w:t>EU</w:t>
      </w:r>
      <w:r w:rsidRPr="00D37E28">
        <w:rPr>
          <w:b/>
          <w:noProof/>
        </w:rPr>
        <w:t xml:space="preserve"> </w:t>
      </w:r>
      <w:r w:rsidRPr="00D37E28">
        <w:rPr>
          <w:rFonts w:eastAsia="Arial Unicode MS"/>
          <w:b/>
          <w:noProof/>
          <w:u w:color="000000"/>
          <w:bdr w:val="nil"/>
          <w:lang w:val="en-US" w:eastAsia="en-GB"/>
        </w:rPr>
        <w:t>added</w:t>
      </w:r>
      <w:r w:rsidRPr="00D37E28">
        <w:rPr>
          <w:b/>
          <w:noProof/>
        </w:rPr>
        <w:t xml:space="preserve"> value</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Ensuring an appropriate and comprehensive framework for energy costs covering network charges and taxes </w:t>
      </w:r>
      <w:r w:rsidR="00B611C2">
        <w:rPr>
          <w:noProof/>
        </w:rPr>
        <w:t xml:space="preserve">at Union </w:t>
      </w:r>
      <w:r w:rsidRPr="00725495">
        <w:rPr>
          <w:noProof/>
        </w:rPr>
        <w:t>level is more efficient than individual Member States</w:t>
      </w:r>
      <w:r w:rsidR="0054456E">
        <w:rPr>
          <w:noProof/>
        </w:rPr>
        <w:t xml:space="preserve"> </w:t>
      </w:r>
      <w:r w:rsidR="0020470E">
        <w:rPr>
          <w:noProof/>
        </w:rPr>
        <w:t>taking action unilaterally</w:t>
      </w:r>
      <w:r w:rsidR="00CF7522">
        <w:rPr>
          <w:noProof/>
        </w:rPr>
        <w:t>,</w:t>
      </w:r>
      <w:r w:rsidRPr="00725495">
        <w:rPr>
          <w:noProof/>
        </w:rPr>
        <w:t xml:space="preserve"> as it avoids a fragmented approach that might lead to unduly high network charges or distortive differences in tax structures. The measures proposed to address the shortcomings identified will be more </w:t>
      </w:r>
      <w:r w:rsidR="00FA53BA">
        <w:rPr>
          <w:noProof/>
        </w:rPr>
        <w:t>far reaching</w:t>
      </w:r>
      <w:r w:rsidR="00FA53BA" w:rsidRPr="00725495">
        <w:rPr>
          <w:noProof/>
        </w:rPr>
        <w:t xml:space="preserve"> </w:t>
      </w:r>
      <w:r w:rsidRPr="00725495">
        <w:rPr>
          <w:noProof/>
        </w:rPr>
        <w:t>and cost-effective</w:t>
      </w:r>
      <w:r w:rsidR="0014207A">
        <w:rPr>
          <w:noProof/>
        </w:rPr>
        <w:t>,</w:t>
      </w:r>
      <w:r w:rsidRPr="00725495">
        <w:rPr>
          <w:noProof/>
        </w:rPr>
        <w:t xml:space="preserve"> if driven by a common legal and policy framework. In addition, action</w:t>
      </w:r>
      <w:r w:rsidR="00756200">
        <w:rPr>
          <w:noProof/>
        </w:rPr>
        <w:t>s</w:t>
      </w:r>
      <w:r w:rsidRPr="00725495">
        <w:rPr>
          <w:noProof/>
        </w:rPr>
        <w:t xml:space="preserve"> at Member State level would only be possible within the constraints of the existin</w:t>
      </w:r>
      <w:r w:rsidRPr="0014207A">
        <w:rPr>
          <w:noProof/>
        </w:rPr>
        <w:t xml:space="preserve">g </w:t>
      </w:r>
      <w:r w:rsidR="00F50189" w:rsidRPr="0014207A">
        <w:rPr>
          <w:noProof/>
        </w:rPr>
        <w:t>Union</w:t>
      </w:r>
      <w:r w:rsidRPr="0014207A">
        <w:rPr>
          <w:noProof/>
        </w:rPr>
        <w:t xml:space="preserve">-wide framework for network charges as set out in the Electricity Regulation and </w:t>
      </w:r>
      <w:r w:rsidR="006840FC" w:rsidRPr="0014207A">
        <w:rPr>
          <w:noProof/>
        </w:rPr>
        <w:t xml:space="preserve">would </w:t>
      </w:r>
      <w:r w:rsidRPr="0014207A">
        <w:rPr>
          <w:noProof/>
        </w:rPr>
        <w:t>not be able to achieve the necessary changes to that framework.</w:t>
      </w:r>
      <w:r w:rsidRPr="00725495">
        <w:rPr>
          <w:noProof/>
        </w:rPr>
        <w:t xml:space="preserve"> </w:t>
      </w:r>
    </w:p>
    <w:p w:rsidR="003A2DC5" w:rsidRDefault="003A2DC5" w:rsidP="003A2DC5">
      <w:pPr>
        <w:pBdr>
          <w:top w:val="nil"/>
          <w:left w:val="nil"/>
          <w:bottom w:val="nil"/>
          <w:right w:val="nil"/>
          <w:between w:val="nil"/>
          <w:bar w:val="nil"/>
        </w:pBdr>
        <w:spacing w:before="0" w:after="240"/>
        <w:rPr>
          <w:noProof/>
        </w:rPr>
      </w:pPr>
      <w:r w:rsidRPr="00725495">
        <w:rPr>
          <w:noProof/>
        </w:rPr>
        <w:t xml:space="preserve">At the same time, the proposal puts forward a coherent framework to promote non-wire, smart and digital solutions across </w:t>
      </w:r>
      <w:r w:rsidR="00C2207E">
        <w:rPr>
          <w:noProof/>
        </w:rPr>
        <w:t>all</w:t>
      </w:r>
      <w:r w:rsidR="00C2207E" w:rsidRPr="00725495">
        <w:rPr>
          <w:noProof/>
        </w:rPr>
        <w:t xml:space="preserve"> </w:t>
      </w:r>
      <w:r w:rsidRPr="00725495">
        <w:rPr>
          <w:noProof/>
        </w:rPr>
        <w:t>electricity system levels</w:t>
      </w:r>
      <w:r w:rsidR="00437D29">
        <w:rPr>
          <w:noProof/>
        </w:rPr>
        <w:t>. This requires</w:t>
      </w:r>
      <w:r w:rsidRPr="00725495">
        <w:rPr>
          <w:noProof/>
        </w:rPr>
        <w:t xml:space="preserve"> a minimum level of smart meter deployment to support active consumer participation and more efficient network use, a structured Union process through ACER recommendations and progress reporting to anchor smart </w:t>
      </w:r>
      <w:r w:rsidR="004A3EE6">
        <w:rPr>
          <w:noProof/>
        </w:rPr>
        <w:t xml:space="preserve">electricity </w:t>
      </w:r>
      <w:r w:rsidRPr="00725495">
        <w:rPr>
          <w:noProof/>
        </w:rPr>
        <w:t xml:space="preserve">grid indicators in regulatory practice, and a coordinated and interoperable approach to electricity grid data exchange and reuse for innovation purposes. </w:t>
      </w:r>
    </w:p>
    <w:p w:rsidR="00815A6F" w:rsidRPr="00725495" w:rsidRDefault="0068285E" w:rsidP="003A2DC5">
      <w:pPr>
        <w:pBdr>
          <w:top w:val="nil"/>
          <w:left w:val="nil"/>
          <w:bottom w:val="nil"/>
          <w:right w:val="nil"/>
          <w:between w:val="nil"/>
          <w:bar w:val="nil"/>
        </w:pBdr>
        <w:spacing w:before="0" w:after="240"/>
        <w:rPr>
          <w:noProof/>
        </w:rPr>
      </w:pPr>
      <w:r w:rsidRPr="006111D5">
        <w:rPr>
          <w:noProof/>
        </w:rPr>
        <w:t>The proposed p</w:t>
      </w:r>
      <w:r w:rsidR="001857B3" w:rsidRPr="000C10B3">
        <w:rPr>
          <w:noProof/>
        </w:rPr>
        <w:t xml:space="preserve">rovisions on </w:t>
      </w:r>
      <w:r w:rsidR="0083726F" w:rsidRPr="000C10B3">
        <w:rPr>
          <w:noProof/>
        </w:rPr>
        <w:t>grid connection measures in case of network congestion</w:t>
      </w:r>
      <w:r w:rsidR="001857B3" w:rsidRPr="000C10B3">
        <w:rPr>
          <w:noProof/>
        </w:rPr>
        <w:t xml:space="preserve"> are necessary to </w:t>
      </w:r>
      <w:r w:rsidR="00BF772F" w:rsidRPr="000C10B3">
        <w:rPr>
          <w:noProof/>
        </w:rPr>
        <w:t>provide clarity on</w:t>
      </w:r>
      <w:r w:rsidR="00F40BC5" w:rsidRPr="006111D5">
        <w:rPr>
          <w:noProof/>
        </w:rPr>
        <w:t xml:space="preserve"> </w:t>
      </w:r>
      <w:r w:rsidR="00395CED" w:rsidRPr="006111D5">
        <w:rPr>
          <w:noProof/>
        </w:rPr>
        <w:t xml:space="preserve">the </w:t>
      </w:r>
      <w:r w:rsidR="00F40BC5" w:rsidRPr="006111D5">
        <w:rPr>
          <w:noProof/>
        </w:rPr>
        <w:t>application of</w:t>
      </w:r>
      <w:r w:rsidR="00BF772F" w:rsidRPr="000C10B3">
        <w:rPr>
          <w:noProof/>
        </w:rPr>
        <w:t xml:space="preserve"> </w:t>
      </w:r>
      <w:r w:rsidR="00815A6F" w:rsidRPr="000C10B3">
        <w:rPr>
          <w:noProof/>
        </w:rPr>
        <w:t>Art</w:t>
      </w:r>
      <w:r w:rsidR="00BF772F" w:rsidRPr="000C10B3">
        <w:rPr>
          <w:noProof/>
        </w:rPr>
        <w:t>icle</w:t>
      </w:r>
      <w:r w:rsidR="00815A6F" w:rsidRPr="000C10B3">
        <w:rPr>
          <w:noProof/>
        </w:rPr>
        <w:t xml:space="preserve"> 6 </w:t>
      </w:r>
      <w:r w:rsidR="00BF772F" w:rsidRPr="000C10B3">
        <w:rPr>
          <w:noProof/>
        </w:rPr>
        <w:t xml:space="preserve">of Directive (EU) 2019/944 </w:t>
      </w:r>
      <w:r w:rsidR="00815A6F" w:rsidRPr="000C10B3">
        <w:rPr>
          <w:noProof/>
        </w:rPr>
        <w:t>in case of grid congestion</w:t>
      </w:r>
      <w:r w:rsidR="007B2D19" w:rsidRPr="006111D5">
        <w:rPr>
          <w:noProof/>
        </w:rPr>
        <w:t>, by providing a right to regulatory authorities to establish measures and conditions for</w:t>
      </w:r>
      <w:r w:rsidR="00D47AAB" w:rsidRPr="006111D5">
        <w:rPr>
          <w:noProof/>
        </w:rPr>
        <w:t xml:space="preserve"> priority consideration of economic, social, environmental and network impacts, maturity and progress of grid access applicants, and to differentiate between sectors and within sectors or groups of network users, as necessary</w:t>
      </w:r>
      <w:r w:rsidR="08FA67FE" w:rsidRPr="006111D5">
        <w:rPr>
          <w:noProof/>
        </w:rPr>
        <w:t>, and based on transparent and non-discriminatory criteria</w:t>
      </w:r>
      <w:r w:rsidR="00BF772F" w:rsidRPr="000C10B3">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Likewise, support</w:t>
      </w:r>
      <w:r w:rsidR="00EB3FC4">
        <w:rPr>
          <w:noProof/>
        </w:rPr>
        <w:t>ing</w:t>
      </w:r>
      <w:r w:rsidRPr="00725495">
        <w:rPr>
          <w:noProof/>
        </w:rPr>
        <w:t xml:space="preserve"> these changes by simultaneously addressing energy taxation system inconsistencies at </w:t>
      </w:r>
      <w:r w:rsidR="00C04CB5">
        <w:rPr>
          <w:noProof/>
        </w:rPr>
        <w:t>Union</w:t>
      </w:r>
      <w:r w:rsidRPr="00725495">
        <w:rPr>
          <w:noProof/>
        </w:rPr>
        <w:t xml:space="preserve"> level </w:t>
      </w:r>
      <w:r w:rsidR="00FE4B46">
        <w:rPr>
          <w:noProof/>
        </w:rPr>
        <w:t xml:space="preserve">would </w:t>
      </w:r>
      <w:r w:rsidRPr="00725495">
        <w:rPr>
          <w:noProof/>
        </w:rPr>
        <w:t xml:space="preserve">ensure their effectiveness across </w:t>
      </w:r>
      <w:r w:rsidR="00356B97">
        <w:rPr>
          <w:noProof/>
        </w:rPr>
        <w:t xml:space="preserve">all </w:t>
      </w:r>
      <w:r w:rsidRPr="00725495">
        <w:rPr>
          <w:noProof/>
        </w:rPr>
        <w:t xml:space="preserve">Member States. </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 xml:space="preserve">Consequently, the objectives of this initiative cannot be achieved by Member States </w:t>
      </w:r>
      <w:r w:rsidR="005C4251">
        <w:rPr>
          <w:noProof/>
        </w:rPr>
        <w:t>on their own</w:t>
      </w:r>
      <w:r w:rsidR="00C2406F">
        <w:rPr>
          <w:noProof/>
        </w:rPr>
        <w:t>.</w:t>
      </w:r>
      <w:r w:rsidRPr="00725495">
        <w:rPr>
          <w:noProof/>
        </w:rPr>
        <w:t xml:space="preserve"> </w:t>
      </w:r>
      <w:r w:rsidR="00C2406F">
        <w:rPr>
          <w:noProof/>
        </w:rPr>
        <w:t>T</w:t>
      </w:r>
      <w:r w:rsidRPr="00725495">
        <w:rPr>
          <w:noProof/>
        </w:rPr>
        <w:t xml:space="preserve">his is where action at </w:t>
      </w:r>
      <w:r w:rsidR="00AD2A02">
        <w:rPr>
          <w:noProof/>
        </w:rPr>
        <w:t xml:space="preserve">Union </w:t>
      </w:r>
      <w:r w:rsidRPr="00725495">
        <w:rPr>
          <w:noProof/>
        </w:rPr>
        <w:t>level provides added value.</w:t>
      </w:r>
    </w:p>
    <w:p w:rsidR="003A2DC5" w:rsidRPr="00D37E28" w:rsidRDefault="003A2DC5" w:rsidP="00D37E28">
      <w:pPr>
        <w:pStyle w:val="Bullet0"/>
        <w:rPr>
          <w:b/>
          <w:bCs/>
          <w:noProof/>
          <w:u w:color="000000"/>
          <w:bdr w:val="nil"/>
          <w:lang w:val="en-US" w:eastAsia="en-GB"/>
        </w:rPr>
      </w:pPr>
      <w:bookmarkStart w:id="17" w:name="_Toc234241695"/>
      <w:bookmarkStart w:id="18" w:name="_Toc234245484"/>
      <w:r w:rsidRPr="00D37E28">
        <w:rPr>
          <w:b/>
          <w:bCs/>
          <w:noProof/>
          <w:u w:color="000000"/>
          <w:bdr w:val="nil"/>
          <w:lang w:val="en-US" w:eastAsia="en-GB"/>
        </w:rPr>
        <w:t>Proportionality</w:t>
      </w:r>
      <w:bookmarkEnd w:id="17"/>
      <w:bookmarkEnd w:id="18"/>
    </w:p>
    <w:p w:rsidR="003A2DC5" w:rsidRPr="00725495" w:rsidRDefault="003A2DC5" w:rsidP="003A2DC5">
      <w:pPr>
        <w:pBdr>
          <w:top w:val="nil"/>
          <w:left w:val="nil"/>
          <w:bottom w:val="nil"/>
          <w:right w:val="nil"/>
          <w:between w:val="nil"/>
          <w:bar w:val="nil"/>
        </w:pBdr>
        <w:spacing w:before="0" w:after="240"/>
        <w:rPr>
          <w:noProof/>
        </w:rPr>
      </w:pPr>
      <w:r w:rsidRPr="00725495">
        <w:rPr>
          <w:noProof/>
        </w:rPr>
        <w:t>The proposed amendments to the Electricity Regulation are considered proportionate.</w:t>
      </w:r>
    </w:p>
    <w:p w:rsidR="003A2DC5" w:rsidRPr="00725495" w:rsidRDefault="40B217D6" w:rsidP="003A2DC5">
      <w:pPr>
        <w:pBdr>
          <w:top w:val="nil"/>
          <w:left w:val="nil"/>
          <w:bottom w:val="nil"/>
          <w:right w:val="nil"/>
          <w:between w:val="nil"/>
          <w:bar w:val="nil"/>
        </w:pBdr>
        <w:spacing w:before="0" w:after="240"/>
        <w:rPr>
          <w:noProof/>
        </w:rPr>
      </w:pPr>
      <w:r w:rsidRPr="00487462">
        <w:rPr>
          <w:noProof/>
        </w:rPr>
        <w:t xml:space="preserve">To provide stronger incentives for </w:t>
      </w:r>
      <w:r w:rsidR="706DED63">
        <w:rPr>
          <w:noProof/>
        </w:rPr>
        <w:t>the</w:t>
      </w:r>
      <w:r w:rsidR="706DED63" w:rsidRPr="00487462">
        <w:rPr>
          <w:noProof/>
        </w:rPr>
        <w:t xml:space="preserve"> </w:t>
      </w:r>
      <w:r w:rsidRPr="00487462">
        <w:rPr>
          <w:noProof/>
        </w:rPr>
        <w:t>efficient use of European grids</w:t>
      </w:r>
      <w:r w:rsidR="25484096">
        <w:rPr>
          <w:noProof/>
        </w:rPr>
        <w:t>,</w:t>
      </w:r>
      <w:r w:rsidRPr="00487462">
        <w:rPr>
          <w:noProof/>
        </w:rPr>
        <w:t xml:space="preserve"> the proposed measures introduce, among other</w:t>
      </w:r>
      <w:r w:rsidR="25484096">
        <w:rPr>
          <w:noProof/>
        </w:rPr>
        <w:t xml:space="preserve"> thing</w:t>
      </w:r>
      <w:r w:rsidRPr="00487462">
        <w:rPr>
          <w:noProof/>
        </w:rPr>
        <w:t xml:space="preserve">s, enhanced transparency rules and the use of performance indicators by national regulatory authorities. The newly introduced transparency rules may lead to </w:t>
      </w:r>
      <w:r w:rsidR="17DA29F5">
        <w:rPr>
          <w:noProof/>
        </w:rPr>
        <w:t xml:space="preserve">an </w:t>
      </w:r>
      <w:r w:rsidRPr="00487462">
        <w:rPr>
          <w:noProof/>
        </w:rPr>
        <w:t>increased administrative burden</w:t>
      </w:r>
      <w:r w:rsidR="792E75B9">
        <w:rPr>
          <w:noProof/>
        </w:rPr>
        <w:t xml:space="preserve"> and higher costs</w:t>
      </w:r>
      <w:r w:rsidRPr="00487462">
        <w:rPr>
          <w:noProof/>
        </w:rPr>
        <w:t xml:space="preserve">, in particular as regards the additional elements that national administrations will need to make publicly available. However, </w:t>
      </w:r>
      <w:r w:rsidR="3F7FB267">
        <w:rPr>
          <w:noProof/>
        </w:rPr>
        <w:t>the</w:t>
      </w:r>
      <w:r w:rsidR="3F7FB267" w:rsidRPr="00487462">
        <w:rPr>
          <w:noProof/>
        </w:rPr>
        <w:t xml:space="preserve"> </w:t>
      </w:r>
      <w:r w:rsidRPr="00487462">
        <w:rPr>
          <w:noProof/>
        </w:rPr>
        <w:t xml:space="preserve">impact </w:t>
      </w:r>
      <w:r w:rsidR="3F7FB267">
        <w:rPr>
          <w:noProof/>
        </w:rPr>
        <w:t xml:space="preserve">of this </w:t>
      </w:r>
      <w:r w:rsidR="66DB7240">
        <w:rPr>
          <w:noProof/>
        </w:rPr>
        <w:t>will be</w:t>
      </w:r>
      <w:r w:rsidRPr="00487462">
        <w:rPr>
          <w:noProof/>
        </w:rPr>
        <w:t xml:space="preserve"> limited</w:t>
      </w:r>
      <w:r w:rsidR="7417B02C">
        <w:rPr>
          <w:noProof/>
        </w:rPr>
        <w:t xml:space="preserve"> </w:t>
      </w:r>
      <w:r w:rsidRPr="00487462">
        <w:rPr>
          <w:noProof/>
        </w:rPr>
        <w:t xml:space="preserve">because the additional elements </w:t>
      </w:r>
      <w:r w:rsidR="32895F2C">
        <w:rPr>
          <w:noProof/>
        </w:rPr>
        <w:t xml:space="preserve">requiring </w:t>
      </w:r>
      <w:r w:rsidRPr="00487462">
        <w:rPr>
          <w:noProof/>
        </w:rPr>
        <w:t>transparen</w:t>
      </w:r>
      <w:r w:rsidR="32895F2C">
        <w:rPr>
          <w:noProof/>
        </w:rPr>
        <w:t>cy</w:t>
      </w:r>
      <w:r w:rsidRPr="00487462">
        <w:rPr>
          <w:noProof/>
        </w:rPr>
        <w:t xml:space="preserve"> are kept to a minimum and are in line with those elements that have been flagged by ACER in its latest best practices report, published on 26 March 2025.</w:t>
      </w:r>
      <w:r w:rsidR="003A2DC5" w:rsidRPr="003A2DC5">
        <w:rPr>
          <w:rStyle w:val="FootnoteReference"/>
          <w:noProof/>
        </w:rPr>
        <w:footnoteReference w:id="25"/>
      </w:r>
      <w:r w:rsidRPr="00725495">
        <w:rPr>
          <w:noProof/>
        </w:rPr>
        <w:t xml:space="preserve"> </w:t>
      </w:r>
      <w:r w:rsidR="2687B55F">
        <w:rPr>
          <w:noProof/>
        </w:rPr>
        <w:t>Moreover,</w:t>
      </w:r>
      <w:r w:rsidR="45D58A83">
        <w:rPr>
          <w:noProof/>
        </w:rPr>
        <w:t xml:space="preserve"> their</w:t>
      </w:r>
      <w:r w:rsidRPr="00725495">
        <w:rPr>
          <w:noProof/>
        </w:rPr>
        <w:t xml:space="preserve"> impact is necessary and proportionate </w:t>
      </w:r>
      <w:r w:rsidR="3A9D1BD9">
        <w:rPr>
          <w:noProof/>
        </w:rPr>
        <w:t>for</w:t>
      </w:r>
      <w:r w:rsidRPr="00725495">
        <w:rPr>
          <w:noProof/>
        </w:rPr>
        <w:t xml:space="preserve"> achiev</w:t>
      </w:r>
      <w:r w:rsidR="3A9D1BD9">
        <w:rPr>
          <w:noProof/>
        </w:rPr>
        <w:t>ing</w:t>
      </w:r>
      <w:r w:rsidRPr="00725495">
        <w:rPr>
          <w:noProof/>
        </w:rPr>
        <w:t xml:space="preserve"> the objective</w:t>
      </w:r>
      <w:r w:rsidR="5ADA8E02">
        <w:rPr>
          <w:noProof/>
        </w:rPr>
        <w:t>s</w:t>
      </w:r>
      <w:r w:rsidRPr="00725495">
        <w:rPr>
          <w:noProof/>
        </w:rPr>
        <w:t xml:space="preserve"> of increasing comparability of tariff-setting, enhanc</w:t>
      </w:r>
      <w:r w:rsidR="5ADA8E02">
        <w:rPr>
          <w:noProof/>
        </w:rPr>
        <w:t>ing</w:t>
      </w:r>
      <w:r w:rsidRPr="00725495">
        <w:rPr>
          <w:noProof/>
        </w:rPr>
        <w:t xml:space="preserve"> the understanding of system users as regards the tariffs payable by them, enabl</w:t>
      </w:r>
      <w:r w:rsidR="5CE000E8">
        <w:rPr>
          <w:noProof/>
        </w:rPr>
        <w:t>ing</w:t>
      </w:r>
      <w:r w:rsidRPr="00725495">
        <w:rPr>
          <w:noProof/>
        </w:rPr>
        <w:t xml:space="preserve"> them to adjust their behaviour to a system-friendly one, </w:t>
      </w:r>
      <w:r w:rsidR="75C812D8">
        <w:rPr>
          <w:noProof/>
        </w:rPr>
        <w:t xml:space="preserve">and </w:t>
      </w:r>
      <w:r w:rsidRPr="00725495">
        <w:rPr>
          <w:noProof/>
        </w:rPr>
        <w:t xml:space="preserve">ultimately </w:t>
      </w:r>
      <w:r w:rsidR="6311E3B0">
        <w:rPr>
          <w:noProof/>
        </w:rPr>
        <w:t>reducing</w:t>
      </w:r>
      <w:r w:rsidR="6311E3B0" w:rsidRPr="00725495">
        <w:rPr>
          <w:noProof/>
        </w:rPr>
        <w:t xml:space="preserve"> </w:t>
      </w:r>
      <w:r w:rsidRPr="00725495">
        <w:rPr>
          <w:noProof/>
        </w:rPr>
        <w:t>system costs.</w:t>
      </w:r>
    </w:p>
    <w:p w:rsidR="00B75DDE" w:rsidRDefault="003A2DC5" w:rsidP="003A2DC5">
      <w:pPr>
        <w:pBdr>
          <w:top w:val="nil"/>
          <w:left w:val="nil"/>
          <w:bottom w:val="nil"/>
          <w:right w:val="nil"/>
          <w:between w:val="nil"/>
          <w:bar w:val="nil"/>
        </w:pBdr>
        <w:spacing w:before="0" w:after="240"/>
        <w:rPr>
          <w:noProof/>
        </w:rPr>
      </w:pPr>
      <w:r w:rsidRPr="00725495">
        <w:rPr>
          <w:noProof/>
        </w:rPr>
        <w:t xml:space="preserve">The proposed measures on non-wire, smart and digital solutions are proportionate because they do not impose a uniform technological model or a centralised EU system for </w:t>
      </w:r>
      <w:r w:rsidR="0044498A">
        <w:rPr>
          <w:noProof/>
        </w:rPr>
        <w:t>smart electricity grids</w:t>
      </w:r>
      <w:r w:rsidRPr="00725495">
        <w:rPr>
          <w:noProof/>
        </w:rPr>
        <w:t xml:space="preserve"> and data exchange. They are limited to what is necessary to steer more cost-effective grid operation: </w:t>
      </w:r>
    </w:p>
    <w:p w:rsidR="00B75DDE" w:rsidRDefault="003A2DC5" w:rsidP="00263AE0">
      <w:pPr>
        <w:pStyle w:val="Bullet1"/>
        <w:numPr>
          <w:ilvl w:val="0"/>
          <w:numId w:val="30"/>
        </w:numPr>
        <w:tabs>
          <w:tab w:val="clear" w:pos="1417"/>
        </w:tabs>
        <w:ind w:left="709"/>
        <w:rPr>
          <w:noProof/>
        </w:rPr>
      </w:pPr>
      <w:r w:rsidRPr="00725495">
        <w:rPr>
          <w:noProof/>
        </w:rPr>
        <w:t>first</w:t>
      </w:r>
      <w:r w:rsidR="00B75DDE">
        <w:rPr>
          <w:noProof/>
        </w:rPr>
        <w:t>ly</w:t>
      </w:r>
      <w:r w:rsidRPr="00725495">
        <w:rPr>
          <w:noProof/>
        </w:rPr>
        <w:t xml:space="preserve">, </w:t>
      </w:r>
      <w:r w:rsidR="00B75DDE">
        <w:rPr>
          <w:noProof/>
        </w:rPr>
        <w:t>by</w:t>
      </w:r>
      <w:r w:rsidRPr="00725495">
        <w:rPr>
          <w:noProof/>
        </w:rPr>
        <w:t xml:space="preserve"> requiring regulatory authorities to promote non-wire, smart and digital solutions where these demonstrably improve grid capacity, flexibility or reliability;</w:t>
      </w:r>
    </w:p>
    <w:p w:rsidR="00EB012C" w:rsidRDefault="003A2DC5" w:rsidP="008E0D0F">
      <w:pPr>
        <w:pStyle w:val="Bullet1"/>
        <w:tabs>
          <w:tab w:val="clear" w:pos="1417"/>
        </w:tabs>
        <w:ind w:left="709"/>
        <w:rPr>
          <w:noProof/>
        </w:rPr>
      </w:pPr>
      <w:r w:rsidRPr="00725495">
        <w:rPr>
          <w:noProof/>
        </w:rPr>
        <w:t>second</w:t>
      </w:r>
      <w:r w:rsidR="00B75DDE">
        <w:rPr>
          <w:noProof/>
        </w:rPr>
        <w:t>ly</w:t>
      </w:r>
      <w:r w:rsidRPr="00725495">
        <w:rPr>
          <w:noProof/>
        </w:rPr>
        <w:t xml:space="preserve">, </w:t>
      </w:r>
      <w:r w:rsidR="00B75DDE">
        <w:rPr>
          <w:noProof/>
        </w:rPr>
        <w:t>by</w:t>
      </w:r>
      <w:r w:rsidRPr="00725495">
        <w:rPr>
          <w:noProof/>
        </w:rPr>
        <w:t xml:space="preserve"> introducing a common framework for </w:t>
      </w:r>
      <w:r w:rsidR="006A4EC9">
        <w:rPr>
          <w:noProof/>
        </w:rPr>
        <w:t xml:space="preserve">a </w:t>
      </w:r>
      <w:r w:rsidRPr="00725495">
        <w:rPr>
          <w:noProof/>
        </w:rPr>
        <w:t xml:space="preserve">limited number of smart </w:t>
      </w:r>
      <w:r w:rsidR="004A3EE6">
        <w:rPr>
          <w:noProof/>
        </w:rPr>
        <w:t xml:space="preserve">electricity </w:t>
      </w:r>
      <w:r w:rsidRPr="00725495">
        <w:rPr>
          <w:noProof/>
        </w:rPr>
        <w:t>grid indicators to support more consistent monitoring and regulatory incentives;</w:t>
      </w:r>
    </w:p>
    <w:p w:rsidR="008D6FE5" w:rsidRDefault="003A2DC5" w:rsidP="008E0D0F">
      <w:pPr>
        <w:pStyle w:val="Bullet1"/>
        <w:tabs>
          <w:tab w:val="clear" w:pos="1417"/>
        </w:tabs>
        <w:ind w:left="709"/>
        <w:rPr>
          <w:noProof/>
        </w:rPr>
      </w:pPr>
      <w:r w:rsidRPr="00725495">
        <w:rPr>
          <w:noProof/>
        </w:rPr>
        <w:t>third</w:t>
      </w:r>
      <w:r w:rsidR="00EB012C">
        <w:rPr>
          <w:noProof/>
        </w:rPr>
        <w:t>ly</w:t>
      </w:r>
      <w:r w:rsidRPr="00725495">
        <w:rPr>
          <w:noProof/>
        </w:rPr>
        <w:t xml:space="preserve">, </w:t>
      </w:r>
      <w:r w:rsidR="00EB012C">
        <w:rPr>
          <w:noProof/>
        </w:rPr>
        <w:t>by</w:t>
      </w:r>
      <w:r w:rsidRPr="00725495">
        <w:rPr>
          <w:noProof/>
        </w:rPr>
        <w:t xml:space="preserve"> establishing targeted obligations on grid data exchange, combined with a voluntary Union-level framework for the development of innovative digital tools</w:t>
      </w:r>
      <w:r w:rsidR="00104A43">
        <w:rPr>
          <w:noProof/>
        </w:rPr>
        <w:t>.</w:t>
      </w:r>
    </w:p>
    <w:p w:rsidR="00B75DDE" w:rsidRDefault="008D6FE5" w:rsidP="00104A43">
      <w:pPr>
        <w:pBdr>
          <w:top w:val="nil"/>
          <w:left w:val="nil"/>
          <w:bottom w:val="nil"/>
          <w:right w:val="nil"/>
          <w:between w:val="nil"/>
          <w:bar w:val="nil"/>
        </w:pBdr>
        <w:spacing w:before="0" w:after="240"/>
        <w:rPr>
          <w:noProof/>
        </w:rPr>
      </w:pPr>
      <w:r>
        <w:rPr>
          <w:noProof/>
        </w:rPr>
        <w:t xml:space="preserve">This </w:t>
      </w:r>
      <w:r w:rsidR="003A2DC5" w:rsidRPr="00725495">
        <w:rPr>
          <w:noProof/>
        </w:rPr>
        <w:t xml:space="preserve">complemented by a baseline level of smart meter rollout, while leaving deployment beyond that level to Member States on the basis of cost-benefit assessments.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proposal therefore combines only those common Union rules that are necessary to reduce fragmentation and support the internal market </w:t>
      </w:r>
      <w:r w:rsidR="008D6FE5">
        <w:rPr>
          <w:noProof/>
        </w:rPr>
        <w:t>by giving</w:t>
      </w:r>
      <w:r w:rsidRPr="00725495">
        <w:rPr>
          <w:noProof/>
        </w:rPr>
        <w:t xml:space="preserve"> Member States, regulatory authorities and system operators</w:t>
      </w:r>
      <w:r w:rsidR="0001290A">
        <w:rPr>
          <w:noProof/>
        </w:rPr>
        <w:t xml:space="preserve"> great flexibility with its implementation. It</w:t>
      </w:r>
      <w:r w:rsidRPr="00725495">
        <w:rPr>
          <w:noProof/>
        </w:rPr>
        <w:t xml:space="preserve"> </w:t>
      </w:r>
      <w:r w:rsidR="0001290A">
        <w:rPr>
          <w:noProof/>
        </w:rPr>
        <w:t>limits</w:t>
      </w:r>
      <w:r w:rsidRPr="00725495">
        <w:rPr>
          <w:noProof/>
        </w:rPr>
        <w:t xml:space="preserve"> further harmonisation to implementing acts </w:t>
      </w:r>
      <w:r w:rsidR="0001290A">
        <w:rPr>
          <w:noProof/>
        </w:rPr>
        <w:t xml:space="preserve">and </w:t>
      </w:r>
      <w:r w:rsidRPr="00725495">
        <w:rPr>
          <w:noProof/>
        </w:rPr>
        <w:t>only where uniform technical and governance requirements are needed.</w:t>
      </w:r>
    </w:p>
    <w:p w:rsidR="003A2DC5" w:rsidRDefault="003A2DC5" w:rsidP="003A2DC5">
      <w:pPr>
        <w:pBdr>
          <w:top w:val="nil"/>
          <w:left w:val="nil"/>
          <w:bottom w:val="nil"/>
          <w:right w:val="nil"/>
          <w:between w:val="nil"/>
          <w:bar w:val="nil"/>
        </w:pBdr>
        <w:spacing w:before="0" w:after="240"/>
        <w:rPr>
          <w:noProof/>
        </w:rPr>
      </w:pPr>
      <w:r w:rsidRPr="00725495">
        <w:rPr>
          <w:noProof/>
        </w:rPr>
        <w:t xml:space="preserve">The taxation principles do not exceed what is necessary to </w:t>
      </w:r>
      <w:r w:rsidR="00717D74">
        <w:rPr>
          <w:noProof/>
        </w:rPr>
        <w:t>achieve</w:t>
      </w:r>
      <w:r w:rsidR="00717D74" w:rsidRPr="00725495">
        <w:rPr>
          <w:noProof/>
        </w:rPr>
        <w:t xml:space="preserve"> </w:t>
      </w:r>
      <w:r w:rsidRPr="00725495">
        <w:rPr>
          <w:noProof/>
        </w:rPr>
        <w:t>the objective of aligning energy taxation systems with the amendments to network charges</w:t>
      </w:r>
      <w:r w:rsidR="002813E8">
        <w:rPr>
          <w:noProof/>
        </w:rPr>
        <w:t>,</w:t>
      </w:r>
      <w:r w:rsidRPr="00725495">
        <w:rPr>
          <w:noProof/>
        </w:rPr>
        <w:t xml:space="preserve"> and to provide flexibility to promote the electrification of energy intensive businesses.</w:t>
      </w:r>
    </w:p>
    <w:p w:rsidR="00E92B4E" w:rsidRPr="00725495" w:rsidRDefault="000A7E33" w:rsidP="003A2DC5">
      <w:pPr>
        <w:pBdr>
          <w:top w:val="nil"/>
          <w:left w:val="nil"/>
          <w:bottom w:val="nil"/>
          <w:right w:val="nil"/>
          <w:between w:val="nil"/>
          <w:bar w:val="nil"/>
        </w:pBdr>
        <w:spacing w:before="0" w:after="240"/>
        <w:rPr>
          <w:noProof/>
        </w:rPr>
      </w:pPr>
      <w:r w:rsidRPr="000C10B3">
        <w:rPr>
          <w:noProof/>
        </w:rPr>
        <w:t>Concerning the provisions</w:t>
      </w:r>
      <w:r w:rsidR="0083726F" w:rsidRPr="000C10B3">
        <w:rPr>
          <w:noProof/>
        </w:rPr>
        <w:t xml:space="preserve"> </w:t>
      </w:r>
      <w:r w:rsidR="008E7FF4" w:rsidRPr="00563A43">
        <w:rPr>
          <w:noProof/>
        </w:rPr>
        <w:t xml:space="preserve">of the </w:t>
      </w:r>
      <w:r w:rsidR="00E92B4E" w:rsidRPr="000C10B3">
        <w:rPr>
          <w:noProof/>
        </w:rPr>
        <w:t xml:space="preserve">proposal on grid </w:t>
      </w:r>
      <w:r w:rsidR="0083726F" w:rsidRPr="000C10B3">
        <w:rPr>
          <w:noProof/>
        </w:rPr>
        <w:t>connection measures in case of network congestion</w:t>
      </w:r>
      <w:r w:rsidRPr="000C10B3">
        <w:rPr>
          <w:noProof/>
        </w:rPr>
        <w:t>, these</w:t>
      </w:r>
      <w:r w:rsidR="00E92B4E" w:rsidRPr="000C10B3">
        <w:rPr>
          <w:noProof/>
        </w:rPr>
        <w:t xml:space="preserve"> leave </w:t>
      </w:r>
      <w:r w:rsidR="00A769F0" w:rsidRPr="00563A43">
        <w:rPr>
          <w:noProof/>
        </w:rPr>
        <w:t xml:space="preserve">full </w:t>
      </w:r>
      <w:r w:rsidR="00E92B4E" w:rsidRPr="000C10B3">
        <w:rPr>
          <w:noProof/>
        </w:rPr>
        <w:t xml:space="preserve">discretion to </w:t>
      </w:r>
      <w:r w:rsidRPr="00563A43" w:rsidDel="00A91161">
        <w:rPr>
          <w:noProof/>
        </w:rPr>
        <w:t>national</w:t>
      </w:r>
      <w:r w:rsidR="00E92B4E" w:rsidRPr="00563A43" w:rsidDel="00A91161">
        <w:rPr>
          <w:noProof/>
        </w:rPr>
        <w:t xml:space="preserve"> </w:t>
      </w:r>
      <w:r w:rsidR="00E92B4E" w:rsidRPr="00510CD2">
        <w:rPr>
          <w:noProof/>
        </w:rPr>
        <w:t xml:space="preserve">regulatory authorities in line with their </w:t>
      </w:r>
      <w:r w:rsidR="00A91161" w:rsidRPr="00563A43">
        <w:rPr>
          <w:noProof/>
        </w:rPr>
        <w:t xml:space="preserve">exclusive competence to </w:t>
      </w:r>
      <w:r w:rsidR="00B73034" w:rsidRPr="00563A43">
        <w:rPr>
          <w:noProof/>
        </w:rPr>
        <w:t xml:space="preserve">fix or approve </w:t>
      </w:r>
      <w:r w:rsidR="182ACAA4" w:rsidRPr="00563A43">
        <w:rPr>
          <w:noProof/>
        </w:rPr>
        <w:t xml:space="preserve"> conditions for access to the grid</w:t>
      </w:r>
      <w:r w:rsidR="00E92B4E" w:rsidRPr="000C10B3">
        <w:rPr>
          <w:noProof/>
        </w:rPr>
        <w:t xml:space="preserve">, hence </w:t>
      </w:r>
      <w:r w:rsidRPr="00563A43">
        <w:rPr>
          <w:noProof/>
        </w:rPr>
        <w:t xml:space="preserve">being fully proportionate </w:t>
      </w:r>
      <w:r w:rsidR="00AF6D09" w:rsidRPr="00563A43">
        <w:rPr>
          <w:noProof/>
        </w:rPr>
        <w:t xml:space="preserve">and aligned with </w:t>
      </w:r>
      <w:r w:rsidRPr="00563A43">
        <w:rPr>
          <w:noProof/>
        </w:rPr>
        <w:t>the</w:t>
      </w:r>
      <w:r w:rsidR="00752D5B" w:rsidRPr="00563A43">
        <w:rPr>
          <w:noProof/>
        </w:rPr>
        <w:t xml:space="preserve">  objective of enabling efficient grid </w:t>
      </w:r>
      <w:r w:rsidR="004D21CC" w:rsidRPr="00563A43">
        <w:rPr>
          <w:noProof/>
        </w:rPr>
        <w:t>access</w:t>
      </w:r>
      <w:r w:rsidR="00752D5B" w:rsidRPr="00563A43">
        <w:rPr>
          <w:noProof/>
        </w:rPr>
        <w:t>.</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 xml:space="preserve">Finally, the overall package of measures proposed is considered appropriate given the overarching imperative of ensuring affordable electricity prices and competitiveness of European companies. </w:t>
      </w:r>
    </w:p>
    <w:p w:rsidR="003A2DC5" w:rsidRPr="00D37E28" w:rsidRDefault="003A2DC5" w:rsidP="00D37E28">
      <w:pPr>
        <w:pStyle w:val="Bullet0"/>
        <w:rPr>
          <w:rFonts w:eastAsia="Arial Unicode MS"/>
          <w:b/>
          <w:bCs/>
          <w:noProof/>
          <w:u w:color="000000"/>
          <w:bdr w:val="nil"/>
          <w:lang w:val="en-US" w:eastAsia="en-GB"/>
        </w:rPr>
      </w:pPr>
      <w:bookmarkStart w:id="19" w:name="_Toc234241696"/>
      <w:bookmarkStart w:id="20" w:name="_Toc234245485"/>
      <w:r w:rsidRPr="00D37E28">
        <w:rPr>
          <w:rFonts w:eastAsia="Arial Unicode MS"/>
          <w:b/>
          <w:bCs/>
          <w:noProof/>
          <w:u w:color="000000"/>
          <w:bdr w:val="nil"/>
          <w:lang w:val="en-US" w:eastAsia="en-GB"/>
        </w:rPr>
        <w:t>Choice of the instrument</w:t>
      </w:r>
      <w:bookmarkEnd w:id="19"/>
      <w:bookmarkEnd w:id="20"/>
    </w:p>
    <w:p w:rsidR="006C3902" w:rsidRPr="00725495" w:rsidRDefault="003A2DC5" w:rsidP="003A2DC5">
      <w:pPr>
        <w:pBdr>
          <w:top w:val="nil"/>
          <w:left w:val="nil"/>
          <w:bottom w:val="nil"/>
          <w:right w:val="nil"/>
          <w:between w:val="nil"/>
          <w:bar w:val="nil"/>
        </w:pBdr>
        <w:spacing w:before="0" w:after="240"/>
        <w:rPr>
          <w:noProof/>
        </w:rPr>
      </w:pPr>
      <w:r w:rsidRPr="00725495">
        <w:rPr>
          <w:noProof/>
        </w:rPr>
        <w:t xml:space="preserve">The proposal will amend the Electricity Regulation. Given that the proposal aims to add a limited set of new provisions and amend a limited set of existing provisions in </w:t>
      </w:r>
      <w:r w:rsidR="00396B4E">
        <w:rPr>
          <w:noProof/>
        </w:rPr>
        <w:t>this</w:t>
      </w:r>
      <w:r w:rsidR="00396B4E" w:rsidRPr="00725495">
        <w:rPr>
          <w:noProof/>
        </w:rPr>
        <w:t xml:space="preserve"> </w:t>
      </w:r>
      <w:r w:rsidRPr="00725495">
        <w:rPr>
          <w:noProof/>
        </w:rPr>
        <w:t xml:space="preserve">instrument, the recourse to an amending act is adequate. </w:t>
      </w:r>
      <w:r w:rsidR="006C3902">
        <w:rPr>
          <w:noProof/>
        </w:rPr>
        <w:t xml:space="preserve">On 2 July </w:t>
      </w:r>
      <w:r w:rsidR="007261F5">
        <w:rPr>
          <w:noProof/>
        </w:rPr>
        <w:t xml:space="preserve">2025, the Commission issued a </w:t>
      </w:r>
      <w:r w:rsidR="00463BC4">
        <w:rPr>
          <w:noProof/>
        </w:rPr>
        <w:t xml:space="preserve">draft </w:t>
      </w:r>
      <w:r w:rsidR="00AE0ABF">
        <w:rPr>
          <w:noProof/>
        </w:rPr>
        <w:t>notice</w:t>
      </w:r>
      <w:r w:rsidR="007261F5">
        <w:rPr>
          <w:noProof/>
        </w:rPr>
        <w:t xml:space="preserve"> </w:t>
      </w:r>
      <w:r w:rsidR="00AE0ABF">
        <w:rPr>
          <w:noProof/>
        </w:rPr>
        <w:t>with</w:t>
      </w:r>
      <w:r w:rsidR="0097709D">
        <w:rPr>
          <w:noProof/>
        </w:rPr>
        <w:t xml:space="preserve"> guidelines </w:t>
      </w:r>
      <w:r w:rsidR="0030348A">
        <w:rPr>
          <w:noProof/>
        </w:rPr>
        <w:t>on future proof network charges for reduced system costs</w:t>
      </w:r>
      <w:r w:rsidR="00AE0ABF">
        <w:rPr>
          <w:rStyle w:val="FootnoteReference"/>
          <w:noProof/>
        </w:rPr>
        <w:footnoteReference w:id="26"/>
      </w:r>
      <w:r w:rsidR="00A668C8">
        <w:rPr>
          <w:noProof/>
        </w:rPr>
        <w:t xml:space="preserve">. </w:t>
      </w:r>
      <w:r w:rsidR="00676723">
        <w:rPr>
          <w:noProof/>
        </w:rPr>
        <w:t xml:space="preserve">In that notice the Commission proposes </w:t>
      </w:r>
      <w:r w:rsidR="00676723" w:rsidRPr="00676723">
        <w:rPr>
          <w:noProof/>
        </w:rPr>
        <w:t>a design of tariff methodologies for network charges to incentivise the use of flexibility and investments to optimise the use of existing grid, deliver grid expansion at least cost and ensure a fair and cost-reflective allocation of grid charges while encouraging European competitiveness, deeper electrification and decarbonisation.</w:t>
      </w:r>
      <w:r w:rsidR="000C3BD0">
        <w:rPr>
          <w:noProof/>
        </w:rPr>
        <w:t xml:space="preserve"> </w:t>
      </w:r>
      <w:r w:rsidR="007307EC">
        <w:rPr>
          <w:noProof/>
        </w:rPr>
        <w:t xml:space="preserve">However, </w:t>
      </w:r>
      <w:r w:rsidR="000102F0">
        <w:rPr>
          <w:noProof/>
        </w:rPr>
        <w:t>to</w:t>
      </w:r>
      <w:r w:rsidR="007307EC">
        <w:rPr>
          <w:noProof/>
        </w:rPr>
        <w:t xml:space="preserve"> achieve the</w:t>
      </w:r>
      <w:r w:rsidR="00171067">
        <w:rPr>
          <w:noProof/>
        </w:rPr>
        <w:t>se</w:t>
      </w:r>
      <w:r w:rsidR="007307EC">
        <w:rPr>
          <w:noProof/>
        </w:rPr>
        <w:t xml:space="preserve"> </w:t>
      </w:r>
      <w:r w:rsidR="00171067">
        <w:rPr>
          <w:noProof/>
        </w:rPr>
        <w:t>objectives</w:t>
      </w:r>
      <w:r w:rsidR="007307EC">
        <w:rPr>
          <w:noProof/>
        </w:rPr>
        <w:t xml:space="preserve">, </w:t>
      </w:r>
      <w:r w:rsidR="007952FF">
        <w:rPr>
          <w:noProof/>
        </w:rPr>
        <w:t xml:space="preserve">it is of utmost importance that </w:t>
      </w:r>
      <w:r w:rsidR="00EB67B0">
        <w:rPr>
          <w:noProof/>
        </w:rPr>
        <w:t xml:space="preserve">the relevant design principles are </w:t>
      </w:r>
      <w:r w:rsidR="003A406D">
        <w:rPr>
          <w:noProof/>
        </w:rPr>
        <w:t xml:space="preserve">implemented in all Member States. This can only be achieved through legally binding </w:t>
      </w:r>
      <w:r w:rsidR="00145808">
        <w:rPr>
          <w:noProof/>
        </w:rPr>
        <w:t>instruments</w:t>
      </w:r>
      <w:r w:rsidR="000102F0">
        <w:rPr>
          <w:noProof/>
        </w:rPr>
        <w:t xml:space="preserve">, </w:t>
      </w:r>
      <w:r w:rsidR="002D1B52">
        <w:rPr>
          <w:noProof/>
        </w:rPr>
        <w:t xml:space="preserve">such as </w:t>
      </w:r>
      <w:r w:rsidR="000102F0">
        <w:rPr>
          <w:noProof/>
        </w:rPr>
        <w:t xml:space="preserve">the measures of this proposal. </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 xml:space="preserve">The principles on taxation of energy as laid out in this amendment of the Electricity Regulation focus on the application of the EU provisions imposing a minimum rate on electricity and natural gas and providing practical guidance on the making use of the possibility for Member States to apply reduced taxation rates to electricity used by intensive industries as set by Council Directive 2003/96/EC. In line with the objectives of this Directive, Member States remain free to set their energy tax levels, provided they follow the provisions in the Directive, while the principles in this Regulation will enable existing differences in the electrification incentives in energy taxation frameworks of Member States to be reduced. </w:t>
      </w:r>
    </w:p>
    <w:p w:rsidR="003A2DC5" w:rsidRPr="003A2DC5" w:rsidRDefault="003A2DC5" w:rsidP="003A2DC5">
      <w:pPr>
        <w:pStyle w:val="ManualHeading1"/>
        <w:rPr>
          <w:noProof/>
        </w:rPr>
      </w:pPr>
      <w:bookmarkStart w:id="21" w:name="_Toc234241697"/>
      <w:bookmarkStart w:id="22" w:name="_Toc234245486"/>
      <w:r w:rsidRPr="003A2DC5">
        <w:rPr>
          <w:noProof/>
        </w:rPr>
        <w:t>3.</w:t>
      </w:r>
      <w:r w:rsidRPr="003A2DC5">
        <w:rPr>
          <w:noProof/>
        </w:rPr>
        <w:tab/>
        <w:t xml:space="preserve">RESULTS OF </w:t>
      </w:r>
      <w:r w:rsidRPr="008A2E5F">
        <w:rPr>
          <w:i/>
          <w:noProof/>
        </w:rPr>
        <w:t>EX-POST</w:t>
      </w:r>
      <w:r w:rsidRPr="003A2DC5">
        <w:rPr>
          <w:noProof/>
        </w:rPr>
        <w:t xml:space="preserve"> EVALUATIONS, STAKEHOLDER CONSULTATIONS AND IMPACT ASSESSMENTS</w:t>
      </w:r>
      <w:bookmarkEnd w:id="21"/>
      <w:bookmarkEnd w:id="22"/>
    </w:p>
    <w:p w:rsidR="003A2DC5" w:rsidRPr="00D37E28" w:rsidRDefault="003A2DC5" w:rsidP="00D37E28">
      <w:pPr>
        <w:pStyle w:val="Bullet0"/>
        <w:rPr>
          <w:rFonts w:eastAsia="Arial Unicode MS"/>
          <w:b/>
          <w:bCs/>
          <w:noProof/>
          <w:u w:color="000000"/>
          <w:bdr w:val="nil"/>
          <w:lang w:val="en-US" w:eastAsia="en-GB"/>
        </w:rPr>
      </w:pPr>
      <w:bookmarkStart w:id="23" w:name="_Toc234241698"/>
      <w:bookmarkStart w:id="24" w:name="_Toc234245487"/>
      <w:r w:rsidRPr="00D37E28">
        <w:rPr>
          <w:rFonts w:eastAsia="Arial Unicode MS"/>
          <w:b/>
          <w:bCs/>
          <w:noProof/>
          <w:u w:color="000000"/>
          <w:bdr w:val="nil"/>
          <w:lang w:val="en-US" w:eastAsia="en-GB"/>
        </w:rPr>
        <w:t>Stakeholder</w:t>
      </w:r>
      <w:r w:rsidRPr="003A2DC5">
        <w:rPr>
          <w:rFonts w:eastAsia="Arial Unicode MS"/>
          <w:noProof/>
          <w:bdr w:val="nil"/>
          <w:lang w:val="en-US" w:eastAsia="en-GB"/>
        </w:rPr>
        <w:t xml:space="preserve"> </w:t>
      </w:r>
      <w:r w:rsidRPr="00D37E28">
        <w:rPr>
          <w:rFonts w:eastAsia="Arial Unicode MS"/>
          <w:b/>
          <w:bCs/>
          <w:noProof/>
          <w:bdr w:val="nil"/>
          <w:lang w:val="en-US" w:eastAsia="en-GB"/>
        </w:rPr>
        <w:t>consultations and impact assessment</w:t>
      </w:r>
      <w:bookmarkEnd w:id="23"/>
      <w:bookmarkEnd w:id="24"/>
    </w:p>
    <w:p w:rsidR="003A2DC5" w:rsidRPr="00725495" w:rsidRDefault="003A2DC5" w:rsidP="003A2DC5">
      <w:pPr>
        <w:pBdr>
          <w:top w:val="nil"/>
          <w:left w:val="nil"/>
          <w:bottom w:val="nil"/>
          <w:right w:val="nil"/>
          <w:between w:val="nil"/>
        </w:pBdr>
        <w:spacing w:before="0" w:after="240"/>
        <w:rPr>
          <w:noProof/>
        </w:rPr>
      </w:pPr>
      <w:r w:rsidRPr="003A2DC5">
        <w:rPr>
          <w:rFonts w:eastAsia="Times New Roman"/>
          <w:noProof/>
        </w:rPr>
        <w:t>Th</w:t>
      </w:r>
      <w:r w:rsidR="00A12FA7">
        <w:rPr>
          <w:rFonts w:eastAsia="Times New Roman"/>
          <w:noProof/>
        </w:rPr>
        <w:t>is</w:t>
      </w:r>
      <w:r w:rsidRPr="003A2DC5">
        <w:rPr>
          <w:rFonts w:eastAsia="Times New Roman"/>
          <w:noProof/>
        </w:rPr>
        <w:t xml:space="preserve"> proposal is part of the Commission’s response to the energy crisis </w:t>
      </w:r>
      <w:r w:rsidR="00CA17E0">
        <w:rPr>
          <w:rFonts w:eastAsia="Times New Roman"/>
          <w:noProof/>
        </w:rPr>
        <w:t>triggered by</w:t>
      </w:r>
      <w:r w:rsidRPr="003A2DC5">
        <w:rPr>
          <w:rFonts w:eastAsia="Times New Roman"/>
          <w:noProof/>
        </w:rPr>
        <w:t xml:space="preserve"> the conflict in the Middle East and the closure of the Strait of Hormuz. </w:t>
      </w:r>
      <w:r w:rsidR="00A254AD">
        <w:rPr>
          <w:rFonts w:eastAsia="Times New Roman"/>
          <w:noProof/>
        </w:rPr>
        <w:t>Although in</w:t>
      </w:r>
      <w:r w:rsidRPr="003A2DC5">
        <w:rPr>
          <w:rFonts w:eastAsia="Times New Roman"/>
          <w:noProof/>
        </w:rPr>
        <w:t xml:space="preserve"> recent years, the </w:t>
      </w:r>
      <w:r w:rsidR="000A0F0B">
        <w:rPr>
          <w:rFonts w:eastAsia="Times New Roman"/>
          <w:noProof/>
        </w:rPr>
        <w:t>Union</w:t>
      </w:r>
      <w:r w:rsidR="000A0F0B" w:rsidRPr="003A2DC5">
        <w:rPr>
          <w:rFonts w:eastAsia="Times New Roman"/>
          <w:noProof/>
        </w:rPr>
        <w:t xml:space="preserve"> </w:t>
      </w:r>
      <w:r w:rsidR="000A0F0B">
        <w:rPr>
          <w:rFonts w:eastAsia="Times New Roman"/>
          <w:noProof/>
        </w:rPr>
        <w:t>greatly</w:t>
      </w:r>
      <w:r w:rsidRPr="003A2DC5">
        <w:rPr>
          <w:rFonts w:eastAsia="Times New Roman"/>
          <w:noProof/>
        </w:rPr>
        <w:t xml:space="preserve"> accelerated the energy transition towards an efficient, flexible and interconnected system that is based on homegrown and clean energy sources, it remains dependent on fossil fuel imports. Over half (57%) of the energy consumed in Europe is </w:t>
      </w:r>
      <w:r w:rsidR="00AD6B8C">
        <w:rPr>
          <w:rFonts w:eastAsia="Times New Roman"/>
          <w:noProof/>
        </w:rPr>
        <w:t xml:space="preserve">from </w:t>
      </w:r>
      <w:r w:rsidRPr="003A2DC5">
        <w:rPr>
          <w:rFonts w:eastAsia="Times New Roman"/>
          <w:noProof/>
        </w:rPr>
        <w:t>imported fossil fuels.</w:t>
      </w:r>
    </w:p>
    <w:p w:rsidR="003A2DC5" w:rsidRPr="00725495" w:rsidRDefault="003A2DC5" w:rsidP="003A2DC5">
      <w:pPr>
        <w:pBdr>
          <w:top w:val="nil"/>
          <w:left w:val="nil"/>
          <w:bottom w:val="nil"/>
          <w:right w:val="nil"/>
          <w:between w:val="nil"/>
        </w:pBdr>
        <w:spacing w:before="0" w:after="240"/>
        <w:rPr>
          <w:noProof/>
        </w:rPr>
      </w:pPr>
      <w:r w:rsidRPr="003A2DC5">
        <w:rPr>
          <w:rFonts w:eastAsia="Times New Roman"/>
          <w:noProof/>
        </w:rPr>
        <w:t xml:space="preserve">Rising prices </w:t>
      </w:r>
      <w:r w:rsidR="00443290">
        <w:rPr>
          <w:rFonts w:eastAsia="Times New Roman"/>
          <w:noProof/>
        </w:rPr>
        <w:t>have been</w:t>
      </w:r>
      <w:r w:rsidR="00443290" w:rsidRPr="003A2DC5">
        <w:rPr>
          <w:rFonts w:eastAsia="Times New Roman"/>
          <w:noProof/>
        </w:rPr>
        <w:t xml:space="preserve"> </w:t>
      </w:r>
      <w:r w:rsidRPr="003A2DC5">
        <w:rPr>
          <w:rFonts w:eastAsia="Times New Roman"/>
          <w:noProof/>
        </w:rPr>
        <w:t>the immediate consequence of the conflict</w:t>
      </w:r>
      <w:r w:rsidR="00DA6869">
        <w:rPr>
          <w:rFonts w:eastAsia="Times New Roman"/>
          <w:noProof/>
        </w:rPr>
        <w:t xml:space="preserve"> and this has</w:t>
      </w:r>
      <w:r w:rsidR="0096242C">
        <w:rPr>
          <w:rFonts w:eastAsia="Arial Unicode MS"/>
          <w:noProof/>
          <w:lang w:eastAsia="en-GB"/>
        </w:rPr>
        <w:t xml:space="preserve"> </w:t>
      </w:r>
      <w:r w:rsidR="00DA6869">
        <w:rPr>
          <w:rFonts w:eastAsia="Arial Unicode MS"/>
          <w:noProof/>
          <w:lang w:eastAsia="en-GB"/>
        </w:rPr>
        <w:t>driven</w:t>
      </w:r>
      <w:r w:rsidRPr="003A2DC5">
        <w:rPr>
          <w:rFonts w:eastAsia="Arial Unicode MS"/>
          <w:noProof/>
          <w:lang w:eastAsia="en-GB"/>
        </w:rPr>
        <w:t xml:space="preserve"> up fossil fuel costs for the </w:t>
      </w:r>
      <w:r w:rsidR="00254AFB">
        <w:rPr>
          <w:rFonts w:eastAsia="Arial Unicode MS"/>
          <w:noProof/>
          <w:lang w:eastAsia="en-GB"/>
        </w:rPr>
        <w:t>Union</w:t>
      </w:r>
      <w:r w:rsidR="00254AFB" w:rsidRPr="003A2DC5">
        <w:rPr>
          <w:rFonts w:eastAsia="Arial Unicode MS"/>
          <w:noProof/>
          <w:lang w:eastAsia="en-GB"/>
        </w:rPr>
        <w:t xml:space="preserve"> </w:t>
      </w:r>
      <w:r w:rsidRPr="003A2DC5">
        <w:rPr>
          <w:rFonts w:eastAsia="Arial Unicode MS"/>
          <w:noProof/>
          <w:lang w:eastAsia="en-GB"/>
        </w:rPr>
        <w:t>by 500</w:t>
      </w:r>
      <w:r w:rsidR="009F396A">
        <w:rPr>
          <w:rFonts w:eastAsia="Arial Unicode MS"/>
          <w:noProof/>
          <w:lang w:eastAsia="en-GB"/>
        </w:rPr>
        <w:t xml:space="preserve"> million</w:t>
      </w:r>
      <w:r w:rsidRPr="003A2DC5">
        <w:rPr>
          <w:rFonts w:eastAsia="Arial Unicode MS"/>
          <w:noProof/>
          <w:lang w:eastAsia="en-GB"/>
        </w:rPr>
        <w:t xml:space="preserve"> EUR/day</w:t>
      </w:r>
      <w:r w:rsidRPr="003A2DC5">
        <w:rPr>
          <w:rFonts w:eastAsia="Times New Roman"/>
          <w:noProof/>
        </w:rPr>
        <w:t xml:space="preserve">. There is no immediate threat to the security of supply, although stocks of some fuels are tight. The </w:t>
      </w:r>
      <w:r w:rsidR="009D10C9">
        <w:rPr>
          <w:rFonts w:eastAsia="Times New Roman"/>
          <w:noProof/>
        </w:rPr>
        <w:t>Union</w:t>
      </w:r>
      <w:r w:rsidR="009D10C9" w:rsidRPr="003A2DC5">
        <w:rPr>
          <w:rFonts w:eastAsia="Times New Roman"/>
          <w:noProof/>
        </w:rPr>
        <w:t xml:space="preserve"> </w:t>
      </w:r>
      <w:r w:rsidRPr="003A2DC5">
        <w:rPr>
          <w:rFonts w:eastAsia="Times New Roman"/>
          <w:noProof/>
        </w:rPr>
        <w:t xml:space="preserve">is in the process of reducing the share of fossil fuels in </w:t>
      </w:r>
      <w:r w:rsidR="001D6419">
        <w:rPr>
          <w:rFonts w:eastAsia="Times New Roman"/>
          <w:noProof/>
        </w:rPr>
        <w:t xml:space="preserve">its </w:t>
      </w:r>
      <w:r w:rsidRPr="003A2DC5">
        <w:rPr>
          <w:rFonts w:eastAsia="Times New Roman"/>
          <w:noProof/>
        </w:rPr>
        <w:t xml:space="preserve">electricity production, but gas and oil continue to dominate in heating, industry and transport and are a key input to industrial value chains (e.g. chemicals, plastics and fertilisers). This leaves European households and businesses, notably SMEs and energy-intensive industries, and their </w:t>
      </w:r>
      <w:r w:rsidR="00AB0180">
        <w:rPr>
          <w:rFonts w:eastAsia="Times New Roman"/>
          <w:noProof/>
        </w:rPr>
        <w:t>employees</w:t>
      </w:r>
      <w:r w:rsidRPr="003A2DC5">
        <w:rPr>
          <w:rFonts w:eastAsia="Times New Roman"/>
          <w:noProof/>
        </w:rPr>
        <w:t>, exposed to global price spikes. Moreover, the possible effects of the crisis on GDP growth and inflation are significant and its impact</w:t>
      </w:r>
      <w:r w:rsidR="00010661">
        <w:rPr>
          <w:rFonts w:eastAsia="Times New Roman"/>
          <w:noProof/>
        </w:rPr>
        <w:t xml:space="preserve"> is</w:t>
      </w:r>
      <w:r w:rsidRPr="003A2DC5">
        <w:rPr>
          <w:rFonts w:eastAsia="Times New Roman"/>
          <w:noProof/>
        </w:rPr>
        <w:t xml:space="preserve"> likely to be felt for at least several months and go well beyond the energy sector, with economic, employment and social </w:t>
      </w:r>
      <w:r w:rsidR="00A24E0A">
        <w:rPr>
          <w:rFonts w:eastAsia="Times New Roman"/>
          <w:noProof/>
        </w:rPr>
        <w:t>ramifications</w:t>
      </w:r>
      <w:r w:rsidRPr="003A2DC5">
        <w:rPr>
          <w:rFonts w:eastAsia="Times New Roman"/>
          <w:noProof/>
        </w:rPr>
        <w:t xml:space="preserve">. </w:t>
      </w:r>
    </w:p>
    <w:p w:rsidR="003A2DC5" w:rsidRPr="003A2DC5" w:rsidRDefault="003A2DC5" w:rsidP="003A2DC5">
      <w:pPr>
        <w:pBdr>
          <w:top w:val="nil"/>
          <w:left w:val="nil"/>
          <w:bottom w:val="nil"/>
          <w:right w:val="nil"/>
          <w:between w:val="nil"/>
          <w:bar w:val="nil"/>
        </w:pBdr>
        <w:spacing w:before="0" w:after="240"/>
        <w:rPr>
          <w:rFonts w:eastAsia="Arial Unicode MS"/>
          <w:noProof/>
          <w:lang w:eastAsia="en-GB"/>
        </w:rPr>
      </w:pPr>
      <w:r w:rsidRPr="00725495">
        <w:rPr>
          <w:noProof/>
        </w:rPr>
        <w:t xml:space="preserve">In this context, swift </w:t>
      </w:r>
      <w:r w:rsidR="00A24E0A">
        <w:rPr>
          <w:noProof/>
        </w:rPr>
        <w:t>Union</w:t>
      </w:r>
      <w:r w:rsidR="00A24E0A" w:rsidRPr="00725495">
        <w:rPr>
          <w:noProof/>
        </w:rPr>
        <w:t xml:space="preserve"> </w:t>
      </w:r>
      <w:r w:rsidRPr="00725495">
        <w:rPr>
          <w:noProof/>
        </w:rPr>
        <w:t xml:space="preserve">action is needed to </w:t>
      </w:r>
      <w:r w:rsidR="00A24E0A">
        <w:rPr>
          <w:noProof/>
        </w:rPr>
        <w:t>avoid</w:t>
      </w:r>
      <w:r w:rsidR="00A24E0A" w:rsidRPr="00725495">
        <w:rPr>
          <w:noProof/>
        </w:rPr>
        <w:t xml:space="preserve"> </w:t>
      </w:r>
      <w:r w:rsidRPr="00725495">
        <w:rPr>
          <w:noProof/>
        </w:rPr>
        <w:t xml:space="preserve">significant harm </w:t>
      </w:r>
      <w:r w:rsidR="0034648A">
        <w:rPr>
          <w:noProof/>
        </w:rPr>
        <w:t>to</w:t>
      </w:r>
      <w:r w:rsidR="0034648A" w:rsidRPr="00725495">
        <w:rPr>
          <w:noProof/>
        </w:rPr>
        <w:t xml:space="preserve"> </w:t>
      </w:r>
      <w:r w:rsidR="0034648A">
        <w:rPr>
          <w:noProof/>
        </w:rPr>
        <w:t>EU</w:t>
      </w:r>
      <w:r w:rsidR="0034648A" w:rsidRPr="00725495">
        <w:rPr>
          <w:noProof/>
        </w:rPr>
        <w:t xml:space="preserve"> </w:t>
      </w:r>
      <w:r w:rsidRPr="00725495">
        <w:rPr>
          <w:noProof/>
        </w:rPr>
        <w:t>electricity consumers, in particular to</w:t>
      </w:r>
      <w:r w:rsidRPr="003A2DC5">
        <w:rPr>
          <w:rFonts w:eastAsia="Arial Unicode MS"/>
          <w:noProof/>
          <w:lang w:eastAsia="en-GB"/>
        </w:rPr>
        <w:t xml:space="preserve"> decrease electricity bills and the EU dependence on fossil fuels. In</w:t>
      </w:r>
      <w:r w:rsidRPr="003A2DC5">
        <w:rPr>
          <w:rFonts w:eastAsia="Times New Roman"/>
          <w:noProof/>
        </w:rPr>
        <w:t xml:space="preserve"> March 2026 the European Council called on the Commission </w:t>
      </w:r>
      <w:r w:rsidR="00D44067" w:rsidRPr="1ABB64DA">
        <w:rPr>
          <w:rFonts w:eastAsia="Times New Roman"/>
          <w:noProof/>
        </w:rPr>
        <w:t>‘</w:t>
      </w:r>
      <w:r w:rsidRPr="003A2DC5">
        <w:rPr>
          <w:rFonts w:eastAsia="Times New Roman"/>
          <w:noProof/>
        </w:rPr>
        <w:t>to urgently present targeted measures – across all components of electricity prices – for concrete actions to lower electricity prices and to address excessive volatility in the short term, including for energy-intensive sectors, taking into account the different situations across Member States</w:t>
      </w:r>
      <w:r w:rsidR="00C20C3E" w:rsidRPr="1ABB64DA">
        <w:rPr>
          <w:rFonts w:eastAsia="Times New Roman"/>
          <w:noProof/>
        </w:rPr>
        <w:t>’</w:t>
      </w:r>
      <w:r w:rsidRPr="003A2DC5">
        <w:rPr>
          <w:rStyle w:val="FootnoteReference"/>
          <w:rFonts w:eastAsia="Times New Roman"/>
          <w:noProof/>
        </w:rPr>
        <w:footnoteReference w:id="27"/>
      </w:r>
      <w:r w:rsidR="00C20C3E">
        <w:rPr>
          <w:rFonts w:eastAsia="Times New Roman"/>
          <w:noProof/>
        </w:rPr>
        <w:t>.</w:t>
      </w:r>
      <w:r w:rsidRPr="003A2DC5">
        <w:rPr>
          <w:rFonts w:eastAsia="Times New Roman"/>
          <w:noProof/>
        </w:rPr>
        <w:t xml:space="preserve"> </w:t>
      </w:r>
      <w:r w:rsidRPr="003A2DC5">
        <w:rPr>
          <w:rFonts w:eastAsia="Arial Unicode MS"/>
          <w:noProof/>
          <w:lang w:eastAsia="en-GB"/>
        </w:rPr>
        <w:t xml:space="preserve">The Commission </w:t>
      </w:r>
      <w:r w:rsidR="00796B8D">
        <w:rPr>
          <w:rFonts w:eastAsia="Arial Unicode MS"/>
          <w:noProof/>
          <w:lang w:eastAsia="en-GB"/>
        </w:rPr>
        <w:t>responded</w:t>
      </w:r>
      <w:r w:rsidRPr="003A2DC5">
        <w:rPr>
          <w:rFonts w:eastAsia="Arial Unicode MS"/>
          <w:noProof/>
          <w:lang w:eastAsia="en-GB"/>
        </w:rPr>
        <w:t xml:space="preserve"> with the AccelerateEU Communication</w:t>
      </w:r>
      <w:r w:rsidRPr="003A2DC5">
        <w:rPr>
          <w:rStyle w:val="FootnoteReference"/>
          <w:rFonts w:eastAsia="Arial Unicode MS"/>
          <w:noProof/>
          <w:lang w:eastAsia="en-GB"/>
        </w:rPr>
        <w:footnoteReference w:id="28"/>
      </w:r>
      <w:r w:rsidRPr="003A2DC5">
        <w:rPr>
          <w:rFonts w:eastAsia="Arial Unicode MS"/>
          <w:noProof/>
          <w:lang w:eastAsia="en-GB"/>
        </w:rPr>
        <w:t xml:space="preserve">, which announced the adoption of a legislative proposal on two significant components of the electricity bill, </w:t>
      </w:r>
      <w:r w:rsidR="00D3633A">
        <w:rPr>
          <w:rFonts w:eastAsia="Arial Unicode MS"/>
          <w:noProof/>
          <w:lang w:eastAsia="en-GB"/>
        </w:rPr>
        <w:t>i.e</w:t>
      </w:r>
      <w:r w:rsidR="00CA4D94">
        <w:rPr>
          <w:rFonts w:eastAsia="Arial Unicode MS"/>
          <w:noProof/>
          <w:lang w:eastAsia="en-GB"/>
        </w:rPr>
        <w:t>.</w:t>
      </w:r>
      <w:r w:rsidR="00D3633A" w:rsidRPr="003A2DC5">
        <w:rPr>
          <w:rFonts w:eastAsia="Arial Unicode MS"/>
          <w:noProof/>
          <w:lang w:eastAsia="en-GB"/>
        </w:rPr>
        <w:t xml:space="preserve"> </w:t>
      </w:r>
      <w:r w:rsidRPr="003A2DC5">
        <w:rPr>
          <w:rFonts w:eastAsia="Arial Unicode MS"/>
          <w:noProof/>
          <w:lang w:eastAsia="en-GB"/>
        </w:rPr>
        <w:t>network charges and taxation, in May 2026</w:t>
      </w:r>
      <w:r w:rsidR="00063F67">
        <w:rPr>
          <w:rFonts w:eastAsia="Arial Unicode MS"/>
          <w:noProof/>
          <w:lang w:eastAsia="en-GB"/>
        </w:rPr>
        <w:t>.</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Therefore, due to the </w:t>
      </w:r>
      <w:r w:rsidR="00104A43" w:rsidRPr="00104A43">
        <w:rPr>
          <w:noProof/>
        </w:rPr>
        <w:t>need for urgent action</w:t>
      </w:r>
      <w:r w:rsidR="000E7840">
        <w:rPr>
          <w:noProof/>
        </w:rPr>
        <w:t xml:space="preserve"> and adoption of this proposal </w:t>
      </w:r>
      <w:r w:rsidR="00104A43" w:rsidRPr="00104A43">
        <w:rPr>
          <w:noProof/>
        </w:rPr>
        <w:t xml:space="preserve">within an extremely compressed timeframe, the Commissioner responsible for better regulation </w:t>
      </w:r>
      <w:r w:rsidR="00104A43">
        <w:rPr>
          <w:noProof/>
        </w:rPr>
        <w:t xml:space="preserve">has </w:t>
      </w:r>
      <w:r w:rsidR="00104A43" w:rsidRPr="00104A43">
        <w:rPr>
          <w:noProof/>
        </w:rPr>
        <w:t>grant</w:t>
      </w:r>
      <w:r w:rsidR="00104A43">
        <w:rPr>
          <w:noProof/>
        </w:rPr>
        <w:t>ed</w:t>
      </w:r>
      <w:r w:rsidR="00104A43" w:rsidRPr="00104A43">
        <w:rPr>
          <w:noProof/>
        </w:rPr>
        <w:t xml:space="preserve"> </w:t>
      </w:r>
      <w:r w:rsidR="000E7840">
        <w:rPr>
          <w:noProof/>
        </w:rPr>
        <w:t xml:space="preserve">a specific </w:t>
      </w:r>
      <w:r w:rsidR="00104A43" w:rsidRPr="00104A43">
        <w:rPr>
          <w:noProof/>
        </w:rPr>
        <w:t xml:space="preserve">derogation from </w:t>
      </w:r>
      <w:r w:rsidR="000E7840">
        <w:rPr>
          <w:noProof/>
        </w:rPr>
        <w:t xml:space="preserve">carrying out an impact assessment and dedicated stakeholder consultations prior to the adoption of this proposal. </w:t>
      </w:r>
      <w:r w:rsidR="001132E0">
        <w:rPr>
          <w:noProof/>
        </w:rPr>
        <w:t>I</w:t>
      </w:r>
      <w:r w:rsidR="001132E0" w:rsidRPr="00487462">
        <w:rPr>
          <w:noProof/>
        </w:rPr>
        <w:t>n line with the principles of better regulation as set out in the Communication</w:t>
      </w:r>
      <w:r w:rsidR="001132E0" w:rsidRPr="003A2DC5">
        <w:rPr>
          <w:rStyle w:val="FootnoteReference"/>
          <w:rFonts w:eastAsia="Arial Unicode MS"/>
          <w:noProof/>
        </w:rPr>
        <w:footnoteReference w:id="29"/>
      </w:r>
      <w:r w:rsidR="001132E0" w:rsidRPr="00725495">
        <w:rPr>
          <w:noProof/>
        </w:rPr>
        <w:t xml:space="preserve"> on </w:t>
      </w:r>
      <w:r w:rsidR="001132E0">
        <w:rPr>
          <w:noProof/>
        </w:rPr>
        <w:t>‘</w:t>
      </w:r>
      <w:r w:rsidR="001132E0" w:rsidRPr="00725495">
        <w:rPr>
          <w:noProof/>
        </w:rPr>
        <w:t>A simpler, clearer and better enforced EU rulebook</w:t>
      </w:r>
      <w:r w:rsidR="001132E0">
        <w:rPr>
          <w:noProof/>
        </w:rPr>
        <w:t>’</w:t>
      </w:r>
      <w:r w:rsidR="001132E0" w:rsidRPr="00725495">
        <w:rPr>
          <w:noProof/>
        </w:rPr>
        <w:t>,</w:t>
      </w:r>
      <w:r w:rsidR="001132E0">
        <w:rPr>
          <w:noProof/>
        </w:rPr>
        <w:t xml:space="preserve"> </w:t>
      </w:r>
      <w:r w:rsidR="000E7840">
        <w:rPr>
          <w:noProof/>
        </w:rPr>
        <w:t xml:space="preserve">a </w:t>
      </w:r>
      <w:r w:rsidR="000E7840" w:rsidRPr="000E7840">
        <w:rPr>
          <w:noProof/>
        </w:rPr>
        <w:t xml:space="preserve">staff working document </w:t>
      </w:r>
      <w:r w:rsidR="000E7840">
        <w:rPr>
          <w:noProof/>
        </w:rPr>
        <w:t>has been</w:t>
      </w:r>
      <w:r w:rsidR="000E7840" w:rsidRPr="000E7840">
        <w:rPr>
          <w:noProof/>
        </w:rPr>
        <w:t xml:space="preserve"> prepared to accompany</w:t>
      </w:r>
      <w:r w:rsidR="000E7840">
        <w:rPr>
          <w:noProof/>
        </w:rPr>
        <w:t xml:space="preserve"> the proposal. </w:t>
      </w:r>
      <w:r w:rsidR="00AD5378">
        <w:rPr>
          <w:noProof/>
        </w:rPr>
        <w:t xml:space="preserve"> </w:t>
      </w:r>
      <w:r w:rsidR="008A30D2" w:rsidRPr="008A30D2">
        <w:rPr>
          <w:noProof/>
        </w:rPr>
        <w:t xml:space="preserve">The </w:t>
      </w:r>
      <w:r w:rsidR="000E7840">
        <w:rPr>
          <w:noProof/>
        </w:rPr>
        <w:t>s</w:t>
      </w:r>
      <w:r w:rsidR="008A30D2" w:rsidRPr="008A30D2">
        <w:rPr>
          <w:noProof/>
        </w:rPr>
        <w:t xml:space="preserve">taff </w:t>
      </w:r>
      <w:r w:rsidR="000E7840">
        <w:rPr>
          <w:noProof/>
        </w:rPr>
        <w:t>w</w:t>
      </w:r>
      <w:r w:rsidR="008A30D2" w:rsidRPr="008A30D2">
        <w:rPr>
          <w:noProof/>
        </w:rPr>
        <w:t xml:space="preserve">orking </w:t>
      </w:r>
      <w:r w:rsidR="000E7840">
        <w:rPr>
          <w:noProof/>
        </w:rPr>
        <w:t>d</w:t>
      </w:r>
      <w:r w:rsidR="008A30D2" w:rsidRPr="008A30D2">
        <w:rPr>
          <w:noProof/>
        </w:rPr>
        <w:t>ocument sets out the explanation and rationale behind the Commission’s proposal</w:t>
      </w:r>
      <w:r w:rsidR="0058272A">
        <w:rPr>
          <w:noProof/>
        </w:rPr>
        <w:t xml:space="preserve"> </w:t>
      </w:r>
      <w:r w:rsidR="00445D2B">
        <w:rPr>
          <w:noProof/>
        </w:rPr>
        <w:t xml:space="preserve">as well as the way in which </w:t>
      </w:r>
      <w:r w:rsidR="00AE6193">
        <w:rPr>
          <w:noProof/>
        </w:rPr>
        <w:t xml:space="preserve">the measures presented therein </w:t>
      </w:r>
      <w:r w:rsidR="00892F48">
        <w:rPr>
          <w:noProof/>
        </w:rPr>
        <w:t xml:space="preserve">will increase the cost-effectiveness of the </w:t>
      </w:r>
      <w:r w:rsidR="007E4726">
        <w:rPr>
          <w:noProof/>
        </w:rPr>
        <w:t>grid operation</w:t>
      </w:r>
      <w:r w:rsidR="001C475E">
        <w:rPr>
          <w:noProof/>
        </w:rPr>
        <w:t xml:space="preserve"> </w:t>
      </w:r>
      <w:r w:rsidR="00A2404E">
        <w:rPr>
          <w:noProof/>
        </w:rPr>
        <w:t>and foster electrification,</w:t>
      </w:r>
      <w:r w:rsidR="007E4726">
        <w:rPr>
          <w:noProof/>
        </w:rPr>
        <w:t xml:space="preserve"> ultimately reducing system costs. </w:t>
      </w:r>
      <w:r w:rsidR="00C55962">
        <w:rPr>
          <w:noProof/>
        </w:rPr>
        <w:t>In addition, t</w:t>
      </w:r>
      <w:r w:rsidR="00826E19">
        <w:rPr>
          <w:noProof/>
        </w:rPr>
        <w:t xml:space="preserve">he </w:t>
      </w:r>
      <w:r w:rsidR="000E7840">
        <w:rPr>
          <w:noProof/>
        </w:rPr>
        <w:t>s</w:t>
      </w:r>
      <w:r w:rsidR="00826E19">
        <w:rPr>
          <w:noProof/>
        </w:rPr>
        <w:t xml:space="preserve">taff </w:t>
      </w:r>
      <w:r w:rsidR="000E7840">
        <w:rPr>
          <w:noProof/>
        </w:rPr>
        <w:t>w</w:t>
      </w:r>
      <w:r w:rsidR="00826E19">
        <w:rPr>
          <w:noProof/>
        </w:rPr>
        <w:t xml:space="preserve">orking </w:t>
      </w:r>
      <w:r w:rsidR="000E7840">
        <w:rPr>
          <w:noProof/>
        </w:rPr>
        <w:t>d</w:t>
      </w:r>
      <w:r w:rsidR="00826E19">
        <w:rPr>
          <w:noProof/>
        </w:rPr>
        <w:t xml:space="preserve">ocument </w:t>
      </w:r>
      <w:r w:rsidR="008A30D2" w:rsidRPr="008A30D2">
        <w:rPr>
          <w:noProof/>
        </w:rPr>
        <w:t>presents the available evidence of relevance for the proposed measures.</w:t>
      </w:r>
    </w:p>
    <w:p w:rsidR="003A2DC5" w:rsidRDefault="003A2DC5" w:rsidP="003A2DC5">
      <w:pPr>
        <w:pBdr>
          <w:top w:val="nil"/>
          <w:left w:val="nil"/>
          <w:bottom w:val="nil"/>
          <w:right w:val="nil"/>
          <w:between w:val="nil"/>
          <w:bar w:val="nil"/>
        </w:pBdr>
        <w:spacing w:before="0" w:after="240"/>
        <w:rPr>
          <w:noProof/>
        </w:rPr>
      </w:pPr>
      <w:r w:rsidRPr="00725495">
        <w:rPr>
          <w:noProof/>
        </w:rPr>
        <w:t xml:space="preserve">However, this initiative drew </w:t>
      </w:r>
      <w:r w:rsidR="00E10E4D">
        <w:rPr>
          <w:noProof/>
        </w:rPr>
        <w:t xml:space="preserve">upon the </w:t>
      </w:r>
      <w:r w:rsidRPr="00725495">
        <w:rPr>
          <w:noProof/>
        </w:rPr>
        <w:t xml:space="preserve">conclusions </w:t>
      </w:r>
      <w:r w:rsidR="00C9418A">
        <w:rPr>
          <w:noProof/>
        </w:rPr>
        <w:t>of</w:t>
      </w:r>
      <w:r w:rsidRPr="00725495">
        <w:rPr>
          <w:noProof/>
        </w:rPr>
        <w:t xml:space="preserve"> recent public consultations on the European Grids </w:t>
      </w:r>
      <w:r w:rsidR="00793F5E">
        <w:rPr>
          <w:noProof/>
        </w:rPr>
        <w:t>P</w:t>
      </w:r>
      <w:r w:rsidRPr="00725495">
        <w:rPr>
          <w:noProof/>
        </w:rPr>
        <w:t>ackage as well as the Strategic Roadmap for Digitalisation and AI</w:t>
      </w:r>
      <w:r w:rsidR="00793F5E">
        <w:rPr>
          <w:noProof/>
        </w:rPr>
        <w:t xml:space="preserve"> in the energy sector</w:t>
      </w:r>
      <w:r w:rsidRPr="00725495">
        <w:rPr>
          <w:noProof/>
        </w:rPr>
        <w:t xml:space="preserve">. Under the European Grids </w:t>
      </w:r>
      <w:r w:rsidR="009675A8">
        <w:rPr>
          <w:noProof/>
        </w:rPr>
        <w:t>P</w:t>
      </w:r>
      <w:r w:rsidRPr="00725495">
        <w:rPr>
          <w:noProof/>
        </w:rPr>
        <w:t xml:space="preserve">ackage consultation, 76% of respondents agreed that further measures are needed to increase the efficiency of the existing grid, with 62% of respondents </w:t>
      </w:r>
      <w:r w:rsidR="009B17B2">
        <w:rPr>
          <w:noProof/>
        </w:rPr>
        <w:t>also</w:t>
      </w:r>
      <w:r w:rsidR="009B17B2" w:rsidRPr="00725495">
        <w:rPr>
          <w:noProof/>
        </w:rPr>
        <w:t xml:space="preserve"> </w:t>
      </w:r>
      <w:r w:rsidRPr="00725495">
        <w:rPr>
          <w:noProof/>
        </w:rPr>
        <w:t>agreeing that enhancing the visibility and quantified benefits of digital, innovative, and grid-enhancing technologies is also needed.</w:t>
      </w:r>
    </w:p>
    <w:p w:rsidR="001A6D6A" w:rsidRPr="00563A43" w:rsidRDefault="00726E2B" w:rsidP="003A2DC5">
      <w:pPr>
        <w:pBdr>
          <w:top w:val="nil"/>
          <w:left w:val="nil"/>
          <w:bottom w:val="nil"/>
          <w:right w:val="nil"/>
          <w:between w:val="nil"/>
          <w:bar w:val="nil"/>
        </w:pBdr>
        <w:spacing w:before="0" w:after="240"/>
        <w:rPr>
          <w:noProof/>
        </w:rPr>
      </w:pPr>
      <w:r w:rsidRPr="00563A43">
        <w:rPr>
          <w:noProof/>
        </w:rPr>
        <w:t>According to the study mandated by the European Commission,</w:t>
      </w:r>
      <w:r w:rsidRPr="00563A43">
        <w:rPr>
          <w:rStyle w:val="FootnoteReference"/>
          <w:noProof/>
        </w:rPr>
        <w:footnoteReference w:id="30"/>
      </w:r>
      <w:r w:rsidRPr="00563A43">
        <w:rPr>
          <w:noProof/>
        </w:rPr>
        <w:t xml:space="preserve"> at least 16 Member States face grid connection queues as of mid-2025. </w:t>
      </w:r>
      <w:r w:rsidR="008B24BF" w:rsidRPr="00563A43">
        <w:rPr>
          <w:noProof/>
        </w:rPr>
        <w:t xml:space="preserve">Some countries are rarely affected due to slower electrification or uptake of renewable energy sources, while others are experiencing severe grid congestion. </w:t>
      </w:r>
      <w:r w:rsidR="00026870" w:rsidRPr="00563A43">
        <w:rPr>
          <w:noProof/>
        </w:rPr>
        <w:t>Other</w:t>
      </w:r>
      <w:r w:rsidR="008B24BF" w:rsidRPr="00563A43">
        <w:rPr>
          <w:noProof/>
        </w:rPr>
        <w:t xml:space="preserve"> analysis</w:t>
      </w:r>
      <w:r w:rsidR="00026870" w:rsidRPr="00563A43">
        <w:rPr>
          <w:rStyle w:val="FootnoteReference"/>
          <w:noProof/>
        </w:rPr>
        <w:footnoteReference w:id="31"/>
      </w:r>
      <w:r w:rsidR="00026870" w:rsidRPr="00563A43">
        <w:rPr>
          <w:noProof/>
        </w:rPr>
        <w:t xml:space="preserve"> noted</w:t>
      </w:r>
      <w:r w:rsidR="008B24BF" w:rsidRPr="00563A43">
        <w:rPr>
          <w:noProof/>
        </w:rPr>
        <w:t xml:space="preserve"> some queues were 30</w:t>
      </w:r>
      <w:r w:rsidR="00026870" w:rsidRPr="00563A43">
        <w:rPr>
          <w:noProof/>
        </w:rPr>
        <w:t xml:space="preserve"> times </w:t>
      </w:r>
      <w:r w:rsidR="00050B90" w:rsidRPr="00563A43">
        <w:rPr>
          <w:noProof/>
        </w:rPr>
        <w:t xml:space="preserve">the </w:t>
      </w:r>
      <w:r w:rsidR="00026870" w:rsidRPr="00563A43">
        <w:rPr>
          <w:noProof/>
        </w:rPr>
        <w:t>amount of the</w:t>
      </w:r>
      <w:r w:rsidR="008B24BF" w:rsidRPr="00563A43">
        <w:rPr>
          <w:noProof/>
        </w:rPr>
        <w:t xml:space="preserve"> peak load in 2024, pointing to </w:t>
      </w:r>
      <w:r w:rsidR="55B09CFC" w:rsidRPr="00563A43">
        <w:rPr>
          <w:noProof/>
        </w:rPr>
        <w:t>the</w:t>
      </w:r>
      <w:r w:rsidR="008B24BF" w:rsidRPr="00563A43">
        <w:rPr>
          <w:noProof/>
        </w:rPr>
        <w:t xml:space="preserve"> presence of speculative </w:t>
      </w:r>
      <w:r w:rsidR="00026870" w:rsidRPr="00563A43">
        <w:rPr>
          <w:noProof/>
        </w:rPr>
        <w:t>and immature</w:t>
      </w:r>
      <w:r w:rsidR="008B24BF" w:rsidRPr="00563A43">
        <w:rPr>
          <w:noProof/>
        </w:rPr>
        <w:t xml:space="preserve"> requests in the queue</w:t>
      </w:r>
      <w:r w:rsidR="00026870" w:rsidRPr="00563A43">
        <w:rPr>
          <w:noProof/>
        </w:rPr>
        <w:t>.</w:t>
      </w:r>
      <w:r w:rsidR="00FE389B" w:rsidRPr="00563A43">
        <w:rPr>
          <w:noProof/>
        </w:rPr>
        <w:t xml:space="preserve"> </w:t>
      </w:r>
      <w:r w:rsidR="5E3C66FE" w:rsidRPr="00563A43">
        <w:rPr>
          <w:noProof/>
        </w:rPr>
        <w:t>The existence</w:t>
      </w:r>
      <w:r w:rsidR="00723589" w:rsidRPr="00563A43">
        <w:rPr>
          <w:noProof/>
        </w:rPr>
        <w:t xml:space="preserve"> of speculative and immature requests hindering timely grid access was also confirmed under a targeted stakeholder consultation under the European Grids package</w:t>
      </w:r>
      <w:r w:rsidR="00FE395E" w:rsidRPr="00563A43">
        <w:rPr>
          <w:noProof/>
        </w:rPr>
        <w:t xml:space="preserve">, running between </w:t>
      </w:r>
      <w:r w:rsidR="00AB2A10" w:rsidRPr="00563A43">
        <w:rPr>
          <w:noProof/>
        </w:rPr>
        <w:t xml:space="preserve">25 </w:t>
      </w:r>
      <w:r w:rsidR="00FE395E" w:rsidRPr="00563A43">
        <w:rPr>
          <w:noProof/>
        </w:rPr>
        <w:t xml:space="preserve">June and </w:t>
      </w:r>
      <w:r w:rsidR="00AB2A10" w:rsidRPr="00563A43">
        <w:rPr>
          <w:noProof/>
        </w:rPr>
        <w:t xml:space="preserve">25 </w:t>
      </w:r>
      <w:r w:rsidR="00FE395E" w:rsidRPr="00563A43">
        <w:rPr>
          <w:noProof/>
        </w:rPr>
        <w:t>July 2025.</w:t>
      </w:r>
      <w:r w:rsidR="00D97990" w:rsidRPr="00563A43">
        <w:rPr>
          <w:noProof/>
        </w:rPr>
        <w:t xml:space="preserve"> Among the respondents which represented system operators, regulatory authorities, Member States, energy market stakeholders as well as representatives of civil society, </w:t>
      </w:r>
      <w:r w:rsidR="00343793" w:rsidRPr="00563A43">
        <w:rPr>
          <w:noProof/>
        </w:rPr>
        <w:t xml:space="preserve">66 % </w:t>
      </w:r>
      <w:r w:rsidR="003C28D1" w:rsidRPr="00563A43">
        <w:rPr>
          <w:noProof/>
        </w:rPr>
        <w:t>agreed that</w:t>
      </w:r>
      <w:r w:rsidR="004B5571" w:rsidRPr="00563A43">
        <w:rPr>
          <w:noProof/>
        </w:rPr>
        <w:t xml:space="preserve"> there is a problem with</w:t>
      </w:r>
      <w:r w:rsidR="003C28D1" w:rsidRPr="00563A43">
        <w:rPr>
          <w:noProof/>
        </w:rPr>
        <w:t xml:space="preserve"> speculative and </w:t>
      </w:r>
      <w:r w:rsidR="00171AE4" w:rsidRPr="00563A43">
        <w:rPr>
          <w:noProof/>
        </w:rPr>
        <w:t>immature</w:t>
      </w:r>
      <w:r w:rsidR="004B5571" w:rsidRPr="00563A43">
        <w:rPr>
          <w:noProof/>
        </w:rPr>
        <w:t xml:space="preserve"> requests in their geography and in the EU, </w:t>
      </w:r>
      <w:r w:rsidR="009937EC" w:rsidRPr="00563A43">
        <w:rPr>
          <w:noProof/>
        </w:rPr>
        <w:t>and 56 % agreed that grid capacity is locked due to non-maturing requests.</w:t>
      </w:r>
      <w:r w:rsidR="006E0EFF" w:rsidRPr="00563A43">
        <w:rPr>
          <w:noProof/>
        </w:rPr>
        <w:t xml:space="preserve"> Moreover, </w:t>
      </w:r>
      <w:r w:rsidR="00500D90" w:rsidRPr="00563A43">
        <w:rPr>
          <w:noProof/>
        </w:rPr>
        <w:t xml:space="preserve">82 % of respondents agreed or partly </w:t>
      </w:r>
      <w:r w:rsidR="00F72E0F" w:rsidRPr="00563A43">
        <w:rPr>
          <w:noProof/>
        </w:rPr>
        <w:t>agreed</w:t>
      </w:r>
      <w:r w:rsidR="00500D90" w:rsidRPr="00563A43">
        <w:rPr>
          <w:noProof/>
        </w:rPr>
        <w:t xml:space="preserve"> that measures contributing to relieving congestion in the grid </w:t>
      </w:r>
      <w:r w:rsidR="00E62FA1" w:rsidRPr="00563A43">
        <w:rPr>
          <w:noProof/>
        </w:rPr>
        <w:t>as part of the grid connection procedures</w:t>
      </w:r>
      <w:r w:rsidR="00500D90" w:rsidRPr="00563A43">
        <w:rPr>
          <w:noProof/>
        </w:rPr>
        <w:t xml:space="preserve"> </w:t>
      </w:r>
      <w:r w:rsidR="00E62FA1" w:rsidRPr="00563A43">
        <w:rPr>
          <w:noProof/>
        </w:rPr>
        <w:t>could be helpful.</w:t>
      </w:r>
      <w:r w:rsidR="000B0191" w:rsidRPr="00563A43">
        <w:rPr>
          <w:noProof/>
        </w:rPr>
        <w:t xml:space="preserve"> Slightly lower number of respondents (</w:t>
      </w:r>
      <w:r w:rsidR="00434C2B" w:rsidRPr="00563A43">
        <w:rPr>
          <w:noProof/>
        </w:rPr>
        <w:t xml:space="preserve">71 %) agreed or partly agreed with </w:t>
      </w:r>
      <w:r w:rsidR="002A778A" w:rsidRPr="00563A43">
        <w:rPr>
          <w:noProof/>
        </w:rPr>
        <w:t xml:space="preserve">added value of measures </w:t>
      </w:r>
      <w:r w:rsidR="00C86EEE" w:rsidRPr="00563A43">
        <w:rPr>
          <w:noProof/>
        </w:rPr>
        <w:t xml:space="preserve">considering </w:t>
      </w:r>
      <w:r w:rsidR="0033173C" w:rsidRPr="00563A43">
        <w:rPr>
          <w:noProof/>
        </w:rPr>
        <w:t>contribution of connection requests to clean transition</w:t>
      </w:r>
      <w:r w:rsidR="00DB6270" w:rsidRPr="00563A43">
        <w:rPr>
          <w:noProof/>
        </w:rPr>
        <w:t>, services of general interest</w:t>
      </w:r>
      <w:r w:rsidR="007D177F" w:rsidRPr="00563A43">
        <w:rPr>
          <w:noProof/>
        </w:rPr>
        <w:t xml:space="preserve"> or based on other criteria.</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Under the Open Public Consultation from the Strategic Roadmap for </w:t>
      </w:r>
      <w:r w:rsidR="003C777C">
        <w:rPr>
          <w:noProof/>
        </w:rPr>
        <w:t>d</w:t>
      </w:r>
      <w:r w:rsidRPr="00725495">
        <w:rPr>
          <w:noProof/>
        </w:rPr>
        <w:t xml:space="preserve">igitalisation and AI in </w:t>
      </w:r>
      <w:r w:rsidR="00E622D6">
        <w:rPr>
          <w:noProof/>
        </w:rPr>
        <w:t xml:space="preserve">the </w:t>
      </w:r>
      <w:r w:rsidRPr="00725495">
        <w:rPr>
          <w:noProof/>
        </w:rPr>
        <w:t>energy</w:t>
      </w:r>
      <w:r w:rsidR="00E622D6">
        <w:rPr>
          <w:noProof/>
        </w:rPr>
        <w:t xml:space="preserve"> sector</w:t>
      </w:r>
      <w:r w:rsidRPr="00725495">
        <w:rPr>
          <w:noProof/>
        </w:rPr>
        <w:t xml:space="preserve">, </w:t>
      </w:r>
      <w:r w:rsidR="006011BA">
        <w:rPr>
          <w:noProof/>
        </w:rPr>
        <w:t>most</w:t>
      </w:r>
      <w:r w:rsidRPr="00725495">
        <w:rPr>
          <w:noProof/>
        </w:rPr>
        <w:t xml:space="preserve"> participants agree or strongly agree that a </w:t>
      </w:r>
      <w:r w:rsidR="006011BA">
        <w:rPr>
          <w:noProof/>
        </w:rPr>
        <w:t>Union</w:t>
      </w:r>
      <w:r w:rsidRPr="00725495">
        <w:rPr>
          <w:noProof/>
        </w:rPr>
        <w:t xml:space="preserve">-wide initiative for the development of AI foundation models would accelerate the deployment of digital and AI solutions </w:t>
      </w:r>
      <w:r w:rsidR="001132E0">
        <w:rPr>
          <w:noProof/>
        </w:rPr>
        <w:t>in</w:t>
      </w:r>
      <w:r w:rsidRPr="00725495">
        <w:rPr>
          <w:noProof/>
        </w:rPr>
        <w:t xml:space="preserve"> the energy system. According to this group of surveyed participants, there is strong confidence in fostering collaboration to accelerate the adoption of digital tools and AI solutions in the energy sector. About 60% of participants agreed with deploying AI foundation models, but </w:t>
      </w:r>
      <w:r w:rsidR="000D5C43">
        <w:rPr>
          <w:noProof/>
        </w:rPr>
        <w:t>most of these</w:t>
      </w:r>
      <w:r w:rsidRPr="00725495">
        <w:rPr>
          <w:noProof/>
        </w:rPr>
        <w:t xml:space="preserve"> (45%) included a caveat: caution should be exercised. AI foundation models should be explored in specific use cases – such as grids -, with clear safeguards and governance in place. Building partnerships, in particular collaboration between grid operators, academia, and research was ranked as main action (next to funding and financing) </w:t>
      </w:r>
      <w:r w:rsidR="000D5C43">
        <w:rPr>
          <w:noProof/>
        </w:rPr>
        <w:t>that would</w:t>
      </w:r>
      <w:r w:rsidR="000D5C43" w:rsidRPr="00725495">
        <w:rPr>
          <w:noProof/>
        </w:rPr>
        <w:t xml:space="preserve"> </w:t>
      </w:r>
      <w:r w:rsidRPr="00725495">
        <w:rPr>
          <w:noProof/>
        </w:rPr>
        <w:t xml:space="preserve">most effectively strengthen </w:t>
      </w:r>
      <w:r w:rsidR="009575B9">
        <w:rPr>
          <w:noProof/>
        </w:rPr>
        <w:t>the Union</w:t>
      </w:r>
      <w:r w:rsidR="008E502F">
        <w:rPr>
          <w:noProof/>
        </w:rPr>
        <w:t>’s</w:t>
      </w:r>
      <w:r w:rsidR="009575B9" w:rsidRPr="00725495">
        <w:rPr>
          <w:noProof/>
        </w:rPr>
        <w:t xml:space="preserve"> </w:t>
      </w:r>
      <w:r w:rsidRPr="00725495">
        <w:rPr>
          <w:noProof/>
        </w:rPr>
        <w:t xml:space="preserve">capacity to innovate </w:t>
      </w:r>
      <w:r w:rsidR="008E502F">
        <w:rPr>
          <w:noProof/>
        </w:rPr>
        <w:t>with</w:t>
      </w:r>
      <w:r w:rsidR="008E502F" w:rsidRPr="00725495">
        <w:rPr>
          <w:noProof/>
        </w:rPr>
        <w:t xml:space="preserve"> </w:t>
      </w:r>
      <w:r w:rsidRPr="00725495">
        <w:rPr>
          <w:noProof/>
        </w:rPr>
        <w:t xml:space="preserve">smart energy systems. In terms of additional measures, the respondents clearly aligned </w:t>
      </w:r>
      <w:r w:rsidR="00151215">
        <w:rPr>
          <w:noProof/>
        </w:rPr>
        <w:t>in</w:t>
      </w:r>
      <w:r w:rsidR="00151215" w:rsidRPr="00725495">
        <w:rPr>
          <w:noProof/>
        </w:rPr>
        <w:t xml:space="preserve"> </w:t>
      </w:r>
      <w:r w:rsidRPr="00725495">
        <w:rPr>
          <w:noProof/>
        </w:rPr>
        <w:t>identify</w:t>
      </w:r>
      <w:r w:rsidR="00151215">
        <w:rPr>
          <w:noProof/>
        </w:rPr>
        <w:t>ing</w:t>
      </w:r>
      <w:r w:rsidRPr="00725495">
        <w:rPr>
          <w:noProof/>
        </w:rPr>
        <w:t xml:space="preserve"> collaborative environments as key. “Support for creating ecosystems/hubs that bring together developers and energy players to build AI-based solutions, applications, foundational models, etc.” received 81 mentions. </w:t>
      </w:r>
      <w:r w:rsidR="001103A4">
        <w:rPr>
          <w:noProof/>
        </w:rPr>
        <w:t>Giving regulatory clarity and importance in upcoming legislation were frequently mentioned a</w:t>
      </w:r>
      <w:r w:rsidRPr="00725495">
        <w:rPr>
          <w:noProof/>
        </w:rPr>
        <w:t xml:space="preserve">mong the most effective actions </w:t>
      </w:r>
      <w:r w:rsidR="004C7242">
        <w:rPr>
          <w:noProof/>
        </w:rPr>
        <w:t>for</w:t>
      </w:r>
      <w:r w:rsidRPr="00725495">
        <w:rPr>
          <w:noProof/>
        </w:rPr>
        <w:t xml:space="preserve"> developing a coordinated framework to advance AI and digital technologies in the energy sector.</w:t>
      </w:r>
    </w:p>
    <w:p w:rsidR="003A2DC5" w:rsidRPr="00725495" w:rsidRDefault="003A2DC5" w:rsidP="003A2DC5">
      <w:pPr>
        <w:pBdr>
          <w:top w:val="nil"/>
          <w:left w:val="nil"/>
          <w:bottom w:val="nil"/>
          <w:right w:val="nil"/>
          <w:between w:val="nil"/>
          <w:bar w:val="nil"/>
        </w:pBdr>
        <w:spacing w:before="0" w:after="240"/>
        <w:rPr>
          <w:noProof/>
        </w:rPr>
      </w:pPr>
      <w:r w:rsidRPr="00487462">
        <w:rPr>
          <w:noProof/>
        </w:rPr>
        <w:t xml:space="preserve">The Commission plans to further engage with stakeholders, </w:t>
      </w:r>
      <w:r w:rsidR="00401268">
        <w:rPr>
          <w:noProof/>
        </w:rPr>
        <w:t>to</w:t>
      </w:r>
      <w:r w:rsidR="00401268" w:rsidRPr="00487462">
        <w:rPr>
          <w:noProof/>
        </w:rPr>
        <w:t xml:space="preserve"> </w:t>
      </w:r>
      <w:r w:rsidRPr="00487462">
        <w:rPr>
          <w:noProof/>
        </w:rPr>
        <w:t>ensur</w:t>
      </w:r>
      <w:r w:rsidR="00401268">
        <w:rPr>
          <w:noProof/>
        </w:rPr>
        <w:t>e</w:t>
      </w:r>
      <w:r w:rsidRPr="00487462">
        <w:rPr>
          <w:noProof/>
        </w:rPr>
        <w:t xml:space="preserve"> </w:t>
      </w:r>
      <w:r w:rsidR="00401268">
        <w:rPr>
          <w:noProof/>
        </w:rPr>
        <w:t>the</w:t>
      </w:r>
      <w:r w:rsidRPr="00487462">
        <w:rPr>
          <w:noProof/>
        </w:rPr>
        <w:t xml:space="preserve"> successful implementation of this Regulation. </w:t>
      </w:r>
    </w:p>
    <w:p w:rsidR="003A2DC5" w:rsidRPr="00D37E28" w:rsidRDefault="003A2DC5" w:rsidP="00D37E28">
      <w:pPr>
        <w:pStyle w:val="Bullet0"/>
        <w:rPr>
          <w:b/>
          <w:noProof/>
          <w:u w:color="000000"/>
          <w:bdr w:val="nil"/>
          <w:lang w:val="en-US" w:eastAsia="en-GB"/>
        </w:rPr>
      </w:pPr>
      <w:bookmarkStart w:id="25" w:name="_Toc234241699"/>
      <w:bookmarkStart w:id="26" w:name="_Toc234245488"/>
      <w:r w:rsidRPr="00D37E28">
        <w:rPr>
          <w:b/>
          <w:noProof/>
          <w:bdr w:val="nil"/>
          <w:lang w:val="en-US" w:eastAsia="en-GB"/>
        </w:rPr>
        <w:t>Regulatory</w:t>
      </w:r>
      <w:r w:rsidRPr="00D37E28">
        <w:rPr>
          <w:b/>
          <w:noProof/>
          <w:u w:color="000000"/>
          <w:bdr w:val="nil"/>
          <w:lang w:val="en-US" w:eastAsia="en-GB"/>
        </w:rPr>
        <w:t xml:space="preserve"> fitness and simplification</w:t>
      </w:r>
      <w:bookmarkEnd w:id="25"/>
      <w:bookmarkEnd w:id="26"/>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proposed amendments to the Electricity Regulation focus on what is considered necessary to achieve the objective of addressing rising system costs by incentivising system operators and system users to act in a system-friendly and cost-efficient way. They do not constitute a full revision of </w:t>
      </w:r>
      <w:r w:rsidR="00A3073B">
        <w:rPr>
          <w:noProof/>
        </w:rPr>
        <w:t>this</w:t>
      </w:r>
      <w:r w:rsidR="00A3073B" w:rsidRPr="00725495">
        <w:rPr>
          <w:noProof/>
        </w:rPr>
        <w:t xml:space="preserve"> </w:t>
      </w:r>
      <w:r w:rsidRPr="00725495">
        <w:rPr>
          <w:noProof/>
        </w:rPr>
        <w:t>instrument.</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proposal to make network charges more cost-efficient may increase administrative requirements for national administrations, </w:t>
      </w:r>
      <w:r w:rsidR="00E52F64">
        <w:rPr>
          <w:noProof/>
        </w:rPr>
        <w:t>but they are</w:t>
      </w:r>
      <w:r w:rsidRPr="00725495">
        <w:rPr>
          <w:noProof/>
        </w:rPr>
        <w:t xml:space="preserve"> proportionate as explained above. At the same time, the envisaged economic </w:t>
      </w:r>
      <w:r w:rsidRPr="001132E0">
        <w:rPr>
          <w:noProof/>
        </w:rPr>
        <w:t xml:space="preserve">impact </w:t>
      </w:r>
      <w:r w:rsidR="0086529E" w:rsidRPr="001132E0">
        <w:rPr>
          <w:noProof/>
        </w:rPr>
        <w:t xml:space="preserve">would </w:t>
      </w:r>
      <w:r w:rsidRPr="001132E0">
        <w:rPr>
          <w:noProof/>
        </w:rPr>
        <w:t>benefit</w:t>
      </w:r>
      <w:r w:rsidRPr="00725495">
        <w:rPr>
          <w:noProof/>
        </w:rPr>
        <w:t xml:space="preserve"> businesses and consumers by contributing to lower energy bills. The impact on national administration is considered minimal compared to the current framework, as the economic gains of the reform would </w:t>
      </w:r>
      <w:r w:rsidR="00C739E8">
        <w:rPr>
          <w:noProof/>
        </w:rPr>
        <w:t>outweigh</w:t>
      </w:r>
      <w:r w:rsidRPr="00725495">
        <w:rPr>
          <w:noProof/>
        </w:rPr>
        <w:t xml:space="preserve"> any short</w:t>
      </w:r>
      <w:r w:rsidR="00C2022B">
        <w:rPr>
          <w:noProof/>
        </w:rPr>
        <w:t>-</w:t>
      </w:r>
      <w:r w:rsidRPr="00725495">
        <w:rPr>
          <w:noProof/>
        </w:rPr>
        <w:t xml:space="preserve"> or long-term administrative reorganisation</w:t>
      </w:r>
      <w:r w:rsidR="00061AAD">
        <w:rPr>
          <w:noProof/>
        </w:rPr>
        <w:t xml:space="preserve"> costs</w:t>
      </w:r>
      <w:r w:rsidRPr="00725495">
        <w:rPr>
          <w:noProof/>
        </w:rPr>
        <w:t>.</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For smart </w:t>
      </w:r>
      <w:r w:rsidR="004A3EE6">
        <w:rPr>
          <w:noProof/>
        </w:rPr>
        <w:t xml:space="preserve">electricity </w:t>
      </w:r>
      <w:r w:rsidRPr="00725495">
        <w:rPr>
          <w:noProof/>
        </w:rPr>
        <w:t xml:space="preserve">grid indicators, the proposal builds on existing regulatory practice. National regulatory authorities are already required under Directive (EU) 2019/944 to monitor and assess smart </w:t>
      </w:r>
      <w:r w:rsidR="004A3EE6">
        <w:rPr>
          <w:noProof/>
        </w:rPr>
        <w:t xml:space="preserve">electricity </w:t>
      </w:r>
      <w:r w:rsidRPr="00725495">
        <w:rPr>
          <w:noProof/>
        </w:rPr>
        <w:t xml:space="preserve">grid development, and ACER and </w:t>
      </w:r>
      <w:r w:rsidR="001132E0">
        <w:rPr>
          <w:noProof/>
        </w:rPr>
        <w:t>the Council of European Energy Regulators (</w:t>
      </w:r>
      <w:r w:rsidRPr="00725495">
        <w:rPr>
          <w:noProof/>
        </w:rPr>
        <w:t>CEER</w:t>
      </w:r>
      <w:r w:rsidR="001132E0">
        <w:rPr>
          <w:noProof/>
        </w:rPr>
        <w:t>)</w:t>
      </w:r>
      <w:r w:rsidRPr="00725495">
        <w:rPr>
          <w:noProof/>
        </w:rPr>
        <w:t xml:space="preserve"> have already developed analytical work in this area. The proposal therefore does not create an entirely new reporting logic but rather structures and streamlines existing practice at Union level in order to support more coherent monitoring and regulatory follow-up.</w:t>
      </w:r>
    </w:p>
    <w:p w:rsidR="003A2DC5" w:rsidRPr="00725495" w:rsidRDefault="003A2DC5" w:rsidP="003A2DC5">
      <w:pPr>
        <w:pBdr>
          <w:top w:val="nil"/>
          <w:left w:val="nil"/>
          <w:bottom w:val="nil"/>
          <w:right w:val="nil"/>
          <w:between w:val="nil"/>
          <w:bar w:val="nil"/>
        </w:pBdr>
        <w:spacing w:before="0" w:after="240"/>
        <w:rPr>
          <w:noProof/>
        </w:rPr>
      </w:pPr>
      <w:r w:rsidRPr="00725495">
        <w:rPr>
          <w:noProof/>
        </w:rPr>
        <w:t>For smart metering systems, the proposal builds on the existing framework under Directive (EU) 2019/944 by introducing a minimum level of deployment across the Union, while maintaining the role of cost-benefit assessments for deployment beyond that level, thereby clarifying and refining the current approach without introducing a new regulatory mechanism.</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For grid data exchange between system operators, the proposal builds further on existing but more general cooperation and data-sharing obligations in the electricity </w:t>
      </w:r>
      <w:r w:rsidRPr="001132E0">
        <w:rPr>
          <w:i/>
          <w:noProof/>
        </w:rPr>
        <w:t>acquis</w:t>
      </w:r>
      <w:r w:rsidRPr="00725495">
        <w:rPr>
          <w:noProof/>
        </w:rPr>
        <w:t>, in particular on cooperation in network planning and operation</w:t>
      </w:r>
      <w:r w:rsidR="007D7729">
        <w:rPr>
          <w:noProof/>
        </w:rPr>
        <w:t xml:space="preserve"> between</w:t>
      </w:r>
      <w:r w:rsidR="007D7729" w:rsidRPr="00FC6B9D">
        <w:rPr>
          <w:noProof/>
        </w:rPr>
        <w:t xml:space="preserve"> </w:t>
      </w:r>
      <w:r w:rsidR="007D7729">
        <w:rPr>
          <w:noProof/>
        </w:rPr>
        <w:t>transmission system operators (</w:t>
      </w:r>
      <w:r w:rsidR="007D7729" w:rsidRPr="00FC6B9D">
        <w:rPr>
          <w:noProof/>
        </w:rPr>
        <w:t>TSO</w:t>
      </w:r>
      <w:r w:rsidR="007D7729">
        <w:rPr>
          <w:noProof/>
        </w:rPr>
        <w:t>s) and distribution system operators (</w:t>
      </w:r>
      <w:r w:rsidR="007D7729" w:rsidRPr="00FC6B9D">
        <w:rPr>
          <w:noProof/>
        </w:rPr>
        <w:t>DSO</w:t>
      </w:r>
      <w:r w:rsidR="007D7729">
        <w:rPr>
          <w:noProof/>
        </w:rPr>
        <w:t>s)</w:t>
      </w:r>
      <w:r w:rsidRPr="00725495">
        <w:rPr>
          <w:noProof/>
        </w:rPr>
        <w:t xml:space="preserve">. It makes those obligations more operational and purpose-driven by specifying that data exchange must support the development and effective use of </w:t>
      </w:r>
      <w:r w:rsidR="0044498A">
        <w:rPr>
          <w:noProof/>
        </w:rPr>
        <w:t>smart electricity grids</w:t>
      </w:r>
      <w:r w:rsidRPr="00725495">
        <w:rPr>
          <w:noProof/>
        </w:rPr>
        <w:t xml:space="preserve"> and innovative data-driven solutions for system operation, thereby reducing legal ambiguity and fragmentation rather than creating a new layer of obligations.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For the framework supporting the controlled re</w:t>
      </w:r>
      <w:r w:rsidR="001132E0">
        <w:rPr>
          <w:noProof/>
        </w:rPr>
        <w:t>-</w:t>
      </w:r>
      <w:r w:rsidRPr="00725495">
        <w:rPr>
          <w:noProof/>
        </w:rPr>
        <w:t xml:space="preserve">use of electricity grid data for research and innovation, the proposal builds on bottom-up initiatives already being developed by grid operators and their representative bodies. It does not impose mandatory participation but provides a clearer legal and governance framework around voluntary cooperation that is already emerging in practice </w:t>
      </w:r>
      <w:r w:rsidR="00C215B0">
        <w:rPr>
          <w:noProof/>
        </w:rPr>
        <w:t>to</w:t>
      </w:r>
      <w:r w:rsidRPr="00725495">
        <w:rPr>
          <w:noProof/>
        </w:rPr>
        <w:t xml:space="preserve"> enabl</w:t>
      </w:r>
      <w:r w:rsidR="00C215B0">
        <w:rPr>
          <w:noProof/>
        </w:rPr>
        <w:t>e</w:t>
      </w:r>
      <w:r w:rsidRPr="00725495">
        <w:rPr>
          <w:noProof/>
        </w:rPr>
        <w:t xml:space="preserve"> </w:t>
      </w:r>
      <w:r w:rsidR="00863DC1">
        <w:rPr>
          <w:noProof/>
        </w:rPr>
        <w:t>reaching</w:t>
      </w:r>
      <w:r w:rsidRPr="00725495">
        <w:rPr>
          <w:noProof/>
        </w:rPr>
        <w:t xml:space="preserve"> scale, legal certainty and common safeguards across the Union.</w:t>
      </w:r>
    </w:p>
    <w:p w:rsidR="003A2DC5" w:rsidRDefault="003A2DC5" w:rsidP="003A2DC5">
      <w:pPr>
        <w:pBdr>
          <w:top w:val="nil"/>
          <w:left w:val="nil"/>
          <w:bottom w:val="nil"/>
          <w:right w:val="nil"/>
          <w:between w:val="nil"/>
          <w:bar w:val="nil"/>
        </w:pBdr>
        <w:spacing w:before="0" w:after="240"/>
        <w:rPr>
          <w:noProof/>
        </w:rPr>
      </w:pPr>
      <w:r w:rsidRPr="00725495">
        <w:rPr>
          <w:noProof/>
        </w:rPr>
        <w:t>The proposed amendments regarding taxation reduce the regulatory burden for energy intensive businesses and national administrations via the removal of certain pre-conditions for the application of lower excise rates. Changes in taxation rates due to the amendments in this proposal can be implemented at national level via targeted changes to the domestic framework in regular (fiscal) legislative processes and do not influence the regulatory burden.</w:t>
      </w:r>
    </w:p>
    <w:p w:rsidR="008D2F18" w:rsidRPr="003A2DC5" w:rsidRDefault="008D2F18" w:rsidP="003A2DC5">
      <w:pPr>
        <w:pBdr>
          <w:top w:val="nil"/>
          <w:left w:val="nil"/>
          <w:bottom w:val="nil"/>
          <w:right w:val="nil"/>
          <w:between w:val="nil"/>
          <w:bar w:val="nil"/>
        </w:pBdr>
        <w:spacing w:before="0" w:after="240"/>
        <w:rPr>
          <w:rFonts w:eastAsia="Arial Unicode MS"/>
          <w:noProof/>
        </w:rPr>
      </w:pPr>
      <w:r w:rsidRPr="000C10B3">
        <w:rPr>
          <w:noProof/>
        </w:rPr>
        <w:t>Concerning</w:t>
      </w:r>
      <w:r w:rsidRPr="00563A43">
        <w:rPr>
          <w:noProof/>
        </w:rPr>
        <w:t xml:space="preserve"> </w:t>
      </w:r>
      <w:r w:rsidR="438B9764" w:rsidRPr="00563A43">
        <w:rPr>
          <w:noProof/>
        </w:rPr>
        <w:t>the</w:t>
      </w:r>
      <w:r w:rsidRPr="000C10B3">
        <w:rPr>
          <w:noProof/>
        </w:rPr>
        <w:t xml:space="preserve"> </w:t>
      </w:r>
      <w:r w:rsidR="003E566D" w:rsidRPr="000C10B3">
        <w:rPr>
          <w:noProof/>
        </w:rPr>
        <w:t xml:space="preserve">proposed provisions on </w:t>
      </w:r>
      <w:r w:rsidRPr="000C10B3">
        <w:rPr>
          <w:noProof/>
        </w:rPr>
        <w:t xml:space="preserve">grid </w:t>
      </w:r>
      <w:r w:rsidR="00AD645E" w:rsidRPr="000C10B3">
        <w:rPr>
          <w:noProof/>
        </w:rPr>
        <w:t>connection measures</w:t>
      </w:r>
      <w:r w:rsidR="003E566D" w:rsidRPr="000C10B3">
        <w:rPr>
          <w:noProof/>
        </w:rPr>
        <w:t xml:space="preserve"> in case of congestion</w:t>
      </w:r>
      <w:r w:rsidRPr="000C10B3">
        <w:rPr>
          <w:noProof/>
        </w:rPr>
        <w:t xml:space="preserve">, </w:t>
      </w:r>
      <w:r w:rsidR="0879A1CB" w:rsidRPr="00563A43">
        <w:rPr>
          <w:noProof/>
        </w:rPr>
        <w:t xml:space="preserve">the </w:t>
      </w:r>
      <w:r w:rsidRPr="000C10B3">
        <w:rPr>
          <w:noProof/>
        </w:rPr>
        <w:t xml:space="preserve">proposal fully builds on </w:t>
      </w:r>
      <w:r w:rsidR="00AD645E" w:rsidRPr="000C10B3">
        <w:rPr>
          <w:noProof/>
        </w:rPr>
        <w:t>Art</w:t>
      </w:r>
      <w:r w:rsidR="003E566D" w:rsidRPr="000C10B3">
        <w:rPr>
          <w:noProof/>
        </w:rPr>
        <w:t>icle</w:t>
      </w:r>
      <w:r w:rsidR="00AD645E" w:rsidRPr="000C10B3">
        <w:rPr>
          <w:noProof/>
        </w:rPr>
        <w:t xml:space="preserve"> 6 </w:t>
      </w:r>
      <w:r w:rsidR="003E566D" w:rsidRPr="000C10B3">
        <w:rPr>
          <w:noProof/>
        </w:rPr>
        <w:t>the</w:t>
      </w:r>
      <w:r w:rsidR="00AD645E" w:rsidRPr="000C10B3">
        <w:rPr>
          <w:noProof/>
        </w:rPr>
        <w:t xml:space="preserve"> Directive</w:t>
      </w:r>
      <w:r w:rsidR="003E566D" w:rsidRPr="000C10B3">
        <w:rPr>
          <w:noProof/>
        </w:rPr>
        <w:t xml:space="preserve"> (EU) 2019/944 and on the</w:t>
      </w:r>
      <w:r w:rsidR="00AD645E" w:rsidRPr="000C10B3">
        <w:rPr>
          <w:noProof/>
        </w:rPr>
        <w:t xml:space="preserve"> Guidance on efficient and timely grid connections</w:t>
      </w:r>
      <w:r w:rsidR="003E566D" w:rsidRPr="00563A43">
        <w:rPr>
          <w:noProof/>
        </w:rPr>
        <w:t xml:space="preserve"> and clarifies the existing responsibility of national regulatory authorities to set</w:t>
      </w:r>
      <w:r w:rsidR="00FD0535" w:rsidRPr="00563A43">
        <w:rPr>
          <w:noProof/>
        </w:rPr>
        <w:t xml:space="preserve"> conditions for non-discriminatory and transparent third-party grid access, hence not leading to any additional administrative burden.</w:t>
      </w:r>
    </w:p>
    <w:p w:rsidR="003A2DC5" w:rsidRPr="00D37E28" w:rsidRDefault="003A2DC5" w:rsidP="00D37E28">
      <w:pPr>
        <w:pStyle w:val="Bullet0"/>
        <w:rPr>
          <w:b/>
          <w:bCs/>
          <w:noProof/>
          <w:u w:color="000000"/>
          <w:bdr w:val="nil"/>
          <w:lang w:val="en-US" w:eastAsia="en-GB"/>
        </w:rPr>
      </w:pPr>
      <w:bookmarkStart w:id="27" w:name="_Toc234241700"/>
      <w:bookmarkStart w:id="28" w:name="_Toc234245489"/>
      <w:r w:rsidRPr="00D37E28">
        <w:rPr>
          <w:b/>
          <w:bCs/>
          <w:noProof/>
          <w:u w:color="000000"/>
          <w:bdr w:val="nil"/>
          <w:lang w:val="en-US" w:eastAsia="en-GB"/>
        </w:rPr>
        <w:t>Fundamental rights</w:t>
      </w:r>
      <w:bookmarkEnd w:id="27"/>
      <w:bookmarkEnd w:id="28"/>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No negative impact on fundamental rights has been identified.</w:t>
      </w:r>
    </w:p>
    <w:p w:rsidR="003A2DC5" w:rsidRPr="003A2DC5" w:rsidRDefault="003A2DC5" w:rsidP="003A2DC5">
      <w:pPr>
        <w:pStyle w:val="ManualHeading1"/>
        <w:rPr>
          <w:noProof/>
        </w:rPr>
      </w:pPr>
      <w:bookmarkStart w:id="29" w:name="_Toc234241701"/>
      <w:bookmarkStart w:id="30" w:name="_Toc234245490"/>
      <w:r w:rsidRPr="003A2DC5">
        <w:rPr>
          <w:noProof/>
        </w:rPr>
        <w:t>4.</w:t>
      </w:r>
      <w:r w:rsidRPr="003A2DC5">
        <w:rPr>
          <w:noProof/>
        </w:rPr>
        <w:tab/>
        <w:t>BUDGETARY IMPLICATIONS</w:t>
      </w:r>
      <w:bookmarkEnd w:id="29"/>
      <w:bookmarkEnd w:id="30"/>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 xml:space="preserve">The budgetary impact associated with this proposal concerns the resources of </w:t>
      </w:r>
      <w:r w:rsidR="00687ECC">
        <w:rPr>
          <w:noProof/>
        </w:rPr>
        <w:t xml:space="preserve">ACER </w:t>
      </w:r>
      <w:r w:rsidRPr="00725495">
        <w:rPr>
          <w:noProof/>
        </w:rPr>
        <w:t>and the Commission which are described in the Legislative Financial Statement accompanying the proposal. Essentially, for the new tasks to be carried out by ACER</w:t>
      </w:r>
      <w:r w:rsidR="00E54C4C">
        <w:rPr>
          <w:noProof/>
        </w:rPr>
        <w:t>, two</w:t>
      </w:r>
      <w:r w:rsidRPr="00725495">
        <w:rPr>
          <w:noProof/>
        </w:rPr>
        <w:t xml:space="preserve"> additional full</w:t>
      </w:r>
      <w:r w:rsidR="00921E4B">
        <w:rPr>
          <w:noProof/>
        </w:rPr>
        <w:t>-</w:t>
      </w:r>
      <w:r w:rsidRPr="00725495">
        <w:rPr>
          <w:noProof/>
        </w:rPr>
        <w:t>time equivalent</w:t>
      </w:r>
      <w:r w:rsidR="00921E4B">
        <w:rPr>
          <w:noProof/>
        </w:rPr>
        <w:t>s</w:t>
      </w:r>
      <w:r w:rsidRPr="00725495">
        <w:rPr>
          <w:noProof/>
        </w:rPr>
        <w:t xml:space="preserve"> (FTE</w:t>
      </w:r>
      <w:r w:rsidR="00921E4B">
        <w:rPr>
          <w:noProof/>
        </w:rPr>
        <w:t>s</w:t>
      </w:r>
      <w:r w:rsidRPr="00725495">
        <w:rPr>
          <w:noProof/>
        </w:rPr>
        <w:t xml:space="preserve">) </w:t>
      </w:r>
      <w:r w:rsidR="00921E4B">
        <w:rPr>
          <w:noProof/>
        </w:rPr>
        <w:t xml:space="preserve">will be required for </w:t>
      </w:r>
      <w:r w:rsidRPr="00725495">
        <w:rPr>
          <w:noProof/>
        </w:rPr>
        <w:t>ACER from 2026 onwards, as well as corresponding financial resources. The Commission’s workload will increase by 5 FTE</w:t>
      </w:r>
      <w:r w:rsidR="00F01709">
        <w:rPr>
          <w:noProof/>
        </w:rPr>
        <w:t>s</w:t>
      </w:r>
      <w:r w:rsidRPr="00725495">
        <w:rPr>
          <w:noProof/>
        </w:rPr>
        <w:t xml:space="preserve">. </w:t>
      </w:r>
    </w:p>
    <w:p w:rsidR="003A2DC5" w:rsidRPr="003A2DC5" w:rsidRDefault="003A2DC5" w:rsidP="003A2DC5">
      <w:pPr>
        <w:pStyle w:val="ManualHeading1"/>
        <w:rPr>
          <w:noProof/>
        </w:rPr>
      </w:pPr>
      <w:bookmarkStart w:id="31" w:name="_Toc234241702"/>
      <w:bookmarkStart w:id="32" w:name="_Toc234245491"/>
      <w:r w:rsidRPr="003A2DC5">
        <w:rPr>
          <w:noProof/>
        </w:rPr>
        <w:t>5.</w:t>
      </w:r>
      <w:r w:rsidRPr="003A2DC5">
        <w:rPr>
          <w:noProof/>
        </w:rPr>
        <w:tab/>
        <w:t>OTHER ELEMENTS</w:t>
      </w:r>
      <w:bookmarkEnd w:id="31"/>
      <w:bookmarkEnd w:id="32"/>
    </w:p>
    <w:p w:rsidR="003A2DC5" w:rsidRPr="00D37E28" w:rsidRDefault="003A2DC5" w:rsidP="00D37E28">
      <w:pPr>
        <w:pStyle w:val="Bullet0"/>
        <w:rPr>
          <w:rFonts w:eastAsia="Arial Unicode MS"/>
          <w:b/>
          <w:bCs/>
          <w:noProof/>
          <w:u w:color="000000"/>
          <w:bdr w:val="nil"/>
          <w:lang w:val="en-US" w:eastAsia="en-GB"/>
        </w:rPr>
      </w:pPr>
      <w:bookmarkStart w:id="33" w:name="_Toc234241703"/>
      <w:bookmarkStart w:id="34" w:name="_Toc234245492"/>
      <w:r w:rsidRPr="00D37E28">
        <w:rPr>
          <w:b/>
          <w:bCs/>
          <w:noProof/>
          <w:u w:color="000000"/>
          <w:bdr w:val="nil"/>
          <w:lang w:val="en-US" w:eastAsia="en-GB"/>
        </w:rPr>
        <w:t>Implementation</w:t>
      </w:r>
      <w:r w:rsidRPr="00D37E28">
        <w:rPr>
          <w:rFonts w:eastAsia="Arial Unicode MS"/>
          <w:b/>
          <w:bCs/>
          <w:noProof/>
          <w:u w:color="000000"/>
          <w:bdr w:val="nil"/>
          <w:lang w:val="en-US" w:eastAsia="en-GB"/>
        </w:rPr>
        <w:t xml:space="preserve"> plans and monitoring, evaluation and reporting arrangements</w:t>
      </w:r>
      <w:bookmarkEnd w:id="33"/>
      <w:bookmarkEnd w:id="34"/>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Commission will monitor </w:t>
      </w:r>
      <w:r w:rsidR="00EF581C">
        <w:rPr>
          <w:noProof/>
        </w:rPr>
        <w:t xml:space="preserve">the </w:t>
      </w:r>
      <w:r w:rsidRPr="00725495">
        <w:rPr>
          <w:noProof/>
        </w:rPr>
        <w:t xml:space="preserve">compliance of Member States and other actors with the measures that </w:t>
      </w:r>
      <w:r w:rsidR="009D19FF">
        <w:rPr>
          <w:noProof/>
        </w:rPr>
        <w:t>should</w:t>
      </w:r>
      <w:r w:rsidR="009D19FF" w:rsidRPr="00725495">
        <w:rPr>
          <w:noProof/>
        </w:rPr>
        <w:t xml:space="preserve"> </w:t>
      </w:r>
      <w:r w:rsidRPr="00725495">
        <w:rPr>
          <w:noProof/>
        </w:rPr>
        <w:t xml:space="preserve">ultimately </w:t>
      </w:r>
      <w:r w:rsidR="009D19FF">
        <w:rPr>
          <w:noProof/>
        </w:rPr>
        <w:t xml:space="preserve">be </w:t>
      </w:r>
      <w:r w:rsidRPr="00725495">
        <w:rPr>
          <w:noProof/>
        </w:rPr>
        <w:t xml:space="preserve">adopted and take enforcement measures </w:t>
      </w:r>
      <w:r w:rsidR="00E82348" w:rsidRPr="00725495">
        <w:rPr>
          <w:noProof/>
        </w:rPr>
        <w:t>when</w:t>
      </w:r>
      <w:r w:rsidRPr="00725495">
        <w:rPr>
          <w:noProof/>
        </w:rPr>
        <w:t xml:space="preserve"> required. The Commission will also liaise with ACER and national regulatory authorities.</w:t>
      </w:r>
    </w:p>
    <w:p w:rsidR="003A2DC5" w:rsidRPr="003A2DC5" w:rsidRDefault="003A2DC5" w:rsidP="003A2DC5">
      <w:pPr>
        <w:pBdr>
          <w:top w:val="nil"/>
          <w:left w:val="nil"/>
          <w:bottom w:val="nil"/>
          <w:right w:val="nil"/>
          <w:between w:val="nil"/>
          <w:bar w:val="nil"/>
        </w:pBdr>
        <w:spacing w:before="0" w:after="240"/>
        <w:rPr>
          <w:rFonts w:eastAsia="Arial Unicode MS"/>
          <w:noProof/>
        </w:rPr>
      </w:pPr>
      <w:r w:rsidRPr="00725495">
        <w:rPr>
          <w:noProof/>
        </w:rPr>
        <w:t>Moreover, to facilitate the implementation</w:t>
      </w:r>
      <w:r w:rsidR="009F396A">
        <w:rPr>
          <w:noProof/>
        </w:rPr>
        <w:t xml:space="preserve"> of the measures ultimately adopted</w:t>
      </w:r>
      <w:r w:rsidRPr="00725495">
        <w:rPr>
          <w:noProof/>
        </w:rPr>
        <w:t xml:space="preserve">, the Commission will be available for bilateral meetings and calls with Member States </w:t>
      </w:r>
      <w:r w:rsidR="004E5E09">
        <w:rPr>
          <w:noProof/>
        </w:rPr>
        <w:t>for</w:t>
      </w:r>
      <w:r w:rsidRPr="00725495">
        <w:rPr>
          <w:noProof/>
        </w:rPr>
        <w:t xml:space="preserve"> specific questions.</w:t>
      </w:r>
    </w:p>
    <w:p w:rsidR="003A2DC5" w:rsidRPr="00D37E28" w:rsidRDefault="003A2DC5" w:rsidP="00D37E28">
      <w:pPr>
        <w:pStyle w:val="Bullet0"/>
        <w:rPr>
          <w:rFonts w:eastAsia="Arial Unicode MS"/>
          <w:b/>
          <w:bCs/>
          <w:noProof/>
          <w:u w:color="000000"/>
          <w:bdr w:val="nil"/>
          <w:lang w:val="en-US" w:eastAsia="en-GB"/>
        </w:rPr>
      </w:pPr>
      <w:bookmarkStart w:id="35" w:name="_Toc234241704"/>
      <w:bookmarkStart w:id="36" w:name="_Toc234245493"/>
      <w:r w:rsidRPr="00D37E28">
        <w:rPr>
          <w:b/>
          <w:bCs/>
          <w:noProof/>
          <w:u w:color="000000"/>
          <w:bdr w:val="nil"/>
          <w:lang w:val="en-US" w:eastAsia="en-GB"/>
        </w:rPr>
        <w:t>Detailed</w:t>
      </w:r>
      <w:r w:rsidRPr="003A2DC5">
        <w:rPr>
          <w:rFonts w:eastAsia="Arial Unicode MS"/>
          <w:noProof/>
          <w:u w:color="000000"/>
          <w:bdr w:val="nil"/>
          <w:lang w:val="en-US" w:eastAsia="en-GB"/>
        </w:rPr>
        <w:t xml:space="preserve"> </w:t>
      </w:r>
      <w:r w:rsidRPr="00D37E28">
        <w:rPr>
          <w:rFonts w:eastAsia="Arial Unicode MS"/>
          <w:b/>
          <w:bCs/>
          <w:noProof/>
          <w:u w:color="000000"/>
          <w:bdr w:val="nil"/>
          <w:lang w:val="en-US" w:eastAsia="en-GB"/>
        </w:rPr>
        <w:t>explanation of the specific provisions of the proposal</w:t>
      </w:r>
      <w:bookmarkEnd w:id="35"/>
      <w:bookmarkEnd w:id="36"/>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amendments to </w:t>
      </w:r>
      <w:r w:rsidR="00BB27C2">
        <w:rPr>
          <w:noProof/>
        </w:rPr>
        <w:t>the</w:t>
      </w:r>
      <w:r w:rsidR="00D518A5">
        <w:rPr>
          <w:noProof/>
        </w:rPr>
        <w:t xml:space="preserve"> </w:t>
      </w:r>
      <w:r w:rsidRPr="00725495">
        <w:rPr>
          <w:noProof/>
        </w:rPr>
        <w:t xml:space="preserve">existing principles for transmission and distribution network tariffs provide further details on </w:t>
      </w:r>
      <w:r w:rsidR="00682930">
        <w:rPr>
          <w:noProof/>
        </w:rPr>
        <w:t xml:space="preserve">current and </w:t>
      </w:r>
      <w:r w:rsidRPr="00725495">
        <w:rPr>
          <w:noProof/>
        </w:rPr>
        <w:t xml:space="preserve">additional criteria for ensuring a cost-efficient use of electricity grids. They further empower the Commission to adopt </w:t>
      </w:r>
      <w:r w:rsidR="00E82348">
        <w:rPr>
          <w:noProof/>
        </w:rPr>
        <w:t>delegated acts</w:t>
      </w:r>
      <w:r w:rsidRPr="00725495">
        <w:rPr>
          <w:noProof/>
        </w:rPr>
        <w:t xml:space="preserve"> in the form of guidelines </w:t>
      </w:r>
      <w:r w:rsidR="00E82348">
        <w:rPr>
          <w:noProof/>
        </w:rPr>
        <w:t xml:space="preserve">on a common structure and harmonised methodology on transmission and distribution tariffs, </w:t>
      </w:r>
      <w:r w:rsidR="00E82348" w:rsidRPr="2199EFDD">
        <w:rPr>
          <w:rFonts w:eastAsia="Times New Roman"/>
          <w:noProof/>
          <w:szCs w:val="24"/>
        </w:rPr>
        <w:t>including</w:t>
      </w:r>
      <w:r w:rsidR="00E82348">
        <w:rPr>
          <w:rFonts w:eastAsia="Times New Roman"/>
          <w:noProof/>
          <w:szCs w:val="24"/>
        </w:rPr>
        <w:t xml:space="preserve"> </w:t>
      </w:r>
      <w:r w:rsidR="00E82348" w:rsidRPr="0047306D">
        <w:rPr>
          <w:rFonts w:eastAsia="Times New Roman"/>
          <w:noProof/>
          <w:szCs w:val="24"/>
        </w:rPr>
        <w:t xml:space="preserve">detailed conditions under which regulatory authorities may introduce separate network charge regimes for </w:t>
      </w:r>
      <w:r w:rsidR="00E82348" w:rsidRPr="0047306D">
        <w:rPr>
          <w:noProof/>
          <w:szCs w:val="24"/>
        </w:rPr>
        <w:t xml:space="preserve">specific categories of system users </w:t>
      </w:r>
      <w:r w:rsidR="00E82348">
        <w:rPr>
          <w:noProof/>
          <w:szCs w:val="24"/>
        </w:rPr>
        <w:t xml:space="preserve">as well as </w:t>
      </w:r>
      <w:r w:rsidR="00E82348" w:rsidRPr="0047306D">
        <w:rPr>
          <w:rFonts w:eastAsia="Times New Roman"/>
          <w:noProof/>
          <w:szCs w:val="24"/>
        </w:rPr>
        <w:t xml:space="preserve">harmonised rules on the procedural and substantive requirements </w:t>
      </w:r>
      <w:r w:rsidR="00E82348">
        <w:rPr>
          <w:rFonts w:eastAsia="Times New Roman"/>
          <w:noProof/>
          <w:szCs w:val="24"/>
        </w:rPr>
        <w:t>for</w:t>
      </w:r>
      <w:r w:rsidR="00E82348" w:rsidRPr="0047306D">
        <w:rPr>
          <w:rFonts w:eastAsia="Times New Roman"/>
          <w:noProof/>
          <w:szCs w:val="24"/>
        </w:rPr>
        <w:t xml:space="preserve"> public consultations</w:t>
      </w:r>
      <w:r w:rsidR="00E82348">
        <w:rPr>
          <w:rFonts w:eastAsia="Times New Roman"/>
          <w:noProof/>
          <w:szCs w:val="24"/>
        </w:rPr>
        <w:t xml:space="preserve"> on relevant draft tariff methodologies.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amendments require regulatory authorities to promote non-wire, smart and digital solutions to support a more cost-effective use of existing infrastructure before resorting to conventional grid expansion.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amendments further establish a structured Union-level framework for smart </w:t>
      </w:r>
      <w:r w:rsidR="004A3EE6">
        <w:rPr>
          <w:noProof/>
        </w:rPr>
        <w:t xml:space="preserve">electricity </w:t>
      </w:r>
      <w:r w:rsidRPr="00725495">
        <w:rPr>
          <w:noProof/>
        </w:rPr>
        <w:t xml:space="preserve">grid indicators to enable </w:t>
      </w:r>
      <w:r w:rsidR="0044498A">
        <w:rPr>
          <w:noProof/>
        </w:rPr>
        <w:t>smart electricity grids</w:t>
      </w:r>
      <w:r w:rsidRPr="00725495">
        <w:rPr>
          <w:noProof/>
        </w:rPr>
        <w:t xml:space="preserve"> and innovative data-driven solutions for monitoring, optimisation and coordination of network operation. ACER is tasked with issuing a recommendation on a limited set of indicators and with publishing regular Union-level progress reports, while the Commission is empowered to adopt implementing acts.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proposed amendments also introduce a clearer</w:t>
      </w:r>
      <w:r w:rsidR="00C57871">
        <w:rPr>
          <w:noProof/>
        </w:rPr>
        <w:t>;</w:t>
      </w:r>
      <w:r w:rsidRPr="00725495">
        <w:rPr>
          <w:noProof/>
        </w:rPr>
        <w:t xml:space="preserve"> more operational obligation for transmission and distribution system operators to manage and exchange grid data in a way that enables the development, deployment and effective use of </w:t>
      </w:r>
      <w:r w:rsidR="0044498A">
        <w:rPr>
          <w:noProof/>
        </w:rPr>
        <w:t>smart electricity grids</w:t>
      </w:r>
      <w:r w:rsidRPr="00725495">
        <w:rPr>
          <w:noProof/>
        </w:rPr>
        <w:t xml:space="preserve">.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 xml:space="preserve">The amendments create a framework for voluntary cooperation between system operators, jointly facilitated by </w:t>
      </w:r>
      <w:r w:rsidR="00797BD2">
        <w:rPr>
          <w:noProof/>
        </w:rPr>
        <w:t>the European Network of Transmission System Operators for Electricity</w:t>
      </w:r>
      <w:r w:rsidR="00797BD2" w:rsidRPr="00FC6B9D">
        <w:rPr>
          <w:noProof/>
        </w:rPr>
        <w:t xml:space="preserve"> </w:t>
      </w:r>
      <w:r w:rsidRPr="00725495">
        <w:rPr>
          <w:noProof/>
        </w:rPr>
        <w:t>ENTSO-E and the EU DSO Entity, to develop, test, integrate and deploy innovative digital tools for grid operation and optimisation. They formalise the key governance, access, cybersecurity, compliance and lifecycle-management elements needed for such cooperation</w:t>
      </w:r>
      <w:r w:rsidR="00797BD2">
        <w:rPr>
          <w:noProof/>
        </w:rPr>
        <w:t>. They also allow</w:t>
      </w:r>
      <w:r w:rsidRPr="00725495">
        <w:rPr>
          <w:noProof/>
        </w:rPr>
        <w:t xml:space="preserve"> the Commission to issue an opinion on the proposed arrangement and to adopt implementing acts establishing common requirements on data models, formats, interfaces, transparency and risk management. The purpose is to provide a sector-specific legal basis for the lawful, secure and controlled reuse of electricity grid data for research and innovation in the public interest, including advanced analytics and AI-based solutions.</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amendments introduce a minimum Union-wide deployment requirement for smart metering systems, requiring Member States to ensure coverage of at least 50</w:t>
      </w:r>
      <w:r w:rsidR="00F60EF3">
        <w:rPr>
          <w:rFonts w:eastAsia="Times New Roman"/>
          <w:noProof/>
        </w:rPr>
        <w:t> </w:t>
      </w:r>
      <w:r w:rsidRPr="00725495">
        <w:rPr>
          <w:noProof/>
        </w:rPr>
        <w:t xml:space="preserve">% of final customers by </w:t>
      </w:r>
      <w:r w:rsidR="009E5BBC">
        <w:rPr>
          <w:noProof/>
        </w:rPr>
        <w:t>31</w:t>
      </w:r>
      <w:r w:rsidR="0066063F">
        <w:rPr>
          <w:rFonts w:eastAsia="Times New Roman"/>
          <w:noProof/>
        </w:rPr>
        <w:t> </w:t>
      </w:r>
      <w:r w:rsidR="009E5BBC">
        <w:rPr>
          <w:noProof/>
        </w:rPr>
        <w:t>December</w:t>
      </w:r>
      <w:r w:rsidRPr="00725495">
        <w:rPr>
          <w:noProof/>
        </w:rPr>
        <w:t xml:space="preserve"> </w:t>
      </w:r>
      <w:r w:rsidR="007F2682" w:rsidRPr="00D873DB">
        <w:rPr>
          <w:noProof/>
        </w:rPr>
        <w:t xml:space="preserve">2030 and at least </w:t>
      </w:r>
      <w:r w:rsidR="00320DA4">
        <w:rPr>
          <w:noProof/>
        </w:rPr>
        <w:t>7</w:t>
      </w:r>
      <w:r w:rsidR="00320DA4" w:rsidRPr="00D873DB">
        <w:rPr>
          <w:noProof/>
        </w:rPr>
        <w:t>5</w:t>
      </w:r>
      <w:r w:rsidR="00320DA4">
        <w:rPr>
          <w:rFonts w:eastAsia="Times New Roman"/>
          <w:noProof/>
        </w:rPr>
        <w:t> </w:t>
      </w:r>
      <w:r w:rsidR="007F2682" w:rsidRPr="00D873DB">
        <w:rPr>
          <w:noProof/>
        </w:rPr>
        <w:t xml:space="preserve">% by </w:t>
      </w:r>
      <w:r w:rsidR="009E5BBC" w:rsidRPr="00D873DB">
        <w:rPr>
          <w:noProof/>
        </w:rPr>
        <w:t>31</w:t>
      </w:r>
      <w:r w:rsidR="0066063F">
        <w:rPr>
          <w:rFonts w:eastAsia="Times New Roman"/>
          <w:noProof/>
        </w:rPr>
        <w:t> </w:t>
      </w:r>
      <w:r w:rsidR="009E5BBC" w:rsidRPr="00D873DB">
        <w:rPr>
          <w:noProof/>
        </w:rPr>
        <w:t>December</w:t>
      </w:r>
      <w:r w:rsidR="007F2682" w:rsidRPr="00D873DB">
        <w:rPr>
          <w:noProof/>
        </w:rPr>
        <w:t xml:space="preserve"> 2033</w:t>
      </w:r>
      <w:r>
        <w:rPr>
          <w:noProof/>
        </w:rPr>
        <w:t>, with a possibility for a limited extension of the deadline for reaching the targets in duly justified cases.</w:t>
      </w:r>
      <w:r>
        <w:rPr>
          <w:noProof/>
        </w:rPr>
        <w:br/>
      </w:r>
      <w:r w:rsidRPr="00725495">
        <w:rPr>
          <w:noProof/>
        </w:rPr>
        <w:t xml:space="preserve">It clarifies that cost-benefit assessments under Directive (EU) 2019/944 may continue to apply </w:t>
      </w:r>
      <w:r w:rsidR="00AC0EA5">
        <w:rPr>
          <w:noProof/>
        </w:rPr>
        <w:t xml:space="preserve">but </w:t>
      </w:r>
      <w:r w:rsidRPr="00725495">
        <w:rPr>
          <w:noProof/>
        </w:rPr>
        <w:t xml:space="preserve">only beyond </w:t>
      </w:r>
      <w:r w:rsidR="007F2682" w:rsidRPr="00D873DB">
        <w:rPr>
          <w:noProof/>
        </w:rPr>
        <w:t xml:space="preserve">the </w:t>
      </w:r>
      <w:r w:rsidR="00320DA4">
        <w:rPr>
          <w:noProof/>
        </w:rPr>
        <w:t>7</w:t>
      </w:r>
      <w:r w:rsidR="00320DA4" w:rsidRPr="00D873DB">
        <w:rPr>
          <w:noProof/>
        </w:rPr>
        <w:t>5</w:t>
      </w:r>
      <w:r w:rsidR="00320DA4">
        <w:rPr>
          <w:rFonts w:eastAsia="Times New Roman"/>
          <w:noProof/>
        </w:rPr>
        <w:t> </w:t>
      </w:r>
      <w:r w:rsidR="007F2682" w:rsidRPr="00D873DB">
        <w:rPr>
          <w:noProof/>
        </w:rPr>
        <w:t>%</w:t>
      </w:r>
      <w:r w:rsidRPr="00725495">
        <w:rPr>
          <w:noProof/>
        </w:rPr>
        <w:t xml:space="preserve"> threshold. </w:t>
      </w:r>
    </w:p>
    <w:p w:rsidR="003A2DC5" w:rsidRPr="00725495" w:rsidRDefault="003A2DC5" w:rsidP="003A2DC5">
      <w:pPr>
        <w:pBdr>
          <w:top w:val="nil"/>
          <w:left w:val="nil"/>
          <w:bottom w:val="nil"/>
          <w:right w:val="nil"/>
          <w:between w:val="nil"/>
          <w:bar w:val="nil"/>
        </w:pBdr>
        <w:spacing w:before="0" w:after="240"/>
        <w:rPr>
          <w:noProof/>
        </w:rPr>
      </w:pPr>
      <w:r w:rsidRPr="00725495">
        <w:rPr>
          <w:noProof/>
        </w:rPr>
        <w:t>The proposal concerning the excise taxation of electricity determines that the minimum level of taxation for electricity shall be lower than the minimum level of taxation applicable to natural gas. Additionally, the conditions to apply a reduced rate of up to zero of taxation for electricity for use by energy intensive businesses shall be deemed to be met, given the positive environmental and climate impact of the uptake of electricity and its role in the achievement of the EU’s Net-Zero targets.</w:t>
      </w:r>
    </w:p>
    <w:p w:rsidR="008D2F18" w:rsidRPr="00F96E01" w:rsidRDefault="008D2F18">
      <w:pPr>
        <w:rPr>
          <w:noProof/>
        </w:rPr>
        <w:sectPr w:rsidR="008D2F18" w:rsidRPr="00F96E01" w:rsidSect="00423DB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sidRPr="000C10B3">
        <w:rPr>
          <w:noProof/>
        </w:rPr>
        <w:t xml:space="preserve">The proposal concerning </w:t>
      </w:r>
      <w:r w:rsidR="009408AD" w:rsidRPr="000C10B3">
        <w:rPr>
          <w:noProof/>
        </w:rPr>
        <w:t xml:space="preserve">grid connection measures in case of </w:t>
      </w:r>
      <w:r w:rsidR="004252CF" w:rsidRPr="000C10B3">
        <w:rPr>
          <w:noProof/>
        </w:rPr>
        <w:t>network congestion</w:t>
      </w:r>
      <w:r w:rsidR="00D930DD" w:rsidRPr="000C10B3">
        <w:rPr>
          <w:noProof/>
        </w:rPr>
        <w:t xml:space="preserve"> </w:t>
      </w:r>
      <w:r w:rsidR="00827088" w:rsidRPr="00563A43">
        <w:rPr>
          <w:noProof/>
        </w:rPr>
        <w:t>provides further clarification</w:t>
      </w:r>
      <w:r w:rsidR="00407CCC" w:rsidRPr="00563A43">
        <w:rPr>
          <w:noProof/>
        </w:rPr>
        <w:t>s</w:t>
      </w:r>
      <w:r w:rsidR="00827088" w:rsidRPr="00563A43">
        <w:rPr>
          <w:noProof/>
        </w:rPr>
        <w:t xml:space="preserve"> to</w:t>
      </w:r>
      <w:r w:rsidR="00D930DD" w:rsidRPr="00563A43">
        <w:rPr>
          <w:noProof/>
        </w:rPr>
        <w:t xml:space="preserve"> the </w:t>
      </w:r>
      <w:r w:rsidR="00C71FEB" w:rsidRPr="00563A43">
        <w:rPr>
          <w:noProof/>
        </w:rPr>
        <w:t>existing right and responsibility of regulatory authorities</w:t>
      </w:r>
      <w:r w:rsidR="00D930DD" w:rsidRPr="00563A43">
        <w:rPr>
          <w:noProof/>
        </w:rPr>
        <w:t xml:space="preserve"> to </w:t>
      </w:r>
      <w:r w:rsidR="00C71FEB" w:rsidRPr="00563A43">
        <w:rPr>
          <w:noProof/>
        </w:rPr>
        <w:t>adopt measures and set conditions for non-discriminatory, objective and transparent third-party access pursuant to Article 6 of Directive (EU) 2019/944</w:t>
      </w:r>
      <w:r w:rsidR="00722523" w:rsidRPr="00563A43">
        <w:rPr>
          <w:noProof/>
        </w:rPr>
        <w:t>. It does so</w:t>
      </w:r>
      <w:r w:rsidR="00C71FEB" w:rsidRPr="00563A43">
        <w:rPr>
          <w:noProof/>
        </w:rPr>
        <w:t xml:space="preserve"> by </w:t>
      </w:r>
      <w:r w:rsidR="00A65B49" w:rsidRPr="00563A43">
        <w:rPr>
          <w:noProof/>
        </w:rPr>
        <w:t>clarifying</w:t>
      </w:r>
      <w:r w:rsidR="00E42E23" w:rsidRPr="00563A43">
        <w:rPr>
          <w:noProof/>
        </w:rPr>
        <w:t xml:space="preserve"> </w:t>
      </w:r>
      <w:r w:rsidR="00A65B49" w:rsidRPr="00563A43">
        <w:rPr>
          <w:noProof/>
        </w:rPr>
        <w:t xml:space="preserve">that </w:t>
      </w:r>
      <w:r w:rsidR="00E42E23" w:rsidRPr="00563A43">
        <w:rPr>
          <w:noProof/>
        </w:rPr>
        <w:t xml:space="preserve">regulatory authorities may </w:t>
      </w:r>
      <w:r w:rsidR="00D930DD" w:rsidRPr="00563A43">
        <w:rPr>
          <w:noProof/>
        </w:rPr>
        <w:t xml:space="preserve">consider </w:t>
      </w:r>
      <w:r w:rsidR="0013202B" w:rsidRPr="00563A43">
        <w:rPr>
          <w:noProof/>
        </w:rPr>
        <w:t xml:space="preserve">the </w:t>
      </w:r>
      <w:r w:rsidR="00D930DD" w:rsidRPr="00563A43">
        <w:rPr>
          <w:noProof/>
        </w:rPr>
        <w:t xml:space="preserve">impacts </w:t>
      </w:r>
      <w:r w:rsidR="008E328A" w:rsidRPr="00563A43">
        <w:rPr>
          <w:noProof/>
        </w:rPr>
        <w:t>grid connection requests</w:t>
      </w:r>
      <w:r w:rsidR="00D930DD" w:rsidRPr="00563A43">
        <w:rPr>
          <w:noProof/>
        </w:rPr>
        <w:t xml:space="preserve"> </w:t>
      </w:r>
      <w:r w:rsidR="0013202B" w:rsidRPr="00563A43">
        <w:rPr>
          <w:noProof/>
        </w:rPr>
        <w:t xml:space="preserve">may have </w:t>
      </w:r>
      <w:r w:rsidR="00D930DD" w:rsidRPr="00563A43">
        <w:rPr>
          <w:noProof/>
        </w:rPr>
        <w:t xml:space="preserve">on network congestion, </w:t>
      </w:r>
      <w:r w:rsidR="00685E8F" w:rsidRPr="00563A43">
        <w:rPr>
          <w:noProof/>
        </w:rPr>
        <w:t xml:space="preserve">and may </w:t>
      </w:r>
      <w:r w:rsidR="008E328A" w:rsidRPr="00563A43">
        <w:rPr>
          <w:noProof/>
        </w:rPr>
        <w:t>take into account</w:t>
      </w:r>
      <w:r w:rsidR="00D930DD" w:rsidRPr="00563A43">
        <w:rPr>
          <w:noProof/>
        </w:rPr>
        <w:t xml:space="preserve"> economic, social or environmental considerations</w:t>
      </w:r>
      <w:r w:rsidR="008E328A" w:rsidRPr="00563A43">
        <w:rPr>
          <w:noProof/>
        </w:rPr>
        <w:t xml:space="preserve"> as well as </w:t>
      </w:r>
      <w:r w:rsidR="00685E8F" w:rsidRPr="00563A43">
        <w:rPr>
          <w:noProof/>
        </w:rPr>
        <w:t xml:space="preserve">the </w:t>
      </w:r>
      <w:r w:rsidR="00931C31" w:rsidRPr="00563A43">
        <w:rPr>
          <w:noProof/>
        </w:rPr>
        <w:t xml:space="preserve">maturity of grid connection requests and their progress during their presence in the grid connection queue. Regulatory authorities may also </w:t>
      </w:r>
      <w:r w:rsidR="00314936" w:rsidRPr="00563A43">
        <w:rPr>
          <w:noProof/>
        </w:rPr>
        <w:t xml:space="preserve">adopt conditions to </w:t>
      </w:r>
      <w:r w:rsidR="008E328A" w:rsidRPr="00563A43">
        <w:rPr>
          <w:noProof/>
        </w:rPr>
        <w:t>prioritise economic sectors or group of users</w:t>
      </w:r>
      <w:r w:rsidR="00931C31" w:rsidRPr="00563A43">
        <w:rPr>
          <w:noProof/>
        </w:rPr>
        <w:t>,</w:t>
      </w:r>
      <w:r w:rsidR="00314936" w:rsidRPr="00563A43">
        <w:rPr>
          <w:noProof/>
        </w:rPr>
        <w:t xml:space="preserve"> as well as</w:t>
      </w:r>
      <w:r w:rsidR="00931C31" w:rsidRPr="00563A43">
        <w:rPr>
          <w:noProof/>
        </w:rPr>
        <w:t xml:space="preserve"> set conditions for treatment of users</w:t>
      </w:r>
      <w:r w:rsidR="00314936" w:rsidRPr="00563A43">
        <w:rPr>
          <w:noProof/>
        </w:rPr>
        <w:t xml:space="preserve"> within the </w:t>
      </w:r>
      <w:r w:rsidR="00931C31" w:rsidRPr="00563A43">
        <w:rPr>
          <w:noProof/>
        </w:rPr>
        <w:t xml:space="preserve">sectors or </w:t>
      </w:r>
      <w:r w:rsidR="00314936" w:rsidRPr="00563A43">
        <w:rPr>
          <w:noProof/>
        </w:rPr>
        <w:t>group</w:t>
      </w:r>
      <w:r w:rsidR="00931C31" w:rsidRPr="00563A43">
        <w:rPr>
          <w:noProof/>
        </w:rPr>
        <w:t xml:space="preserve"> of users, while </w:t>
      </w:r>
      <w:r w:rsidR="007E74AC" w:rsidRPr="00563A43">
        <w:rPr>
          <w:noProof/>
        </w:rPr>
        <w:t xml:space="preserve">ensuring that any such conditions are </w:t>
      </w:r>
      <w:r w:rsidR="00931C31" w:rsidRPr="00563A43">
        <w:rPr>
          <w:noProof/>
        </w:rPr>
        <w:t xml:space="preserve">non-discriminatory, open and transparent. At the same time, regulatory authorities </w:t>
      </w:r>
      <w:r w:rsidR="006B6BBA" w:rsidRPr="00563A43">
        <w:rPr>
          <w:noProof/>
        </w:rPr>
        <w:t>should</w:t>
      </w:r>
      <w:r w:rsidR="00931C31" w:rsidRPr="00563A43">
        <w:rPr>
          <w:noProof/>
        </w:rPr>
        <w:t xml:space="preserve"> ensure that </w:t>
      </w:r>
      <w:r w:rsidR="001C0228" w:rsidRPr="00563A43">
        <w:rPr>
          <w:noProof/>
        </w:rPr>
        <w:t>the applicable</w:t>
      </w:r>
      <w:r w:rsidR="00931C31" w:rsidRPr="00563A43">
        <w:rPr>
          <w:noProof/>
        </w:rPr>
        <w:t xml:space="preserve"> measures addressing grid congestion are duly implemented, notably </w:t>
      </w:r>
      <w:r w:rsidR="00923F65" w:rsidRPr="00563A43">
        <w:rPr>
          <w:noProof/>
        </w:rPr>
        <w:t>the priority consideration of non-wire, smart and digital solutions, flexible connection agreements or early involvement of stakeholders in the cross-sectorial network planning.</w:t>
      </w:r>
    </w:p>
    <w:p w:rsidR="003252AD" w:rsidRDefault="00AA0104">
      <w:pPr>
        <w:pStyle w:val="Rfrenceinterinstitutionnelle"/>
        <w:rPr>
          <w:noProof/>
        </w:rPr>
      </w:pPr>
      <w:r>
        <w:rPr>
          <w:noProof/>
        </w:rPr>
        <w:t>2026/0203 (COD)</w:t>
      </w:r>
    </w:p>
    <w:p w:rsidR="00443040" w:rsidRPr="008E0D0F" w:rsidRDefault="001F50CA" w:rsidP="001F50CA">
      <w:pPr>
        <w:pStyle w:val="Statut"/>
        <w:rPr>
          <w:noProof/>
        </w:rPr>
      </w:pPr>
      <w:bookmarkStart w:id="37" w:name="_Hlk234399213"/>
      <w:r w:rsidRPr="001F50CA">
        <w:rPr>
          <w:noProof/>
        </w:rPr>
        <w:t>Proposal for a</w:t>
      </w:r>
    </w:p>
    <w:p w:rsidR="00443040" w:rsidRPr="00F96E01" w:rsidRDefault="001F50CA" w:rsidP="001F50CA">
      <w:pPr>
        <w:pStyle w:val="Typedudocument"/>
        <w:rPr>
          <w:noProof/>
        </w:rPr>
      </w:pPr>
      <w:r w:rsidRPr="001F50CA">
        <w:rPr>
          <w:noProof/>
        </w:rPr>
        <w:t>REGULATION OF THE EUROPEAN PARLIAMENT AND OF THE COUNCIL</w:t>
      </w:r>
    </w:p>
    <w:p w:rsidR="00443040" w:rsidRPr="00F96E01" w:rsidRDefault="001F50CA" w:rsidP="001F50CA">
      <w:pPr>
        <w:pStyle w:val="Titreobjet"/>
        <w:rPr>
          <w:noProof/>
        </w:rPr>
      </w:pPr>
      <w:r w:rsidRPr="001F50CA">
        <w:rPr>
          <w:noProof/>
        </w:rPr>
        <w:t>amending Regulation (EU) 2019/943, as regards future-proofing electricity bills in the Union, through reducing system costs and fostering electrification and digitalisation</w:t>
      </w:r>
    </w:p>
    <w:bookmarkEnd w:id="37"/>
    <w:p w:rsidR="00443040" w:rsidRPr="00443040" w:rsidRDefault="001F50CA" w:rsidP="001F50CA">
      <w:pPr>
        <w:pStyle w:val="IntrtEEE"/>
        <w:rPr>
          <w:noProof/>
        </w:rPr>
      </w:pPr>
      <w:r w:rsidRPr="001F50CA">
        <w:rPr>
          <w:noProof/>
        </w:rPr>
        <w:t>(Text with EEA relevance)</w:t>
      </w:r>
    </w:p>
    <w:p w:rsidR="00443040" w:rsidRPr="00F96E01" w:rsidRDefault="00443040">
      <w:pPr>
        <w:pStyle w:val="Institutionquiagit"/>
        <w:rPr>
          <w:noProof/>
        </w:rPr>
      </w:pPr>
      <w:r w:rsidRPr="00F96E01">
        <w:rPr>
          <w:noProof/>
        </w:rPr>
        <w:t xml:space="preserve">THE EUROPEAN PARLIAMENT AND THE COUNCIL OF THE EUROPEAN </w:t>
      </w:r>
      <w:smartTag w:uri="urn:schemas-microsoft-com:office:smarttags" w:element="place">
        <w:r w:rsidRPr="00F96E01">
          <w:rPr>
            <w:noProof/>
          </w:rPr>
          <w:t>UNION</w:t>
        </w:r>
      </w:smartTag>
      <w:r w:rsidRPr="00F96E01">
        <w:rPr>
          <w:noProof/>
        </w:rPr>
        <w:t>,</w:t>
      </w:r>
    </w:p>
    <w:p w:rsidR="00443040" w:rsidRPr="00F96E01" w:rsidRDefault="00443040">
      <w:pPr>
        <w:rPr>
          <w:noProof/>
        </w:rPr>
      </w:pPr>
      <w:r w:rsidRPr="00F96E01">
        <w:rPr>
          <w:noProof/>
        </w:rPr>
        <w:t xml:space="preserve">Having regard to the Treaty on the Functioning of the European Union, and in particular Article </w:t>
      </w:r>
      <w:r w:rsidR="000628EC" w:rsidRPr="00F41CBA">
        <w:rPr>
          <w:noProof/>
        </w:rPr>
        <w:t>194(2)</w:t>
      </w:r>
      <w:r w:rsidRPr="000628EC">
        <w:rPr>
          <w:noProof/>
        </w:rPr>
        <w:t xml:space="preserve"> thereof</w:t>
      </w:r>
      <w:r w:rsidRPr="00F96E01">
        <w:rPr>
          <w:noProof/>
        </w:rPr>
        <w:t>,</w:t>
      </w:r>
    </w:p>
    <w:p w:rsidR="00443040" w:rsidRPr="00F96E01" w:rsidRDefault="00443040">
      <w:pPr>
        <w:rPr>
          <w:noProof/>
        </w:rPr>
      </w:pPr>
      <w:r w:rsidRPr="00F96E01">
        <w:rPr>
          <w:noProof/>
        </w:rPr>
        <w:t>Having regard to the proposal from the European Commission,</w:t>
      </w:r>
    </w:p>
    <w:p w:rsidR="00443040" w:rsidRPr="00F96E01" w:rsidRDefault="00443040">
      <w:pPr>
        <w:rPr>
          <w:noProof/>
        </w:rPr>
      </w:pPr>
      <w:r w:rsidRPr="00F96E01">
        <w:rPr>
          <w:noProof/>
        </w:rPr>
        <w:t xml:space="preserve">After transmission of the draft legislative act to the national </w:t>
      </w:r>
      <w:r>
        <w:rPr>
          <w:noProof/>
        </w:rPr>
        <w:t>p</w:t>
      </w:r>
      <w:r w:rsidRPr="00F96E01">
        <w:rPr>
          <w:noProof/>
        </w:rPr>
        <w:t>arliaments,</w:t>
      </w:r>
    </w:p>
    <w:p w:rsidR="00443040" w:rsidRPr="00F96E01" w:rsidRDefault="00443040">
      <w:pPr>
        <w:rPr>
          <w:noProof/>
        </w:rPr>
      </w:pPr>
      <w:r w:rsidRPr="00F96E01">
        <w:rPr>
          <w:noProof/>
        </w:rPr>
        <w:t>Having regard to the opinion of the European Economic and Social Committee,</w:t>
      </w:r>
    </w:p>
    <w:p w:rsidR="001B7B69" w:rsidRPr="00F96E01" w:rsidRDefault="00811FD5" w:rsidP="00EC06E0">
      <w:pPr>
        <w:rPr>
          <w:noProof/>
        </w:rPr>
      </w:pPr>
      <w:r w:rsidRPr="00811FD5">
        <w:rPr>
          <w:noProof/>
        </w:rPr>
        <w:t>Having regard to the opinion of the Committee of the Regions,</w:t>
      </w:r>
    </w:p>
    <w:p w:rsidR="00443040" w:rsidRPr="00F96E01" w:rsidRDefault="00443040">
      <w:pPr>
        <w:rPr>
          <w:noProof/>
        </w:rPr>
      </w:pPr>
      <w:r w:rsidRPr="00F96E01">
        <w:rPr>
          <w:noProof/>
        </w:rPr>
        <w:t>Acting in accordance with the ordinary legislative procedure,</w:t>
      </w:r>
    </w:p>
    <w:p w:rsidR="00443040" w:rsidRPr="00F96E01" w:rsidRDefault="00443040">
      <w:pPr>
        <w:rPr>
          <w:noProof/>
        </w:rPr>
      </w:pPr>
      <w:r w:rsidRPr="00F96E01">
        <w:rPr>
          <w:noProof/>
        </w:rPr>
        <w:t>Whereas:</w:t>
      </w:r>
    </w:p>
    <w:p w:rsidR="001844A4" w:rsidRDefault="002107C0" w:rsidP="00263AE0">
      <w:pPr>
        <w:pStyle w:val="ManualConsidrant"/>
        <w:pBdr>
          <w:top w:val="nil"/>
          <w:left w:val="nil"/>
          <w:bottom w:val="nil"/>
          <w:right w:val="nil"/>
          <w:between w:val="nil"/>
          <w:bar w:val="nil"/>
        </w:pBdr>
        <w:spacing w:before="0" w:after="240"/>
        <w:rPr>
          <w:noProof/>
        </w:rPr>
      </w:pPr>
      <w:r>
        <w:rPr>
          <w:noProof/>
        </w:rPr>
        <w:t>(1)</w:t>
      </w:r>
      <w:r>
        <w:rPr>
          <w:noProof/>
        </w:rPr>
        <w:tab/>
        <w:t>High electricity costs are adversely affecting households and businesses across the Union, thereby undermining the competitiveness of the internal market and social cohesion. While the cost of the commodity cost component in the electricity bill is determined by supply and demand regulatory cost components of electricity bills, namely network charges and taxation</w:t>
      </w:r>
      <w:r w:rsidR="21D72688">
        <w:rPr>
          <w:noProof/>
        </w:rPr>
        <w:t xml:space="preserve"> may be further aligned with the Union energy and climate objectives</w:t>
      </w:r>
      <w:r>
        <w:rPr>
          <w:noProof/>
        </w:rPr>
        <w:t xml:space="preserve">. </w:t>
      </w:r>
      <w:r w:rsidR="0AB92762">
        <w:rPr>
          <w:noProof/>
        </w:rPr>
        <w:t>T</w:t>
      </w:r>
      <w:r>
        <w:rPr>
          <w:noProof/>
        </w:rPr>
        <w:t>o provide tangible relief to electricity consumers, it is necessary to adopt a coherent set of measures targeting those components of electricity bills.</w:t>
      </w:r>
    </w:p>
    <w:p w:rsidR="002107C0" w:rsidRPr="002107C0" w:rsidRDefault="002107C0" w:rsidP="60B76288">
      <w:pPr>
        <w:pStyle w:val="ManualConsidrant"/>
        <w:rPr>
          <w:noProof/>
        </w:rPr>
      </w:pPr>
      <w:r>
        <w:rPr>
          <w:noProof/>
        </w:rPr>
        <w:t>(2)</w:t>
      </w:r>
      <w:r>
        <w:rPr>
          <w:noProof/>
        </w:rPr>
        <w:tab/>
        <w:t>The measures concerning network charges set out in this Regulation aim to optimise grid costs through a number of measures including increased efficiency of the network, improved cost allocation mechanisms, and enhanced demand flexibility. Moreover, in order to further enhance demand flexibility, the deployment and effective use of smart grids, smart metering systems and interoperable data improve observability and controllability of the electricity system. These tools enable more efficient grid operation and planning, and the activation of flexibility resources at the lowest cost. By reducing inefficiencies in the transmission and distribution of electricity, including through more data-driven grid management and more accurate price signals for flexible consumption and generation, these measures will ultimately lower the network charges component of electricity bills, thereby contributing to the overall objective of reducing energy costs for final consumers.</w:t>
      </w:r>
    </w:p>
    <w:p w:rsidR="002107C0" w:rsidRPr="002107C0" w:rsidRDefault="002107C0" w:rsidP="60B76288">
      <w:pPr>
        <w:pStyle w:val="ManualConsidrant"/>
        <w:rPr>
          <w:noProof/>
        </w:rPr>
      </w:pPr>
      <w:r>
        <w:rPr>
          <w:noProof/>
        </w:rPr>
        <w:t>(3)</w:t>
      </w:r>
      <w:r>
        <w:rPr>
          <w:noProof/>
        </w:rPr>
        <w:tab/>
        <w:t xml:space="preserve">The provisions on taxation contained in this Regulation are ancillary to </w:t>
      </w:r>
      <w:r w:rsidR="453864D7">
        <w:rPr>
          <w:noProof/>
        </w:rPr>
        <w:t xml:space="preserve">the measures concerning network charges </w:t>
      </w:r>
      <w:r>
        <w:rPr>
          <w:noProof/>
        </w:rPr>
        <w:t xml:space="preserve">and are necessary to support </w:t>
      </w:r>
      <w:r w:rsidR="10B56731">
        <w:rPr>
          <w:noProof/>
        </w:rPr>
        <w:t>the objective of reducing electricity bills</w:t>
      </w:r>
      <w:r>
        <w:rPr>
          <w:noProof/>
        </w:rPr>
        <w:t>.  Reductions in network charges may not fully translate into lower electricity bills for final consumers, if electricity remains subject to higher taxation than fossil fuels. Such a discrepancy risks offsetting the benefits of lower network charges and undermining the Union’s broader objectives of affordability and electrification.</w:t>
      </w:r>
    </w:p>
    <w:p w:rsidR="002107C0" w:rsidRPr="002107C0" w:rsidRDefault="002107C0" w:rsidP="60B76288">
      <w:pPr>
        <w:pStyle w:val="ManualConsidrant"/>
        <w:rPr>
          <w:noProof/>
        </w:rPr>
      </w:pPr>
      <w:r>
        <w:rPr>
          <w:noProof/>
        </w:rPr>
        <w:t>(4)</w:t>
      </w:r>
      <w:r>
        <w:rPr>
          <w:noProof/>
        </w:rPr>
        <w:tab/>
        <w:t>Accelerating the electrification of the Union’s energy system can help reduce energy costs and exposure to fossil-fuel price volatility by enabling greater use of domestic renewable and low carbon electricity, in particular where electrification is supported by appropriate tariff design, efficient technologies and flexibility. Smart meters and smart grids, supported by secure and interoperable data exchange between system operators, market participants and final customers, are key enablers of such flexibility, as they allow electricity consumption, generation and storage to respond more efficiently to system needs and price signals. However, the transition to electrification is hampered where national taxation frameworks continue to favour fossil fuels over electricity, thereby disincentivising the shift to lower-cost, renewable and low-carbon energy solutions.</w:t>
      </w:r>
    </w:p>
    <w:p w:rsidR="002107C0" w:rsidRDefault="002107C0" w:rsidP="60B76288">
      <w:pPr>
        <w:pStyle w:val="ManualConsidrant"/>
        <w:rPr>
          <w:noProof/>
        </w:rPr>
      </w:pPr>
      <w:r>
        <w:rPr>
          <w:noProof/>
        </w:rPr>
        <w:t>(5)</w:t>
      </w:r>
      <w:r>
        <w:rPr>
          <w:noProof/>
        </w:rPr>
        <w:tab/>
        <w:t xml:space="preserve">In order to effectively lower electricity bills and support the Union’s energy and climate objectives, it is necessary to adopt a dual approach comprising both increasing the efficiency of electricity networks and the alignment of taxation principles. The measures concerning taxation set out in this Regulation do not harmonise tax rates or levels but ensure that electricity is not subject to a higher tax burden than </w:t>
      </w:r>
      <w:r w:rsidR="5FA06CCA">
        <w:rPr>
          <w:noProof/>
        </w:rPr>
        <w:t>gas</w:t>
      </w:r>
      <w:r>
        <w:rPr>
          <w:noProof/>
        </w:rPr>
        <w:t>. By removing regulatory barriers that could otherwise impede the affordability of electricity and the transition to electrification, these provisions support the primary objective of this Regulation while respecting the competence of Member States in the area of taxation.</w:t>
      </w:r>
    </w:p>
    <w:p w:rsidR="007E7135" w:rsidRDefault="00563A43" w:rsidP="000C10B3">
      <w:pPr>
        <w:pStyle w:val="ManualConsidrant"/>
        <w:rPr>
          <w:noProof/>
        </w:rPr>
      </w:pPr>
      <w:r>
        <w:rPr>
          <w:noProof/>
        </w:rPr>
        <w:t>(6)</w:t>
      </w:r>
      <w:r>
        <w:rPr>
          <w:noProof/>
        </w:rPr>
        <w:tab/>
      </w:r>
      <w:r w:rsidRPr="00184FD8">
        <w:rPr>
          <w:noProof/>
        </w:rPr>
        <w:t>The primary objective of these measures, i.e. increased efficiency of the network through smarter network charges, smart and digital technologies and streamlined data exchanges, should, in turn, also ensure efficient expansion of the electricity grid. Grid expansion is often necessary to accelerate grid connections and accommodate rising demand for electricity by system users such as data centres, energy intensive industries or market participants in the transport sector</w:t>
      </w:r>
      <w:r w:rsidR="00C4715B">
        <w:rPr>
          <w:noProof/>
        </w:rPr>
        <w:t>.</w:t>
      </w:r>
    </w:p>
    <w:p w:rsidR="003A2DC5" w:rsidRPr="00F96E01" w:rsidRDefault="003A2DC5" w:rsidP="60B76288">
      <w:pPr>
        <w:pStyle w:val="ManualConsidrant"/>
        <w:rPr>
          <w:noProof/>
        </w:rPr>
      </w:pPr>
      <w:r>
        <w:rPr>
          <w:noProof/>
        </w:rPr>
        <w:t>(7)</w:t>
      </w:r>
      <w:r>
        <w:rPr>
          <w:noProof/>
        </w:rPr>
        <w:tab/>
      </w:r>
      <w:r w:rsidRPr="75797A66">
        <w:rPr>
          <w:noProof/>
          <w:color w:val="333333"/>
        </w:rPr>
        <w:t xml:space="preserve">Network charges or tariffs comprise connection charges and use charges. Connection charges are typically payable on a </w:t>
      </w:r>
      <w:r w:rsidR="00EE3E7E" w:rsidRPr="75797A66">
        <w:rPr>
          <w:noProof/>
          <w:color w:val="333333"/>
        </w:rPr>
        <w:t>‘</w:t>
      </w:r>
      <w:r w:rsidRPr="75797A66">
        <w:rPr>
          <w:noProof/>
          <w:color w:val="333333"/>
        </w:rPr>
        <w:t>one-off</w:t>
      </w:r>
      <w:r w:rsidR="00EE3E7E" w:rsidRPr="75797A66">
        <w:rPr>
          <w:noProof/>
          <w:color w:val="333333"/>
        </w:rPr>
        <w:t>’</w:t>
      </w:r>
      <w:r w:rsidRPr="75797A66">
        <w:rPr>
          <w:noProof/>
          <w:color w:val="333333"/>
        </w:rPr>
        <w:t xml:space="preserve"> basis for connecting to the </w:t>
      </w:r>
      <w:r w:rsidR="00F464C6" w:rsidRPr="75797A66">
        <w:rPr>
          <w:noProof/>
          <w:color w:val="333333"/>
        </w:rPr>
        <w:t xml:space="preserve">electricity </w:t>
      </w:r>
      <w:r w:rsidRPr="75797A66">
        <w:rPr>
          <w:noProof/>
          <w:color w:val="333333"/>
        </w:rPr>
        <w:t xml:space="preserve">network. Use charges are linked to the use of the </w:t>
      </w:r>
      <w:r w:rsidR="00F464C6" w:rsidRPr="75797A66">
        <w:rPr>
          <w:noProof/>
          <w:color w:val="333333"/>
        </w:rPr>
        <w:t xml:space="preserve">electricity </w:t>
      </w:r>
      <w:r w:rsidRPr="75797A66">
        <w:rPr>
          <w:noProof/>
          <w:color w:val="333333"/>
        </w:rPr>
        <w:t>network</w:t>
      </w:r>
      <w:r w:rsidR="004F1595" w:rsidRPr="75797A66">
        <w:rPr>
          <w:noProof/>
          <w:color w:val="333333"/>
        </w:rPr>
        <w:t>.</w:t>
      </w:r>
      <w:r w:rsidR="00F464C6" w:rsidRPr="75797A66">
        <w:rPr>
          <w:noProof/>
          <w:color w:val="333333"/>
        </w:rPr>
        <w:t xml:space="preserve"> Use charges</w:t>
      </w:r>
      <w:r w:rsidRPr="75797A66">
        <w:rPr>
          <w:noProof/>
          <w:color w:val="333333"/>
        </w:rPr>
        <w:t xml:space="preserve"> include charges for building, upgrading, maintaining and operating the transmission and distribution infrastructure, charges for transmission and distribution losses, charges for system operators’ procurement of system services and charges for withdrawing or injecting electricity. </w:t>
      </w:r>
      <w:r>
        <w:rPr>
          <w:noProof/>
        </w:rPr>
        <w:t xml:space="preserve">Considering that network charges </w:t>
      </w:r>
      <w:r w:rsidR="004F1595">
        <w:rPr>
          <w:noProof/>
        </w:rPr>
        <w:t xml:space="preserve">are </w:t>
      </w:r>
      <w:r>
        <w:rPr>
          <w:noProof/>
        </w:rPr>
        <w:t xml:space="preserve">a considerable factor </w:t>
      </w:r>
      <w:r w:rsidR="004F1595">
        <w:rPr>
          <w:noProof/>
        </w:rPr>
        <w:t>in</w:t>
      </w:r>
      <w:r>
        <w:rPr>
          <w:noProof/>
        </w:rPr>
        <w:t xml:space="preserve"> electricity costs and are an important driver </w:t>
      </w:r>
      <w:r w:rsidR="00E6135E">
        <w:rPr>
          <w:noProof/>
        </w:rPr>
        <w:t>for</w:t>
      </w:r>
      <w:r>
        <w:rPr>
          <w:noProof/>
        </w:rPr>
        <w:t xml:space="preserve"> ensur</w:t>
      </w:r>
      <w:r w:rsidR="00E6135E">
        <w:rPr>
          <w:noProof/>
        </w:rPr>
        <w:t>ing</w:t>
      </w:r>
      <w:r>
        <w:rPr>
          <w:noProof/>
        </w:rPr>
        <w:t xml:space="preserve"> a cost-optimal energy system, harmonised rules can support a level playing field and extend good practices to all Member States</w:t>
      </w:r>
      <w:r w:rsidR="00E6135E">
        <w:rPr>
          <w:noProof/>
        </w:rPr>
        <w:t>. This</w:t>
      </w:r>
      <w:r>
        <w:rPr>
          <w:noProof/>
        </w:rPr>
        <w:t xml:space="preserve"> promot</w:t>
      </w:r>
      <w:r w:rsidR="00E6135E">
        <w:rPr>
          <w:noProof/>
        </w:rPr>
        <w:t>es</w:t>
      </w:r>
      <w:r>
        <w:rPr>
          <w:noProof/>
        </w:rPr>
        <w:t xml:space="preserve"> a more efficient approach</w:t>
      </w:r>
      <w:r w:rsidR="00427F34">
        <w:rPr>
          <w:noProof/>
        </w:rPr>
        <w:t>,</w:t>
      </w:r>
      <w:r>
        <w:rPr>
          <w:noProof/>
        </w:rPr>
        <w:t xml:space="preserve"> which can bring down costs and have a positive impact on the affordability of electricity for </w:t>
      </w:r>
      <w:r w:rsidR="00561B18">
        <w:rPr>
          <w:noProof/>
        </w:rPr>
        <w:t xml:space="preserve">Union </w:t>
      </w:r>
      <w:r>
        <w:rPr>
          <w:noProof/>
        </w:rPr>
        <w:t>consumers and on the competitiveness of the European economy. To that end, network charges should be cost-reflective, transparent</w:t>
      </w:r>
      <w:r w:rsidR="00427F34">
        <w:rPr>
          <w:noProof/>
        </w:rPr>
        <w:t xml:space="preserve"> and</w:t>
      </w:r>
      <w:r>
        <w:rPr>
          <w:noProof/>
        </w:rPr>
        <w:t xml:space="preserve"> non-discriminatory</w:t>
      </w:r>
      <w:r w:rsidR="00427F34">
        <w:rPr>
          <w:noProof/>
        </w:rPr>
        <w:t>,</w:t>
      </w:r>
      <w:r>
        <w:rPr>
          <w:noProof/>
        </w:rPr>
        <w:t xml:space="preserve"> and should provide the right incentives to both system operators and system users for the cost-efficient functioning of the electricity system.</w:t>
      </w:r>
    </w:p>
    <w:p w:rsidR="003A2DC5" w:rsidRPr="003560AE" w:rsidRDefault="003A2DC5" w:rsidP="003A2DC5">
      <w:pPr>
        <w:pStyle w:val="ManualConsidrant"/>
        <w:rPr>
          <w:noProof/>
        </w:rPr>
      </w:pPr>
      <w:r>
        <w:rPr>
          <w:noProof/>
        </w:rPr>
        <w:t>(8)</w:t>
      </w:r>
      <w:r>
        <w:rPr>
          <w:noProof/>
        </w:rPr>
        <w:tab/>
        <w:t>Cost-reflective network charges should reflect the costs incurred by system operators to develop and operate a cost-efficient network, insofar as such costs correspond to those of an efficient and structurally comparable network operator, considering operational and capital expenditures</w:t>
      </w:r>
      <w:r w:rsidR="00CB2F46">
        <w:rPr>
          <w:noProof/>
        </w:rPr>
        <w:t>. Network charges should also</w:t>
      </w:r>
      <w:r>
        <w:rPr>
          <w:noProof/>
        </w:rPr>
        <w:t xml:space="preserve"> include an appropriate return on investment. To achieve a cost-efficient use of the network and in line with the energy efficiency first principle, tariffs should incentivise system operators to </w:t>
      </w:r>
      <w:r w:rsidR="006B51F0">
        <w:rPr>
          <w:noProof/>
        </w:rPr>
        <w:t xml:space="preserve">minimise electricity losses and to </w:t>
      </w:r>
      <w:r>
        <w:rPr>
          <w:noProof/>
        </w:rPr>
        <w:t xml:space="preserve">optimise the use of existing grids, including through the use of flexibility services and the deployment of non-wire and digital solutions, </w:t>
      </w:r>
      <w:r w:rsidR="0044498A">
        <w:rPr>
          <w:noProof/>
        </w:rPr>
        <w:t>smart electricity grids</w:t>
      </w:r>
      <w:r>
        <w:rPr>
          <w:noProof/>
        </w:rPr>
        <w:t xml:space="preserve"> and smart metering systems. Moreover, network charges should be designed in such a way as to provide the necessary incentives to system users to contribute to a higher flexibility of the network, and to avoid inefficient curtailment while allowing energy to be used where the cheapest energy sources are available and when it is the most cost efficient for the overall system. Network charges should also provide locational investment signals and contain capacity</w:t>
      </w:r>
      <w:r w:rsidR="00523904">
        <w:rPr>
          <w:noProof/>
        </w:rPr>
        <w:t>,</w:t>
      </w:r>
      <w:r>
        <w:rPr>
          <w:noProof/>
        </w:rPr>
        <w:t xml:space="preserve"> as well as time-of-use elements</w:t>
      </w:r>
      <w:r w:rsidR="008B218C">
        <w:rPr>
          <w:noProof/>
        </w:rPr>
        <w:t>. The latter</w:t>
      </w:r>
      <w:r>
        <w:rPr>
          <w:noProof/>
        </w:rPr>
        <w:t xml:space="preserve"> could be of </w:t>
      </w:r>
      <w:r w:rsidR="006B5C45">
        <w:rPr>
          <w:noProof/>
        </w:rPr>
        <w:t xml:space="preserve">a </w:t>
      </w:r>
      <w:r>
        <w:rPr>
          <w:noProof/>
        </w:rPr>
        <w:t xml:space="preserve">static or dynamic nature to incentivise system users to make more efficient use of the network. </w:t>
      </w:r>
      <w:r w:rsidR="00B83E50">
        <w:rPr>
          <w:noProof/>
        </w:rPr>
        <w:t>Furthermore, costs created by system users who either inject or withdraw electricity to and from the grid should also be considered in the overall network charges methodology.</w:t>
      </w:r>
    </w:p>
    <w:p w:rsidR="003A2DC5" w:rsidRPr="000D213C" w:rsidRDefault="003A2DC5" w:rsidP="003A2DC5">
      <w:pPr>
        <w:pStyle w:val="ManualConsidrant"/>
        <w:rPr>
          <w:noProof/>
        </w:rPr>
      </w:pPr>
      <w:r>
        <w:rPr>
          <w:noProof/>
        </w:rPr>
        <w:t>(9)</w:t>
      </w:r>
      <w:r>
        <w:rPr>
          <w:noProof/>
        </w:rPr>
        <w:tab/>
        <w:t xml:space="preserve">To ensure a level playing field for all market participants in the interconnected European electricity markets, network charges should be applied in a way which does not discriminate between production connected at the distribution level and production connected at the transmission level. Moreover, network charges should not disincentivise aggregation, energy communities, self-generation, self-consumption, storage or participation in demand response and </w:t>
      </w:r>
      <w:r w:rsidR="00DD4D72">
        <w:rPr>
          <w:noProof/>
        </w:rPr>
        <w:t xml:space="preserve">should </w:t>
      </w:r>
      <w:r>
        <w:rPr>
          <w:noProof/>
        </w:rPr>
        <w:t>enable effective and timely third-party access. With respect to storage, network charges should be used to incentivise grid</w:t>
      </w:r>
      <w:r w:rsidR="00030F17">
        <w:rPr>
          <w:noProof/>
        </w:rPr>
        <w:t>-</w:t>
      </w:r>
      <w:r>
        <w:rPr>
          <w:noProof/>
        </w:rPr>
        <w:t xml:space="preserve">friendly </w:t>
      </w:r>
      <w:r w:rsidR="008D0A27">
        <w:rPr>
          <w:noProof/>
        </w:rPr>
        <w:t>behaviour,</w:t>
      </w:r>
      <w:r w:rsidR="00A35C55">
        <w:rPr>
          <w:noProof/>
        </w:rPr>
        <w:t xml:space="preserve"> and they should reflect the benefits </w:t>
      </w:r>
      <w:r w:rsidR="009A2A9B">
        <w:rPr>
          <w:noProof/>
        </w:rPr>
        <w:t>to the grid</w:t>
      </w:r>
      <w:r w:rsidR="00175958">
        <w:rPr>
          <w:noProof/>
        </w:rPr>
        <w:t xml:space="preserve">, without discouraging deployment of </w:t>
      </w:r>
      <w:r w:rsidR="00B015D9">
        <w:rPr>
          <w:noProof/>
        </w:rPr>
        <w:t>storage assets</w:t>
      </w:r>
      <w:r w:rsidR="009A2A9B">
        <w:rPr>
          <w:noProof/>
        </w:rPr>
        <w:t xml:space="preserve">. Moreover, </w:t>
      </w:r>
      <w:r>
        <w:rPr>
          <w:noProof/>
        </w:rPr>
        <w:t xml:space="preserve">tariff regimes should account for </w:t>
      </w:r>
      <w:r w:rsidR="00A05002">
        <w:rPr>
          <w:noProof/>
        </w:rPr>
        <w:t xml:space="preserve">the </w:t>
      </w:r>
      <w:r>
        <w:rPr>
          <w:noProof/>
        </w:rPr>
        <w:t>particularities</w:t>
      </w:r>
      <w:r w:rsidR="00A05002">
        <w:rPr>
          <w:noProof/>
        </w:rPr>
        <w:t xml:space="preserve"> of storage facilities</w:t>
      </w:r>
      <w:r>
        <w:rPr>
          <w:noProof/>
        </w:rPr>
        <w:t xml:space="preserve">, </w:t>
      </w:r>
      <w:r w:rsidR="00A05002">
        <w:rPr>
          <w:noProof/>
        </w:rPr>
        <w:t xml:space="preserve">by </w:t>
      </w:r>
      <w:r>
        <w:rPr>
          <w:noProof/>
        </w:rPr>
        <w:t>avoid</w:t>
      </w:r>
      <w:r w:rsidR="00A05002">
        <w:rPr>
          <w:noProof/>
        </w:rPr>
        <w:t>ing</w:t>
      </w:r>
      <w:r>
        <w:rPr>
          <w:noProof/>
        </w:rPr>
        <w:t xml:space="preserve"> </w:t>
      </w:r>
      <w:r w:rsidR="008F43A0">
        <w:rPr>
          <w:noProof/>
        </w:rPr>
        <w:t>‘</w:t>
      </w:r>
      <w:r>
        <w:rPr>
          <w:noProof/>
        </w:rPr>
        <w:t>double charging</w:t>
      </w:r>
      <w:r w:rsidR="008F43A0">
        <w:rPr>
          <w:noProof/>
        </w:rPr>
        <w:t>’</w:t>
      </w:r>
      <w:r>
        <w:rPr>
          <w:noProof/>
        </w:rPr>
        <w:t xml:space="preserve"> while reflecting the overall cost impact of the storage on network costs.</w:t>
      </w:r>
    </w:p>
    <w:p w:rsidR="00AF0873" w:rsidRDefault="0043685C" w:rsidP="0043685C">
      <w:pPr>
        <w:pStyle w:val="ManualConsidrant"/>
        <w:rPr>
          <w:noProof/>
        </w:rPr>
      </w:pPr>
      <w:r>
        <w:rPr>
          <w:noProof/>
        </w:rPr>
        <w:t>(10)</w:t>
      </w:r>
      <w:r>
        <w:rPr>
          <w:noProof/>
        </w:rPr>
        <w:tab/>
        <w:t xml:space="preserve">Any special tariff regimes for specific categories of system users, such as energy-intensive industries and data </w:t>
      </w:r>
      <w:r w:rsidR="00F06EC6">
        <w:rPr>
          <w:noProof/>
        </w:rPr>
        <w:t>centres</w:t>
      </w:r>
      <w:r>
        <w:rPr>
          <w:noProof/>
        </w:rPr>
        <w:t xml:space="preserve">, should respect the principle of cost-reflectivity. </w:t>
      </w:r>
      <w:r w:rsidR="001315F3" w:rsidRPr="001315F3">
        <w:rPr>
          <w:noProof/>
        </w:rPr>
        <w:t xml:space="preserve">While the electricity consumption of data centres is expected to grow significantly in the coming years, increasing pressure on electricity grids and tariffs, their optimal location, time-of-use and consumption profile can support their efficient connection and integration into the electricity system and should be incentivised in network tariffs, </w:t>
      </w:r>
      <w:r w:rsidR="001315F3" w:rsidRPr="008F381E">
        <w:rPr>
          <w:noProof/>
        </w:rPr>
        <w:t>in particular when data centres can render services to the energy system, for example by bringing flexibility services</w:t>
      </w:r>
      <w:r w:rsidR="00C4715B">
        <w:rPr>
          <w:noProof/>
        </w:rPr>
        <w:t xml:space="preserve">, </w:t>
      </w:r>
      <w:r w:rsidR="001315F3" w:rsidRPr="008F381E">
        <w:rPr>
          <w:noProof/>
        </w:rPr>
        <w:t>additional energy storage and clean energy production to the grid</w:t>
      </w:r>
      <w:r w:rsidR="001315F3">
        <w:rPr>
          <w:noProof/>
        </w:rPr>
        <w:t>.</w:t>
      </w:r>
    </w:p>
    <w:p w:rsidR="003A2DC5" w:rsidRPr="0015618F" w:rsidRDefault="003A2DC5" w:rsidP="003A2DC5">
      <w:pPr>
        <w:pStyle w:val="ManualConsidrant"/>
        <w:rPr>
          <w:noProof/>
        </w:rPr>
      </w:pPr>
      <w:r>
        <w:rPr>
          <w:noProof/>
        </w:rPr>
        <w:t>(11)</w:t>
      </w:r>
      <w:r>
        <w:rPr>
          <w:noProof/>
        </w:rPr>
        <w:tab/>
        <w:t xml:space="preserve">Regulatory authorities play a crucial role in ensuring that tariffs are designed in the most appropriate way to ensure cost efficiency of the network and </w:t>
      </w:r>
      <w:r w:rsidR="00AB5467">
        <w:rPr>
          <w:noProof/>
        </w:rPr>
        <w:t xml:space="preserve">ensure </w:t>
      </w:r>
      <w:r w:rsidR="005451C7">
        <w:rPr>
          <w:noProof/>
        </w:rPr>
        <w:t>there is</w:t>
      </w:r>
      <w:r>
        <w:rPr>
          <w:noProof/>
        </w:rPr>
        <w:t xml:space="preserve"> sufficient investment for the necessary grid operation and development. In view of the need to guarantee a level playing field and to ensure an efficient use of European electricity networks, regulatory authorities should apply consistent and objective benchmarking criteria. </w:t>
      </w:r>
      <w:r w:rsidR="005451C7">
        <w:rPr>
          <w:noProof/>
        </w:rPr>
        <w:t>In this context</w:t>
      </w:r>
      <w:r>
        <w:rPr>
          <w:noProof/>
        </w:rPr>
        <w:t xml:space="preserve">, regulatory authorities should set performance indicators, including smart </w:t>
      </w:r>
      <w:r w:rsidR="004A3EE6">
        <w:rPr>
          <w:noProof/>
        </w:rPr>
        <w:t xml:space="preserve">electricity </w:t>
      </w:r>
      <w:r>
        <w:rPr>
          <w:noProof/>
        </w:rPr>
        <w:t xml:space="preserve">grid indicators, to assess the extent to which system operators operate and develop the network cost-efficiently. Given its expertise and experience, the European Union Agency for the Cooperation of Energy Regulators (ACER) should assist regulatory authorities in this </w:t>
      </w:r>
      <w:r w:rsidR="005D6C4B">
        <w:rPr>
          <w:noProof/>
        </w:rPr>
        <w:t>task</w:t>
      </w:r>
      <w:r>
        <w:rPr>
          <w:noProof/>
        </w:rPr>
        <w:t xml:space="preserve">, including through carrying out an efficiency comparison among transmission system operators. Given the very diverse landscape of distribution systems across the Union, with more than 2600 distribution system operators owning a licence, regulatory authorities are best placed to perform efficiency comparisons among distribution system operators </w:t>
      </w:r>
      <w:r w:rsidR="005D6C4B">
        <w:rPr>
          <w:noProof/>
        </w:rPr>
        <w:t>at the</w:t>
      </w:r>
      <w:r>
        <w:rPr>
          <w:noProof/>
        </w:rPr>
        <w:t xml:space="preserve"> national level. </w:t>
      </w:r>
    </w:p>
    <w:p w:rsidR="003A2DC5" w:rsidRPr="00550B21" w:rsidRDefault="003A2DC5" w:rsidP="75797A66">
      <w:pPr>
        <w:pStyle w:val="ManualConsidrant"/>
        <w:rPr>
          <w:noProof/>
        </w:rPr>
      </w:pPr>
      <w:r>
        <w:rPr>
          <w:noProof/>
        </w:rPr>
        <w:t>(12)</w:t>
      </w:r>
      <w:r>
        <w:rPr>
          <w:noProof/>
        </w:rPr>
        <w:tab/>
        <w:t xml:space="preserve">Given the pressure on electricity bills, the need for significant investments in the grid and the necessity to ensure the affordability of electricity and the competitiveness of European industry, Member States </w:t>
      </w:r>
      <w:r w:rsidR="00F13E80">
        <w:rPr>
          <w:noProof/>
        </w:rPr>
        <w:t xml:space="preserve">should be able to </w:t>
      </w:r>
      <w:r>
        <w:rPr>
          <w:noProof/>
        </w:rPr>
        <w:t>allocate funding to the electricity network</w:t>
      </w:r>
      <w:r w:rsidR="00AF6F74">
        <w:rPr>
          <w:noProof/>
        </w:rPr>
        <w:t xml:space="preserve"> </w:t>
      </w:r>
      <w:r>
        <w:rPr>
          <w:noProof/>
        </w:rPr>
        <w:t xml:space="preserve">from their general budget, including by allocating specific parts of Cohesion funds or other available </w:t>
      </w:r>
      <w:r w:rsidR="00F57D9D">
        <w:rPr>
          <w:noProof/>
        </w:rPr>
        <w:t xml:space="preserve">Union </w:t>
      </w:r>
      <w:r>
        <w:rPr>
          <w:noProof/>
        </w:rPr>
        <w:t xml:space="preserve">funding to </w:t>
      </w:r>
      <w:r w:rsidR="00653D84">
        <w:rPr>
          <w:noProof/>
        </w:rPr>
        <w:t xml:space="preserve">investment support of </w:t>
      </w:r>
      <w:r>
        <w:rPr>
          <w:noProof/>
        </w:rPr>
        <w:t xml:space="preserve">grid </w:t>
      </w:r>
      <w:r w:rsidR="00653D84">
        <w:rPr>
          <w:noProof/>
        </w:rPr>
        <w:t>development</w:t>
      </w:r>
      <w:r>
        <w:rPr>
          <w:noProof/>
        </w:rPr>
        <w:t xml:space="preserve">. Such injections of public funds to support overall network costs </w:t>
      </w:r>
      <w:r w:rsidR="00F57D9D">
        <w:rPr>
          <w:noProof/>
        </w:rPr>
        <w:t xml:space="preserve">should </w:t>
      </w:r>
      <w:r>
        <w:rPr>
          <w:noProof/>
        </w:rPr>
        <w:t xml:space="preserve">only </w:t>
      </w:r>
      <w:r w:rsidR="00F57D9D">
        <w:rPr>
          <w:noProof/>
        </w:rPr>
        <w:t xml:space="preserve">be allowed </w:t>
      </w:r>
      <w:r>
        <w:rPr>
          <w:noProof/>
        </w:rPr>
        <w:t>insofar as they are non-discriminatory, in line with the applicable legal requirements and the principle of cost-reflectiveness</w:t>
      </w:r>
      <w:r w:rsidR="001A52A4">
        <w:rPr>
          <w:noProof/>
        </w:rPr>
        <w:t xml:space="preserve"> and are not undermining the internal market</w:t>
      </w:r>
      <w:r>
        <w:rPr>
          <w:noProof/>
        </w:rPr>
        <w:t xml:space="preserve">. Moreover, it is important to ensure that such public support is targeted and </w:t>
      </w:r>
      <w:r w:rsidR="004716B7">
        <w:rPr>
          <w:noProof/>
        </w:rPr>
        <w:t>temporary</w:t>
      </w:r>
      <w:r>
        <w:rPr>
          <w:noProof/>
        </w:rPr>
        <w:t xml:space="preserve"> and provides overall benefits through the acceleration of decarbonisation</w:t>
      </w:r>
      <w:r w:rsidR="001B0F45">
        <w:rPr>
          <w:noProof/>
        </w:rPr>
        <w:t xml:space="preserve">, for example, through electrification of industrial consumers, </w:t>
      </w:r>
      <w:r>
        <w:rPr>
          <w:noProof/>
        </w:rPr>
        <w:t xml:space="preserve">and market integration such as investments into interconnectors, major network upgrades or offshore grid connection infrastructure and </w:t>
      </w:r>
      <w:r w:rsidR="000B5900">
        <w:rPr>
          <w:noProof/>
        </w:rPr>
        <w:t xml:space="preserve">meets </w:t>
      </w:r>
      <w:r>
        <w:rPr>
          <w:noProof/>
        </w:rPr>
        <w:t>certain specific needs in the network</w:t>
      </w:r>
      <w:r w:rsidR="000836CB">
        <w:rPr>
          <w:noProof/>
        </w:rPr>
        <w:t>,</w:t>
      </w:r>
      <w:r>
        <w:rPr>
          <w:noProof/>
        </w:rPr>
        <w:t xml:space="preserve"> such as investments that reduce waiting times for grid connections. </w:t>
      </w:r>
      <w:r w:rsidR="00FE55AF">
        <w:rPr>
          <w:noProof/>
        </w:rPr>
        <w:t xml:space="preserve">However, the use of public funds </w:t>
      </w:r>
      <w:r>
        <w:rPr>
          <w:noProof/>
        </w:rPr>
        <w:t xml:space="preserve">should not delay investments in necessary infrastructure or distort the optimal location of power generation units. </w:t>
      </w:r>
    </w:p>
    <w:p w:rsidR="003A2DC5" w:rsidRPr="00DC23E7" w:rsidRDefault="003A2DC5" w:rsidP="003A2DC5">
      <w:pPr>
        <w:pStyle w:val="ManualConsidrant"/>
        <w:rPr>
          <w:noProof/>
        </w:rPr>
      </w:pPr>
      <w:r>
        <w:rPr>
          <w:noProof/>
        </w:rPr>
        <w:t>(13)</w:t>
      </w:r>
      <w:r>
        <w:rPr>
          <w:noProof/>
        </w:rPr>
        <w:tab/>
        <w:t xml:space="preserve">The ability to compare tariffs is instrumental for system users to act in a system-friendly way. Not only does this </w:t>
      </w:r>
      <w:r w:rsidR="00B41C19">
        <w:rPr>
          <w:noProof/>
        </w:rPr>
        <w:t xml:space="preserve">improve </w:t>
      </w:r>
      <w:r>
        <w:rPr>
          <w:noProof/>
        </w:rPr>
        <w:t xml:space="preserve">their understanding </w:t>
      </w:r>
      <w:r w:rsidR="00D73B04">
        <w:rPr>
          <w:noProof/>
        </w:rPr>
        <w:t>of</w:t>
      </w:r>
      <w:r>
        <w:rPr>
          <w:noProof/>
        </w:rPr>
        <w:t xml:space="preserve"> the applicable tariffs, but it also helps them understand how to adjust their behaviour vis-à-vis the system accordingly to pay lower tariffs. </w:t>
      </w:r>
      <w:r w:rsidR="00D73B04">
        <w:rPr>
          <w:noProof/>
        </w:rPr>
        <w:t>To</w:t>
      </w:r>
      <w:r>
        <w:rPr>
          <w:noProof/>
        </w:rPr>
        <w:t xml:space="preserve"> increase comparability in tariff</w:t>
      </w:r>
      <w:r w:rsidR="00D73B04">
        <w:rPr>
          <w:noProof/>
        </w:rPr>
        <w:t xml:space="preserve"> </w:t>
      </w:r>
      <w:r>
        <w:rPr>
          <w:noProof/>
        </w:rPr>
        <w:t xml:space="preserve">setting, more transparency is necessary. Additional transparency will also enable regulatory authorities to adopt best practices and carry out their respective cost-effectiveness assessments when fixing or approving tariff methodologies. This is particularly important for the different elements that need to be considered in the tariff methodologies, as well as </w:t>
      </w:r>
      <w:r w:rsidR="00D845CF">
        <w:rPr>
          <w:noProof/>
        </w:rPr>
        <w:t xml:space="preserve">for </w:t>
      </w:r>
      <w:r>
        <w:rPr>
          <w:noProof/>
        </w:rPr>
        <w:t xml:space="preserve">the complex trade-offs underlying the assessment on the basis </w:t>
      </w:r>
      <w:r w:rsidR="000C525A">
        <w:rPr>
          <w:noProof/>
        </w:rPr>
        <w:t xml:space="preserve">used to fix or approve </w:t>
      </w:r>
      <w:r>
        <w:rPr>
          <w:noProof/>
        </w:rPr>
        <w:t xml:space="preserve">tariff methodologies. Prior to fixing or approving tariff methodologies, regulatory authorities should publicly consult relevant stakeholders. Regulatory authorities should take into account the short-term distributional impacts of any changes in the tariff methodologies and consider whether a gradual approach is necessary so as to give system users time to adjust their behaviour and consumption patterns.  </w:t>
      </w:r>
    </w:p>
    <w:p w:rsidR="003A2DC5" w:rsidRPr="00FE51D5" w:rsidRDefault="003A2DC5" w:rsidP="003A2DC5">
      <w:pPr>
        <w:pStyle w:val="ManualConsidrant"/>
        <w:rPr>
          <w:noProof/>
        </w:rPr>
      </w:pPr>
      <w:r>
        <w:rPr>
          <w:noProof/>
        </w:rPr>
        <w:t>(14)</w:t>
      </w:r>
      <w:r>
        <w:rPr>
          <w:noProof/>
        </w:rPr>
        <w:tab/>
        <w:t>Since 2019, ACER has issued several best practices reports on tariff methodologies. Th</w:t>
      </w:r>
      <w:r w:rsidR="00BF3D32">
        <w:rPr>
          <w:noProof/>
        </w:rPr>
        <w:t>o</w:t>
      </w:r>
      <w:r>
        <w:rPr>
          <w:noProof/>
        </w:rPr>
        <w:t>se reports provide insight into the challenges and recent developments in network tariff</w:t>
      </w:r>
      <w:r w:rsidR="00B12290">
        <w:rPr>
          <w:noProof/>
        </w:rPr>
        <w:t xml:space="preserve"> </w:t>
      </w:r>
      <w:r>
        <w:rPr>
          <w:noProof/>
        </w:rPr>
        <w:t>setting and specific analyses of national tariff</w:t>
      </w:r>
      <w:r w:rsidR="00F10DBB">
        <w:rPr>
          <w:noProof/>
        </w:rPr>
        <w:t xml:space="preserve"> </w:t>
      </w:r>
      <w:r>
        <w:rPr>
          <w:noProof/>
        </w:rPr>
        <w:t>setting practices. The</w:t>
      </w:r>
      <w:r w:rsidR="00F10DBB">
        <w:rPr>
          <w:noProof/>
        </w:rPr>
        <w:t xml:space="preserve"> reports </w:t>
      </w:r>
      <w:r>
        <w:rPr>
          <w:noProof/>
        </w:rPr>
        <w:t>have also increased transparency and allowed for the sharing of good practices and comparability in tariff</w:t>
      </w:r>
      <w:r w:rsidR="00F10DBB">
        <w:rPr>
          <w:noProof/>
        </w:rPr>
        <w:t xml:space="preserve"> </w:t>
      </w:r>
      <w:r>
        <w:rPr>
          <w:noProof/>
        </w:rPr>
        <w:t xml:space="preserve">setting. </w:t>
      </w:r>
      <w:r w:rsidR="0019044B">
        <w:rPr>
          <w:noProof/>
        </w:rPr>
        <w:t>Given these positive outcomes</w:t>
      </w:r>
      <w:r>
        <w:rPr>
          <w:noProof/>
        </w:rPr>
        <w:t>, ACER should continue to issue such reports. Th</w:t>
      </w:r>
      <w:r w:rsidR="00F9569D">
        <w:rPr>
          <w:noProof/>
        </w:rPr>
        <w:t>o</w:t>
      </w:r>
      <w:r>
        <w:rPr>
          <w:noProof/>
        </w:rPr>
        <w:t>se reports should be separate from ACER’s reports comparing the efficiency of transmission system operators and their costs</w:t>
      </w:r>
      <w:r w:rsidR="00AC15CB">
        <w:rPr>
          <w:noProof/>
        </w:rPr>
        <w:t>, because of their different subject matter</w:t>
      </w:r>
      <w:r>
        <w:rPr>
          <w:noProof/>
        </w:rPr>
        <w:t>.</w:t>
      </w:r>
    </w:p>
    <w:p w:rsidR="00BC6A28" w:rsidRDefault="003A2DC5" w:rsidP="00BC6A28">
      <w:pPr>
        <w:pStyle w:val="ManualConsidrant"/>
        <w:rPr>
          <w:noProof/>
        </w:rPr>
      </w:pPr>
      <w:r>
        <w:rPr>
          <w:noProof/>
        </w:rPr>
        <w:t>(15)</w:t>
      </w:r>
      <w:r>
        <w:rPr>
          <w:noProof/>
        </w:rPr>
        <w:tab/>
        <w:t xml:space="preserve">In order to </w:t>
      </w:r>
      <w:r w:rsidR="003C1EB4">
        <w:rPr>
          <w:noProof/>
        </w:rPr>
        <w:t xml:space="preserve">lay down the necessary details to ensure the effectiveness of </w:t>
      </w:r>
      <w:r>
        <w:rPr>
          <w:noProof/>
        </w:rPr>
        <w:t>Regulation</w:t>
      </w:r>
      <w:r w:rsidR="006D186A">
        <w:rPr>
          <w:noProof/>
        </w:rPr>
        <w:t xml:space="preserve"> (EU) 2019/943</w:t>
      </w:r>
      <w:r w:rsidR="003C1EB4">
        <w:rPr>
          <w:noProof/>
        </w:rPr>
        <w:t xml:space="preserve">, </w:t>
      </w:r>
      <w:r w:rsidR="004C621F">
        <w:rPr>
          <w:noProof/>
        </w:rPr>
        <w:t>the power to adopt acts in accordance with Article 290 of the Treaty on the Functioning of the European Union should be delegated to the Commission</w:t>
      </w:r>
      <w:r w:rsidR="00651B15">
        <w:rPr>
          <w:noProof/>
        </w:rPr>
        <w:t xml:space="preserve">, in respect of supplementing this Regulation </w:t>
      </w:r>
      <w:r w:rsidR="000F4EF5">
        <w:rPr>
          <w:noProof/>
        </w:rPr>
        <w:t xml:space="preserve">by </w:t>
      </w:r>
      <w:r w:rsidR="007935A7">
        <w:rPr>
          <w:noProof/>
        </w:rPr>
        <w:t>establish</w:t>
      </w:r>
      <w:r w:rsidR="00651B15">
        <w:rPr>
          <w:noProof/>
        </w:rPr>
        <w:t>ing</w:t>
      </w:r>
      <w:r w:rsidR="007935A7">
        <w:rPr>
          <w:noProof/>
        </w:rPr>
        <w:t xml:space="preserve"> guidelines on a common structure and harmonised methodology on tariffs</w:t>
      </w:r>
      <w:r w:rsidR="0085737F">
        <w:rPr>
          <w:noProof/>
        </w:rPr>
        <w:t xml:space="preserve">, detailed conditions under which regulatory authorities may introduce separate network charge regimes for specific categories of system users </w:t>
      </w:r>
      <w:r w:rsidR="00926D60">
        <w:rPr>
          <w:noProof/>
        </w:rPr>
        <w:t>a</w:t>
      </w:r>
      <w:r w:rsidR="0085737F">
        <w:rPr>
          <w:noProof/>
        </w:rPr>
        <w:t xml:space="preserve">nd harmonised rules on the procedural and substantive requirements for the public consultations </w:t>
      </w:r>
      <w:r w:rsidR="0087140F">
        <w:rPr>
          <w:noProof/>
        </w:rPr>
        <w:t>that need to be carried out for the relevant draft tariff methodologies</w:t>
      </w:r>
      <w:r>
        <w:rPr>
          <w:noProof/>
        </w:rPr>
        <w:t xml:space="preserve">. Given </w:t>
      </w:r>
      <w:r w:rsidR="007011F4">
        <w:rPr>
          <w:noProof/>
        </w:rPr>
        <w:t>the</w:t>
      </w:r>
      <w:r>
        <w:rPr>
          <w:noProof/>
        </w:rPr>
        <w:t xml:space="preserve"> long-standing experience and expertise</w:t>
      </w:r>
      <w:r w:rsidR="001A73EC">
        <w:rPr>
          <w:noProof/>
        </w:rPr>
        <w:t xml:space="preserve"> of regulators in approving </w:t>
      </w:r>
      <w:r w:rsidR="00061616">
        <w:rPr>
          <w:noProof/>
        </w:rPr>
        <w:t>tariff methodologies and in the supervision and control of related activities</w:t>
      </w:r>
      <w:r>
        <w:rPr>
          <w:noProof/>
        </w:rPr>
        <w:t xml:space="preserve">, </w:t>
      </w:r>
      <w:r w:rsidR="00BC6A28">
        <w:rPr>
          <w:noProof/>
        </w:rPr>
        <w:t>ACER should provide a recommendation to the Commission before the Commission issues delegated acts on a common structure and harmonised methodology on tariffs.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75797A66">
        <w:rPr>
          <w:rStyle w:val="FootnoteReference"/>
          <w:noProof/>
        </w:rPr>
        <w:footnoteReference w:id="32"/>
      </w:r>
      <w:r w:rsidR="00BC6A28" w:rsidRPr="75797A66">
        <w:rPr>
          <w:noProof/>
          <w:color w:val="333333"/>
          <w:sz w:val="27"/>
          <w:szCs w:val="27"/>
        </w:rPr>
        <w:t xml:space="preserve"> </w:t>
      </w:r>
      <w:r w:rsidR="00BC6A28">
        <w:rPr>
          <w:noProof/>
        </w:rPr>
        <w:t>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3A2DC5" w:rsidRPr="00BA5797" w:rsidRDefault="003A2DC5" w:rsidP="003A2DC5">
      <w:pPr>
        <w:pStyle w:val="ManualConsidrant"/>
        <w:rPr>
          <w:noProof/>
        </w:rPr>
      </w:pPr>
      <w:r>
        <w:rPr>
          <w:noProof/>
        </w:rPr>
        <w:t>(16)</w:t>
      </w:r>
      <w:r>
        <w:rPr>
          <w:noProof/>
        </w:rPr>
        <w:tab/>
        <w:t xml:space="preserve">The deployment of non-wire, smart and digital solutions should be promoted whenever they efficiently enhance the usable capacity, flexibility and reliability of electricity transmission and distribution networks. </w:t>
      </w:r>
      <w:r w:rsidR="00734662">
        <w:rPr>
          <w:noProof/>
        </w:rPr>
        <w:t xml:space="preserve">Complementing the framework for smart electricity grids provided under </w:t>
      </w:r>
      <w:r w:rsidR="00F248BA">
        <w:rPr>
          <w:noProof/>
        </w:rPr>
        <w:t xml:space="preserve">Directive </w:t>
      </w:r>
      <w:r w:rsidR="009A079F">
        <w:rPr>
          <w:noProof/>
        </w:rPr>
        <w:t>(EU) 2019</w:t>
      </w:r>
      <w:r w:rsidR="001D1EBE">
        <w:rPr>
          <w:noProof/>
        </w:rPr>
        <w:t>/</w:t>
      </w:r>
      <w:r w:rsidR="009A079F">
        <w:rPr>
          <w:noProof/>
        </w:rPr>
        <w:t>944</w:t>
      </w:r>
      <w:r w:rsidR="00F57D9D">
        <w:rPr>
          <w:noProof/>
        </w:rPr>
        <w:t xml:space="preserve"> of the European Parliament and of the Council</w:t>
      </w:r>
      <w:r w:rsidR="00F57D9D">
        <w:rPr>
          <w:rStyle w:val="FootnoteReference"/>
          <w:noProof/>
        </w:rPr>
        <w:footnoteReference w:id="33"/>
      </w:r>
      <w:r w:rsidR="009A079F">
        <w:rPr>
          <w:noProof/>
        </w:rPr>
        <w:t xml:space="preserve"> and under Regulation (EU)</w:t>
      </w:r>
      <w:r w:rsidR="00656E4E">
        <w:rPr>
          <w:noProof/>
        </w:rPr>
        <w:t xml:space="preserve"> 2022/869 </w:t>
      </w:r>
      <w:r w:rsidR="00F57D9D">
        <w:rPr>
          <w:noProof/>
        </w:rPr>
        <w:t>of the European Parliament and of the Council</w:t>
      </w:r>
      <w:r w:rsidR="00F57D9D">
        <w:rPr>
          <w:rStyle w:val="FootnoteReference"/>
          <w:noProof/>
        </w:rPr>
        <w:footnoteReference w:id="34"/>
      </w:r>
      <w:r w:rsidR="00656E4E">
        <w:rPr>
          <w:noProof/>
        </w:rPr>
        <w:t>,</w:t>
      </w:r>
      <w:r w:rsidR="00F248BA">
        <w:rPr>
          <w:noProof/>
        </w:rPr>
        <w:t xml:space="preserve"> </w:t>
      </w:r>
      <w:r w:rsidR="008B16B3">
        <w:rPr>
          <w:noProof/>
        </w:rPr>
        <w:t>t</w:t>
      </w:r>
      <w:r w:rsidR="005323DA">
        <w:rPr>
          <w:noProof/>
        </w:rPr>
        <w:t xml:space="preserve">ransmission and distribution </w:t>
      </w:r>
      <w:r>
        <w:rPr>
          <w:noProof/>
        </w:rPr>
        <w:t>system operators should ensure that non-wire, smart and digital solutions</w:t>
      </w:r>
      <w:r w:rsidR="00F96411">
        <w:rPr>
          <w:noProof/>
        </w:rPr>
        <w:t>, alongside non-fossil flexibility such as demand response, storage and other solutions,</w:t>
      </w:r>
      <w:r>
        <w:rPr>
          <w:noProof/>
        </w:rPr>
        <w:t xml:space="preserve"> are considered with priority in network planning as well as system operation.</w:t>
      </w:r>
      <w:r w:rsidR="000E2B82">
        <w:rPr>
          <w:noProof/>
        </w:rPr>
        <w:t xml:space="preserve"> The efficiency-enhancing effects of </w:t>
      </w:r>
      <w:r w:rsidR="00FA1E80">
        <w:rPr>
          <w:noProof/>
        </w:rPr>
        <w:t>these</w:t>
      </w:r>
      <w:r w:rsidR="000E2B82">
        <w:rPr>
          <w:noProof/>
        </w:rPr>
        <w:t xml:space="preserve"> solutions should be demonstrated on the basis of objective and transparent criteria, </w:t>
      </w:r>
      <w:r w:rsidR="00775A93">
        <w:rPr>
          <w:noProof/>
        </w:rPr>
        <w:t>such as</w:t>
      </w:r>
      <w:r w:rsidR="000E2B82">
        <w:rPr>
          <w:noProof/>
        </w:rPr>
        <w:t xml:space="preserve"> their impact on usable network capacity, congestion, resilience, quality of supply</w:t>
      </w:r>
      <w:r w:rsidR="00F8723F">
        <w:rPr>
          <w:noProof/>
        </w:rPr>
        <w:t xml:space="preserve"> or</w:t>
      </w:r>
      <w:r w:rsidR="000E2B82">
        <w:rPr>
          <w:noProof/>
        </w:rPr>
        <w:t xml:space="preserve"> integration of renewable energy and flexibility, </w:t>
      </w:r>
      <w:r w:rsidR="00F8723F">
        <w:rPr>
          <w:noProof/>
        </w:rPr>
        <w:t xml:space="preserve">and cost-efficiency in achieving these goals in comparison to </w:t>
      </w:r>
      <w:r w:rsidR="000D5040">
        <w:rPr>
          <w:noProof/>
        </w:rPr>
        <w:t>physical grid development</w:t>
      </w:r>
      <w:r w:rsidR="000E2B82">
        <w:rPr>
          <w:noProof/>
        </w:rPr>
        <w:t>. Regulatory authorities should be able to rely on network development plans</w:t>
      </w:r>
      <w:r w:rsidR="000D5040">
        <w:rPr>
          <w:noProof/>
        </w:rPr>
        <w:t xml:space="preserve"> including related</w:t>
      </w:r>
      <w:r w:rsidR="000E2B82">
        <w:rPr>
          <w:noProof/>
        </w:rPr>
        <w:t xml:space="preserve"> cost-benefit assessments</w:t>
      </w:r>
      <w:r w:rsidR="000D5040">
        <w:rPr>
          <w:noProof/>
        </w:rPr>
        <w:t>,</w:t>
      </w:r>
      <w:r w:rsidR="000E2B82">
        <w:rPr>
          <w:noProof/>
        </w:rPr>
        <w:t xml:space="preserve"> and relevant performance indicators for that purpose.</w:t>
      </w:r>
    </w:p>
    <w:p w:rsidR="006A1CA8" w:rsidRDefault="003A2DC5" w:rsidP="00404DBF">
      <w:pPr>
        <w:pStyle w:val="ManualConsidrant"/>
        <w:rPr>
          <w:noProof/>
        </w:rPr>
      </w:pPr>
      <w:r>
        <w:rPr>
          <w:noProof/>
        </w:rPr>
        <w:t>(17)</w:t>
      </w:r>
      <w:r>
        <w:rPr>
          <w:noProof/>
        </w:rPr>
        <w:tab/>
        <w:t xml:space="preserve">Efficient use of electricity infrastructure increasingly depends on the ability of transmission and distribution systems to </w:t>
      </w:r>
      <w:r w:rsidR="001E37D6">
        <w:rPr>
          <w:noProof/>
        </w:rPr>
        <w:t>develop the grid efficiently for future power system needs, including renewable acceleration areas and industrial areas and</w:t>
      </w:r>
      <w:r w:rsidR="00D63CC6">
        <w:rPr>
          <w:noProof/>
        </w:rPr>
        <w:t xml:space="preserve"> to</w:t>
      </w:r>
      <w:r w:rsidR="00A42059">
        <w:rPr>
          <w:noProof/>
        </w:rPr>
        <w:t xml:space="preserve"> i</w:t>
      </w:r>
      <w:r>
        <w:rPr>
          <w:noProof/>
        </w:rPr>
        <w:t xml:space="preserve">ntegrate flexibility, digitalisation and data-driven solutions. In this context, common indicators should provide a consistent basis for measuring the performance of system operators in deploying smart </w:t>
      </w:r>
      <w:r w:rsidR="004A3EE6">
        <w:rPr>
          <w:noProof/>
        </w:rPr>
        <w:t xml:space="preserve">electricity </w:t>
      </w:r>
      <w:r>
        <w:rPr>
          <w:noProof/>
        </w:rPr>
        <w:t xml:space="preserve">grid functionalities and making effective use of existing infrastructure. </w:t>
      </w:r>
      <w:r w:rsidR="00A17187">
        <w:rPr>
          <w:noProof/>
        </w:rPr>
        <w:t xml:space="preserve">A limited set of common indicators should be </w:t>
      </w:r>
      <w:r w:rsidR="00F404CB">
        <w:rPr>
          <w:noProof/>
        </w:rPr>
        <w:t>recommended</w:t>
      </w:r>
      <w:r w:rsidR="0093065F">
        <w:rPr>
          <w:noProof/>
        </w:rPr>
        <w:t xml:space="preserve"> by ACER</w:t>
      </w:r>
      <w:r w:rsidR="00A17187">
        <w:rPr>
          <w:noProof/>
        </w:rPr>
        <w:t>, b</w:t>
      </w:r>
      <w:r>
        <w:rPr>
          <w:noProof/>
        </w:rPr>
        <w:t xml:space="preserve">uilding on </w:t>
      </w:r>
      <w:r w:rsidR="0093065F">
        <w:rPr>
          <w:noProof/>
        </w:rPr>
        <w:t xml:space="preserve">its </w:t>
      </w:r>
      <w:r>
        <w:rPr>
          <w:noProof/>
        </w:rPr>
        <w:t xml:space="preserve">existing analytical work </w:t>
      </w:r>
      <w:r w:rsidR="00DB1020">
        <w:rPr>
          <w:noProof/>
        </w:rPr>
        <w:t xml:space="preserve"> and </w:t>
      </w:r>
      <w:r w:rsidR="009F1348">
        <w:rPr>
          <w:noProof/>
        </w:rPr>
        <w:t>that of</w:t>
      </w:r>
      <w:r w:rsidR="00BA3061">
        <w:rPr>
          <w:noProof/>
        </w:rPr>
        <w:t xml:space="preserve"> national</w:t>
      </w:r>
      <w:r>
        <w:rPr>
          <w:noProof/>
        </w:rPr>
        <w:t xml:space="preserve"> regulatory authorities, </w:t>
      </w:r>
      <w:r w:rsidR="000B6CA7">
        <w:rPr>
          <w:noProof/>
        </w:rPr>
        <w:t xml:space="preserve">in order to achieve </w:t>
      </w:r>
      <w:r>
        <w:rPr>
          <w:noProof/>
        </w:rPr>
        <w:t>a more coherent monitoring framework, support convergence of regulatory approaches</w:t>
      </w:r>
      <w:r w:rsidR="00CD2721">
        <w:rPr>
          <w:noProof/>
        </w:rPr>
        <w:t>,</w:t>
      </w:r>
      <w:r>
        <w:rPr>
          <w:noProof/>
        </w:rPr>
        <w:t xml:space="preserve"> facilitate the identification of best practices</w:t>
      </w:r>
      <w:r w:rsidR="006A1CA8">
        <w:rPr>
          <w:noProof/>
        </w:rPr>
        <w:t xml:space="preserve"> for </w:t>
      </w:r>
      <w:r w:rsidR="00827540">
        <w:rPr>
          <w:noProof/>
        </w:rPr>
        <w:t xml:space="preserve">regulatory </w:t>
      </w:r>
      <w:r w:rsidR="008D5BB5">
        <w:rPr>
          <w:noProof/>
        </w:rPr>
        <w:t>approaches</w:t>
      </w:r>
      <w:r w:rsidR="00827540">
        <w:rPr>
          <w:noProof/>
        </w:rPr>
        <w:t xml:space="preserve"> and </w:t>
      </w:r>
      <w:r w:rsidR="00DF3299">
        <w:rPr>
          <w:noProof/>
        </w:rPr>
        <w:t>measure</w:t>
      </w:r>
      <w:r w:rsidR="009C75C9">
        <w:rPr>
          <w:noProof/>
        </w:rPr>
        <w:t xml:space="preserve"> progress in</w:t>
      </w:r>
      <w:r w:rsidR="006A1CA8">
        <w:rPr>
          <w:noProof/>
        </w:rPr>
        <w:t xml:space="preserve"> </w:t>
      </w:r>
      <w:r w:rsidR="005522B4">
        <w:rPr>
          <w:noProof/>
        </w:rPr>
        <w:t xml:space="preserve">the development of </w:t>
      </w:r>
      <w:r w:rsidR="006A1CA8">
        <w:rPr>
          <w:noProof/>
        </w:rPr>
        <w:t xml:space="preserve">smart </w:t>
      </w:r>
      <w:r w:rsidR="00404DBF">
        <w:rPr>
          <w:noProof/>
        </w:rPr>
        <w:t xml:space="preserve">electricity </w:t>
      </w:r>
      <w:r w:rsidR="006A1CA8">
        <w:rPr>
          <w:noProof/>
        </w:rPr>
        <w:t>grids</w:t>
      </w:r>
      <w:r w:rsidR="00404DBF">
        <w:rPr>
          <w:noProof/>
        </w:rPr>
        <w:t xml:space="preserve">, as defined in </w:t>
      </w:r>
      <w:r w:rsidR="00F57D9D">
        <w:rPr>
          <w:noProof/>
        </w:rPr>
        <w:t>A</w:t>
      </w:r>
      <w:r w:rsidR="00404DBF">
        <w:rPr>
          <w:noProof/>
        </w:rPr>
        <w:t>rticle 2</w:t>
      </w:r>
      <w:r w:rsidR="00F57D9D">
        <w:rPr>
          <w:noProof/>
        </w:rPr>
        <w:t xml:space="preserve">, point </w:t>
      </w:r>
      <w:r w:rsidR="009A0259">
        <w:rPr>
          <w:noProof/>
        </w:rPr>
        <w:t>(9)</w:t>
      </w:r>
      <w:r w:rsidR="00F57D9D">
        <w:rPr>
          <w:noProof/>
        </w:rPr>
        <w:t>,</w:t>
      </w:r>
      <w:r w:rsidR="00404DBF">
        <w:rPr>
          <w:noProof/>
        </w:rPr>
        <w:t xml:space="preserve"> of Regulation (EU) 2022/869</w:t>
      </w:r>
      <w:r>
        <w:rPr>
          <w:noProof/>
        </w:rPr>
        <w:t>.</w:t>
      </w:r>
    </w:p>
    <w:p w:rsidR="00080584" w:rsidRPr="00080584" w:rsidRDefault="00FB2094" w:rsidP="00080584">
      <w:pPr>
        <w:pStyle w:val="ManualConsidrant"/>
        <w:rPr>
          <w:noProof/>
        </w:rPr>
      </w:pPr>
      <w:r>
        <w:rPr>
          <w:noProof/>
        </w:rPr>
        <w:t>(18)</w:t>
      </w:r>
      <w:r>
        <w:rPr>
          <w:noProof/>
        </w:rPr>
        <w:tab/>
        <w:t xml:space="preserve">In order to improve the efficiency and adaptability of electricity networks and provide a consistent analytical basis for the development of regulatory approaches that better reflect system performance, benefits for the broader energy system and the uptake of innovative solutions, regular Union-level </w:t>
      </w:r>
      <w:r w:rsidR="0026528D">
        <w:rPr>
          <w:noProof/>
        </w:rPr>
        <w:t>reporting</w:t>
      </w:r>
      <w:r>
        <w:rPr>
          <w:noProof/>
        </w:rPr>
        <w:t xml:space="preserve"> should be carried out based on those indicators.</w:t>
      </w:r>
      <w:r w:rsidR="00080584">
        <w:rPr>
          <w:noProof/>
        </w:rPr>
        <w:t xml:space="preserve"> </w:t>
      </w:r>
      <w:r w:rsidR="00497EE8">
        <w:rPr>
          <w:noProof/>
        </w:rPr>
        <w:t xml:space="preserve">ACER should receive </w:t>
      </w:r>
      <w:r w:rsidR="003F1CB6">
        <w:rPr>
          <w:noProof/>
        </w:rPr>
        <w:t xml:space="preserve">data </w:t>
      </w:r>
      <w:r w:rsidR="00BA500C">
        <w:rPr>
          <w:noProof/>
        </w:rPr>
        <w:t>on deployment of smart electricity grid technologies as well as on enabling regulatory practices and national smart grid indicators</w:t>
      </w:r>
      <w:r w:rsidR="003F1CB6">
        <w:rPr>
          <w:noProof/>
        </w:rPr>
        <w:t xml:space="preserve"> </w:t>
      </w:r>
      <w:r w:rsidR="00C219B5">
        <w:rPr>
          <w:noProof/>
        </w:rPr>
        <w:t>in order to enable</w:t>
      </w:r>
      <w:r w:rsidR="002278F2">
        <w:rPr>
          <w:noProof/>
        </w:rPr>
        <w:t xml:space="preserve"> ACER to assess</w:t>
      </w:r>
      <w:r w:rsidR="003F1CB6">
        <w:rPr>
          <w:noProof/>
        </w:rPr>
        <w:t xml:space="preserve"> </w:t>
      </w:r>
      <w:r w:rsidR="009238AC">
        <w:rPr>
          <w:noProof/>
        </w:rPr>
        <w:t>existing practices to identify best case examples</w:t>
      </w:r>
      <w:r w:rsidR="00497EE8">
        <w:rPr>
          <w:noProof/>
        </w:rPr>
        <w:t xml:space="preserve"> from</w:t>
      </w:r>
      <w:r w:rsidR="00AA3D6C">
        <w:rPr>
          <w:noProof/>
        </w:rPr>
        <w:t xml:space="preserve"> national regulatory authorities</w:t>
      </w:r>
      <w:r w:rsidR="00080584">
        <w:rPr>
          <w:noProof/>
        </w:rPr>
        <w:t>.</w:t>
      </w:r>
      <w:r w:rsidR="00AB2302">
        <w:rPr>
          <w:noProof/>
        </w:rPr>
        <w:t xml:space="preserve"> </w:t>
      </w:r>
      <w:r w:rsidR="00297F38">
        <w:rPr>
          <w:noProof/>
        </w:rPr>
        <w:t>Currently</w:t>
      </w:r>
      <w:r w:rsidR="00AB2302">
        <w:rPr>
          <w:noProof/>
        </w:rPr>
        <w:t>, smart electricity grid indicators are not being implemented in a harmonised manner across the Union, and</w:t>
      </w:r>
      <w:r w:rsidR="00AB3FC9">
        <w:rPr>
          <w:noProof/>
        </w:rPr>
        <w:t xml:space="preserve"> divergent approaches lead to </w:t>
      </w:r>
      <w:r w:rsidR="00006994">
        <w:rPr>
          <w:noProof/>
        </w:rPr>
        <w:t xml:space="preserve">a </w:t>
      </w:r>
      <w:r w:rsidR="00AB3FC9">
        <w:rPr>
          <w:noProof/>
        </w:rPr>
        <w:t>differing regulatory</w:t>
      </w:r>
      <w:r w:rsidR="00006994">
        <w:rPr>
          <w:noProof/>
        </w:rPr>
        <w:t xml:space="preserve"> </w:t>
      </w:r>
      <w:r w:rsidR="00AB3FC9">
        <w:rPr>
          <w:noProof/>
        </w:rPr>
        <w:t>environment, undermining the consistent measurement of the uptake and performance of smart and innovative grid technologies and digital solutions in transmission and distribution networks. In order to ensure uniform conditions for the implementation of this Regulation, implementing powers should be conferred to the Commission to</w:t>
      </w:r>
      <w:r w:rsidR="003665E1">
        <w:rPr>
          <w:noProof/>
        </w:rPr>
        <w:t xml:space="preserve"> establish smart electricity grid indicators to measure the uptake and performance of smart and innovative grid technologies and digital solutions in transmission and distribution networks. The Commission should consider ACER’s recommendation.  </w:t>
      </w:r>
    </w:p>
    <w:p w:rsidR="003A2DC5" w:rsidRDefault="00CB7DC4" w:rsidP="003A2DC5">
      <w:pPr>
        <w:pStyle w:val="ManualConsidrant"/>
        <w:rPr>
          <w:noProof/>
        </w:rPr>
      </w:pPr>
      <w:r>
        <w:rPr>
          <w:noProof/>
        </w:rPr>
        <w:t>(19)</w:t>
      </w:r>
      <w:r>
        <w:rPr>
          <w:noProof/>
        </w:rPr>
        <w:tab/>
        <w:t>To</w:t>
      </w:r>
      <w:r w:rsidR="003A2DC5">
        <w:rPr>
          <w:noProof/>
        </w:rPr>
        <w:t xml:space="preserve"> reduce system costs and improve the functioning of the internal energy market, thereby contributing to lower electricity prices, it is necessary to make better use of existing grid infrastructure via seamless data exchange and use of digital tools. This requires </w:t>
      </w:r>
      <w:r w:rsidR="00F65DA1">
        <w:rPr>
          <w:noProof/>
        </w:rPr>
        <w:t xml:space="preserve">a </w:t>
      </w:r>
      <w:r w:rsidR="003A2DC5">
        <w:rPr>
          <w:noProof/>
        </w:rPr>
        <w:t>more effective and timely exchange of relevant electricity grid data between system operators</w:t>
      </w:r>
      <w:r w:rsidR="00FA6055">
        <w:rPr>
          <w:noProof/>
        </w:rPr>
        <w:t>, which will</w:t>
      </w:r>
      <w:r w:rsidR="003A2DC5">
        <w:rPr>
          <w:noProof/>
        </w:rPr>
        <w:t xml:space="preserve"> enable a higher level of grid observability by better coordination across transmission and distribution levels. </w:t>
      </w:r>
      <w:r w:rsidR="00CB7985">
        <w:rPr>
          <w:noProof/>
        </w:rPr>
        <w:t xml:space="preserve">Depending on the use case, </w:t>
      </w:r>
      <w:r w:rsidR="005E16F8">
        <w:rPr>
          <w:noProof/>
        </w:rPr>
        <w:t>e</w:t>
      </w:r>
      <w:r w:rsidR="00BA2EB0">
        <w:rPr>
          <w:noProof/>
        </w:rPr>
        <w:t xml:space="preserve">lectricity grid data can include network topology, grid parameters and asset characteristics, connection and capacity data, real-time measurements from Supervisory Control and Data Acquisition (SCADA) systems and other operational measurements, state estimation and power flow data, voltage, load flow and congestion data, outage and maintenance data, dispatch, redispatch and curtailment data, flexibility needs, and operational forecasts, </w:t>
      </w:r>
      <w:r w:rsidR="00FA6055">
        <w:rPr>
          <w:noProof/>
        </w:rPr>
        <w:t xml:space="preserve">as well as </w:t>
      </w:r>
      <w:r w:rsidR="00BA2EB0">
        <w:rPr>
          <w:noProof/>
        </w:rPr>
        <w:t>limits and constraints relevant for transmission and distribution system operation.</w:t>
      </w:r>
    </w:p>
    <w:p w:rsidR="003A2DC5" w:rsidRPr="00730E4C" w:rsidRDefault="003A2DC5" w:rsidP="75797A66">
      <w:pPr>
        <w:pStyle w:val="ManualConsidrant"/>
        <w:rPr>
          <w:noProof/>
        </w:rPr>
      </w:pPr>
      <w:r>
        <w:rPr>
          <w:noProof/>
        </w:rPr>
        <w:t>(20)</w:t>
      </w:r>
      <w:r>
        <w:rPr>
          <w:noProof/>
        </w:rPr>
        <w:tab/>
        <w:t>System operators should improve the productivity of network infrastructure through the deployment of innovative technologies, supported by interoperable grid data exchange arrangements</w:t>
      </w:r>
      <w:r w:rsidR="00473F60">
        <w:rPr>
          <w:noProof/>
        </w:rPr>
        <w:t>. This is because</w:t>
      </w:r>
      <w:r>
        <w:rPr>
          <w:noProof/>
        </w:rPr>
        <w:t xml:space="preserve"> data-driven tools for grid operation will contribute to reducing system constraints, thereby limiting the scope of grid reinforcements and alleviating system stress. </w:t>
      </w:r>
      <w:r w:rsidR="00700872">
        <w:rPr>
          <w:noProof/>
        </w:rPr>
        <w:t>Where electricity grid data contains personal data, any processing of such data should be in line with the applicable data protection rules, in particular Regulation (EU) 2016/679</w:t>
      </w:r>
      <w:r w:rsidR="007353F6">
        <w:rPr>
          <w:noProof/>
        </w:rPr>
        <w:t xml:space="preserve"> of the European Parliament and of the Council</w:t>
      </w:r>
      <w:r w:rsidR="007353F6">
        <w:rPr>
          <w:rStyle w:val="FootnoteReference"/>
          <w:noProof/>
        </w:rPr>
        <w:footnoteReference w:id="35"/>
      </w:r>
      <w:r w:rsidR="00700872">
        <w:rPr>
          <w:noProof/>
        </w:rPr>
        <w:t xml:space="preserve">. For </w:t>
      </w:r>
      <w:r w:rsidR="007353F6">
        <w:rPr>
          <w:noProof/>
        </w:rPr>
        <w:t xml:space="preserve">the </w:t>
      </w:r>
      <w:r w:rsidR="00700872">
        <w:rPr>
          <w:noProof/>
        </w:rPr>
        <w:t>purposes of this Regulation, system operators should in principle only exchange aggregated or anonymised data. Personal data should only be shared when anonymised data are not sufficient for the objective pursued.</w:t>
      </w:r>
      <w:r w:rsidR="00490C2F" w:rsidRPr="00730E4C">
        <w:rPr>
          <w:noProof/>
        </w:rPr>
        <w:t xml:space="preserve"> </w:t>
      </w:r>
      <w:r w:rsidR="44DEF02B" w:rsidRPr="00730E4C">
        <w:rPr>
          <w:rFonts w:eastAsia="Times New Roman"/>
          <w:noProof/>
          <w:szCs w:val="24"/>
        </w:rPr>
        <w:t>Where such electricity grid data falls within the scope of Chapter II of Regulation (EU) 2023/2854</w:t>
      </w:r>
      <w:r w:rsidR="00C4715B" w:rsidRPr="00730E4C">
        <w:rPr>
          <w:rFonts w:eastAsia="Times New Roman"/>
          <w:noProof/>
          <w:szCs w:val="24"/>
        </w:rPr>
        <w:t xml:space="preserve"> of the European Parliament and of the Council</w:t>
      </w:r>
      <w:r w:rsidR="00C4715B" w:rsidRPr="00730E4C">
        <w:rPr>
          <w:rStyle w:val="FootnoteReference"/>
          <w:rFonts w:eastAsia="Times New Roman"/>
          <w:noProof/>
          <w:szCs w:val="24"/>
        </w:rPr>
        <w:footnoteReference w:id="36"/>
      </w:r>
      <w:r w:rsidR="44DEF02B" w:rsidRPr="00730E4C">
        <w:rPr>
          <w:rFonts w:eastAsia="Times New Roman"/>
          <w:noProof/>
          <w:szCs w:val="24"/>
        </w:rPr>
        <w:t xml:space="preserve">, the rights and obligations laid down in that Chapter apply. This Regulation </w:t>
      </w:r>
      <w:r w:rsidR="00C4715B" w:rsidRPr="00730E4C">
        <w:rPr>
          <w:rFonts w:eastAsia="Times New Roman"/>
          <w:noProof/>
          <w:szCs w:val="24"/>
        </w:rPr>
        <w:t>should</w:t>
      </w:r>
      <w:r w:rsidR="44DEF02B" w:rsidRPr="00730E4C">
        <w:rPr>
          <w:rFonts w:eastAsia="Times New Roman"/>
          <w:noProof/>
          <w:szCs w:val="24"/>
        </w:rPr>
        <w:t xml:space="preserve"> not create a parallel or conflicting regime for access to and sharing of that data.</w:t>
      </w:r>
    </w:p>
    <w:p w:rsidR="003A2DC5" w:rsidRDefault="003A2DC5" w:rsidP="003A2DC5">
      <w:pPr>
        <w:pStyle w:val="ManualConsidrant"/>
        <w:rPr>
          <w:noProof/>
        </w:rPr>
      </w:pPr>
      <w:r>
        <w:rPr>
          <w:noProof/>
        </w:rPr>
        <w:t>(21)</w:t>
      </w:r>
      <w:r>
        <w:rPr>
          <w:noProof/>
        </w:rPr>
        <w:tab/>
        <w:t xml:space="preserve">The efficient and secure operation of electricity networks increasingly depends on </w:t>
      </w:r>
      <w:r w:rsidR="00976704">
        <w:rPr>
          <w:noProof/>
        </w:rPr>
        <w:t xml:space="preserve">developing </w:t>
      </w:r>
      <w:r>
        <w:rPr>
          <w:noProof/>
        </w:rPr>
        <w:t>and deploy</w:t>
      </w:r>
      <w:r w:rsidR="00976704">
        <w:rPr>
          <w:noProof/>
        </w:rPr>
        <w:t>ing</w:t>
      </w:r>
      <w:r>
        <w:rPr>
          <w:noProof/>
        </w:rPr>
        <w:t xml:space="preserve"> advanced digital and data-driven solutions. Availability and accessibility of relevant electricity grid data </w:t>
      </w:r>
      <w:r w:rsidR="007C57CB">
        <w:rPr>
          <w:noProof/>
        </w:rPr>
        <w:t xml:space="preserve">are </w:t>
      </w:r>
      <w:r>
        <w:rPr>
          <w:noProof/>
        </w:rPr>
        <w:t xml:space="preserve">crucial for the ability to develop, test and scale innovative solutions for grid operation and optimisation. In particular, the use of electricity grid data for analytical, research and innovation purposes is constrained by legal uncertainty, high transaction costs and the absence of common arrangements for secure data access, processing and governance. It is therefore appropriate to provide </w:t>
      </w:r>
      <w:r w:rsidR="00FA6055">
        <w:rPr>
          <w:noProof/>
        </w:rPr>
        <w:t xml:space="preserve">for </w:t>
      </w:r>
      <w:r>
        <w:rPr>
          <w:noProof/>
        </w:rPr>
        <w:t>a framework enabling transmission system operators and distribution system operators</w:t>
      </w:r>
      <w:r w:rsidR="00C72704">
        <w:rPr>
          <w:noProof/>
        </w:rPr>
        <w:t xml:space="preserve"> to cooperate</w:t>
      </w:r>
      <w:r>
        <w:rPr>
          <w:noProof/>
        </w:rPr>
        <w:t xml:space="preserve">, on a voluntary basis and through a coordinated </w:t>
      </w:r>
      <w:r w:rsidR="00C72704">
        <w:rPr>
          <w:noProof/>
        </w:rPr>
        <w:t xml:space="preserve">Union-level </w:t>
      </w:r>
      <w:r>
        <w:rPr>
          <w:noProof/>
        </w:rPr>
        <w:t xml:space="preserve">arrangement, to cooperate with relevant stakeholders in pooling data, expertise and computing resources </w:t>
      </w:r>
      <w:r w:rsidR="000805E0">
        <w:rPr>
          <w:noProof/>
        </w:rPr>
        <w:t xml:space="preserve">to </w:t>
      </w:r>
      <w:r>
        <w:rPr>
          <w:noProof/>
        </w:rPr>
        <w:t>develop, test, integrat</w:t>
      </w:r>
      <w:r w:rsidR="000805E0">
        <w:rPr>
          <w:noProof/>
        </w:rPr>
        <w:t>e</w:t>
      </w:r>
      <w:r>
        <w:rPr>
          <w:noProof/>
        </w:rPr>
        <w:t xml:space="preserve"> and deploy innovative digital tools for electricity system operation and optimisation. </w:t>
      </w:r>
    </w:p>
    <w:p w:rsidR="00B3433D" w:rsidRDefault="00FA6055" w:rsidP="003A2DC5">
      <w:pPr>
        <w:pStyle w:val="ManualConsidrant"/>
        <w:rPr>
          <w:noProof/>
        </w:rPr>
      </w:pPr>
      <w:r>
        <w:rPr>
          <w:noProof/>
        </w:rPr>
        <w:t>(22)</w:t>
      </w:r>
      <w:r>
        <w:rPr>
          <w:noProof/>
        </w:rPr>
        <w:tab/>
        <w:t>The</w:t>
      </w:r>
      <w:r w:rsidR="003A2DC5">
        <w:rPr>
          <w:noProof/>
        </w:rPr>
        <w:t xml:space="preserve"> framework </w:t>
      </w:r>
      <w:r w:rsidR="004F3224">
        <w:rPr>
          <w:noProof/>
        </w:rPr>
        <w:t xml:space="preserve">for cooperation between transmission system operators and distribution system operators </w:t>
      </w:r>
      <w:r w:rsidR="003A2DC5">
        <w:rPr>
          <w:noProof/>
        </w:rPr>
        <w:t xml:space="preserve">should support the wider availability of the solutions developed </w:t>
      </w:r>
      <w:r w:rsidR="004F3224">
        <w:rPr>
          <w:noProof/>
        </w:rPr>
        <w:t>to</w:t>
      </w:r>
      <w:r w:rsidR="003A2DC5">
        <w:rPr>
          <w:noProof/>
        </w:rPr>
        <w:t xml:space="preserve"> benefit system operators across the Union</w:t>
      </w:r>
      <w:r w:rsidR="006A521E">
        <w:rPr>
          <w:noProof/>
        </w:rPr>
        <w:t>. It should</w:t>
      </w:r>
      <w:r w:rsidR="009078DC">
        <w:rPr>
          <w:noProof/>
        </w:rPr>
        <w:t xml:space="preserve"> also</w:t>
      </w:r>
      <w:r w:rsidR="003A2DC5">
        <w:rPr>
          <w:noProof/>
        </w:rPr>
        <w:t xml:space="preserve"> ensur</w:t>
      </w:r>
      <w:r w:rsidR="009078DC">
        <w:rPr>
          <w:noProof/>
        </w:rPr>
        <w:t>e</w:t>
      </w:r>
      <w:r w:rsidR="003A2DC5">
        <w:rPr>
          <w:noProof/>
        </w:rPr>
        <w:t xml:space="preserve"> appropriate safeguards for data protection, confidentiality, safety, cybersecurity and system security. </w:t>
      </w:r>
      <w:r w:rsidR="00B3433D">
        <w:rPr>
          <w:noProof/>
        </w:rPr>
        <w:t xml:space="preserve">The Commission stands ready to provide informal guidance to companies on the compatibility of cooperation projects contributing to the achievement of </w:t>
      </w:r>
      <w:r w:rsidR="007353F6">
        <w:rPr>
          <w:noProof/>
        </w:rPr>
        <w:t xml:space="preserve">Union </w:t>
      </w:r>
      <w:r w:rsidR="00B3433D">
        <w:rPr>
          <w:noProof/>
        </w:rPr>
        <w:t>priorities with antitrust rules, in particular projects related to innovation, decarbonisation and AI development</w:t>
      </w:r>
    </w:p>
    <w:p w:rsidR="003A2DC5" w:rsidRDefault="003A2DC5" w:rsidP="003A2DC5">
      <w:pPr>
        <w:pStyle w:val="ManualConsidrant"/>
        <w:rPr>
          <w:noProof/>
        </w:rPr>
      </w:pPr>
      <w:r>
        <w:rPr>
          <w:noProof/>
        </w:rPr>
        <w:t>(23)</w:t>
      </w:r>
      <w:r>
        <w:rPr>
          <w:noProof/>
        </w:rPr>
        <w:tab/>
        <w:t xml:space="preserve">To support the consistent development of </w:t>
      </w:r>
      <w:r w:rsidR="0073711C">
        <w:rPr>
          <w:noProof/>
        </w:rPr>
        <w:t xml:space="preserve">the </w:t>
      </w:r>
      <w:r w:rsidR="00111ED1">
        <w:rPr>
          <w:noProof/>
        </w:rPr>
        <w:t>coordinated arrangement</w:t>
      </w:r>
      <w:r>
        <w:rPr>
          <w:noProof/>
        </w:rPr>
        <w:t xml:space="preserve"> at scale, common requirements on data models, data formats, data ontologies, access procedures, governance, transparency and secure grid data exchange should be established at Union level</w:t>
      </w:r>
      <w:r w:rsidR="000A428E">
        <w:rPr>
          <w:noProof/>
        </w:rPr>
        <w:t>. These should</w:t>
      </w:r>
      <w:r>
        <w:rPr>
          <w:noProof/>
        </w:rPr>
        <w:t xml:space="preserve"> build on existing standards such as the Common Grid Model Exchange Standard. </w:t>
      </w:r>
      <w:r w:rsidR="00FB01A7">
        <w:rPr>
          <w:noProof/>
        </w:rPr>
        <w:t xml:space="preserve">In order to ensure uniform conditions for the implementation of the </w:t>
      </w:r>
      <w:r w:rsidR="0003705A">
        <w:rPr>
          <w:noProof/>
        </w:rPr>
        <w:t>coordinated arrangement</w:t>
      </w:r>
      <w:r w:rsidR="008B1DD7">
        <w:rPr>
          <w:noProof/>
        </w:rPr>
        <w:t>,</w:t>
      </w:r>
      <w:r w:rsidR="0003705A">
        <w:rPr>
          <w:noProof/>
        </w:rPr>
        <w:t xml:space="preserve"> </w:t>
      </w:r>
      <w:r w:rsidR="008B1DD7">
        <w:rPr>
          <w:noProof/>
        </w:rPr>
        <w:t>i</w:t>
      </w:r>
      <w:r>
        <w:rPr>
          <w:noProof/>
        </w:rPr>
        <w:t xml:space="preserve">mplementing powers should be conferred on the Commission to </w:t>
      </w:r>
      <w:r w:rsidR="00683EC8">
        <w:rPr>
          <w:noProof/>
        </w:rPr>
        <w:t>establish</w:t>
      </w:r>
      <w:r>
        <w:rPr>
          <w:noProof/>
        </w:rPr>
        <w:t xml:space="preserve"> those requirements </w:t>
      </w:r>
      <w:r w:rsidR="00831818">
        <w:rPr>
          <w:noProof/>
        </w:rPr>
        <w:t xml:space="preserve">as well as rules </w:t>
      </w:r>
      <w:r>
        <w:rPr>
          <w:noProof/>
        </w:rPr>
        <w:t>for the lawful, secure and controlled reuse of data for research and innovation purposes supporting the operation and optimisation of the electricity system.</w:t>
      </w:r>
    </w:p>
    <w:p w:rsidR="003A2DC5" w:rsidRPr="004120C3" w:rsidRDefault="003A2DC5" w:rsidP="00623FEE">
      <w:pPr>
        <w:pStyle w:val="ManualConsidrant"/>
        <w:rPr>
          <w:noProof/>
        </w:rPr>
      </w:pPr>
      <w:r>
        <w:rPr>
          <w:noProof/>
        </w:rPr>
        <w:t>(24)</w:t>
      </w:r>
      <w:r>
        <w:rPr>
          <w:noProof/>
        </w:rPr>
        <w:tab/>
        <w:t xml:space="preserve">The efficient use of the electricity network relies on the availability of accurate and granular consumption data and on </w:t>
      </w:r>
      <w:r w:rsidR="003D5BB3">
        <w:rPr>
          <w:noProof/>
        </w:rPr>
        <w:t xml:space="preserve">final customers’ </w:t>
      </w:r>
      <w:r>
        <w:rPr>
          <w:noProof/>
        </w:rPr>
        <w:t xml:space="preserve">ability to access and act upon such data. Smart metering systems are a key enabler of demand response and dynamic electricity price contracts, which can </w:t>
      </w:r>
      <w:r w:rsidR="00B2631D">
        <w:rPr>
          <w:noProof/>
        </w:rPr>
        <w:t>help</w:t>
      </w:r>
      <w:r>
        <w:rPr>
          <w:noProof/>
        </w:rPr>
        <w:t xml:space="preserve"> </w:t>
      </w:r>
      <w:r w:rsidR="00B2631D">
        <w:rPr>
          <w:noProof/>
        </w:rPr>
        <w:t xml:space="preserve">improve </w:t>
      </w:r>
      <w:r>
        <w:rPr>
          <w:noProof/>
        </w:rPr>
        <w:t xml:space="preserve">the </w:t>
      </w:r>
      <w:r w:rsidR="00B2631D">
        <w:rPr>
          <w:noProof/>
        </w:rPr>
        <w:t xml:space="preserve">use </w:t>
      </w:r>
      <w:r>
        <w:rPr>
          <w:noProof/>
        </w:rPr>
        <w:t xml:space="preserve">of existing electricity network infrastructure, including by reducing the curtailment of renewable energy and facilitating electrification. By enabling consumers to adjust their consumption to periods of lower prices and to benefit from more efficient use of the electricity system, smart metering systems can contribute to more affordable and predictable energy bills. In order to achieve sufficient deployment across the Union and to support more efficient network usage, including across borders within the internal energy market, Member States should ensure that at least </w:t>
      </w:r>
      <w:r w:rsidR="00075461">
        <w:rPr>
          <w:noProof/>
        </w:rPr>
        <w:t>50</w:t>
      </w:r>
      <w:r w:rsidR="000350A9" w:rsidRPr="75797A66">
        <w:rPr>
          <w:rFonts w:eastAsia="Times New Roman"/>
          <w:noProof/>
        </w:rPr>
        <w:t> </w:t>
      </w:r>
      <w:r w:rsidR="00075461">
        <w:rPr>
          <w:noProof/>
        </w:rPr>
        <w:t>%</w:t>
      </w:r>
      <w:r>
        <w:rPr>
          <w:noProof/>
        </w:rPr>
        <w:t xml:space="preserve"> of final customers have access to a smart meter </w:t>
      </w:r>
      <w:r w:rsidR="00163906">
        <w:rPr>
          <w:noProof/>
        </w:rPr>
        <w:t>t</w:t>
      </w:r>
      <w:r w:rsidR="007F2682">
        <w:rPr>
          <w:noProof/>
        </w:rPr>
        <w:t xml:space="preserve">o establish critical mass for consumer participation and flexibility services, and progressively increase this level to at least </w:t>
      </w:r>
      <w:r w:rsidR="00575785">
        <w:rPr>
          <w:noProof/>
        </w:rPr>
        <w:t>75</w:t>
      </w:r>
      <w:r w:rsidR="00575785" w:rsidRPr="75797A66">
        <w:rPr>
          <w:rFonts w:eastAsia="Times New Roman"/>
          <w:noProof/>
        </w:rPr>
        <w:t> </w:t>
      </w:r>
      <w:r w:rsidR="007F2682">
        <w:rPr>
          <w:noProof/>
        </w:rPr>
        <w:t xml:space="preserve">% by </w:t>
      </w:r>
      <w:r w:rsidR="009E5BBC">
        <w:rPr>
          <w:noProof/>
        </w:rPr>
        <w:t>31</w:t>
      </w:r>
      <w:r w:rsidR="0066063F" w:rsidRPr="75797A66">
        <w:rPr>
          <w:rFonts w:eastAsia="Times New Roman"/>
          <w:noProof/>
        </w:rPr>
        <w:t> </w:t>
      </w:r>
      <w:r w:rsidR="009E5BBC">
        <w:rPr>
          <w:noProof/>
        </w:rPr>
        <w:t>December</w:t>
      </w:r>
      <w:r w:rsidR="007F2682">
        <w:rPr>
          <w:noProof/>
        </w:rPr>
        <w:t xml:space="preserve"> 2033. </w:t>
      </w:r>
      <w:r>
        <w:rPr>
          <w:noProof/>
          <w:lang w:val="en-IE"/>
        </w:rPr>
        <w:t>To ensure feasible rollout timelines while keeping the overall EU ambition, Member States with deployment levels below 30</w:t>
      </w:r>
      <w:r>
        <w:rPr>
          <w:rFonts w:eastAsia="Times New Roman"/>
          <w:noProof/>
        </w:rPr>
        <w:t> </w:t>
      </w:r>
      <w:r>
        <w:rPr>
          <w:noProof/>
          <w:lang w:val="en-IE"/>
        </w:rPr>
        <w:t xml:space="preserve">% </w:t>
      </w:r>
      <w:r>
        <w:rPr>
          <w:noProof/>
        </w:rPr>
        <w:t xml:space="preserve">at the date of entry into force of this Regulation </w:t>
      </w:r>
      <w:r>
        <w:rPr>
          <w:noProof/>
          <w:lang w:val="en-IE"/>
        </w:rPr>
        <w:t xml:space="preserve">should be given additional time to reach these targets. </w:t>
      </w:r>
      <w:r>
        <w:rPr>
          <w:noProof/>
        </w:rPr>
        <w:t>This addresses</w:t>
      </w:r>
      <w:r w:rsidR="00B60358">
        <w:rPr>
          <w:noProof/>
        </w:rPr>
        <w:t xml:space="preserve"> </w:t>
      </w:r>
      <w:r w:rsidR="00932EDB">
        <w:rPr>
          <w:noProof/>
        </w:rPr>
        <w:t xml:space="preserve">the current </w:t>
      </w:r>
      <w:r w:rsidR="00972899">
        <w:rPr>
          <w:noProof/>
        </w:rPr>
        <w:t xml:space="preserve">uneven </w:t>
      </w:r>
      <w:r w:rsidR="00932EDB">
        <w:rPr>
          <w:noProof/>
        </w:rPr>
        <w:t>state of deployment across the Union, with overall penetration at around 60</w:t>
      </w:r>
      <w:r w:rsidR="00932EDB" w:rsidRPr="75797A66">
        <w:rPr>
          <w:rFonts w:eastAsia="Times New Roman"/>
          <w:noProof/>
        </w:rPr>
        <w:t> </w:t>
      </w:r>
      <w:r w:rsidR="00932EDB">
        <w:rPr>
          <w:noProof/>
        </w:rPr>
        <w:t xml:space="preserve">% and several Member States </w:t>
      </w:r>
      <w:r w:rsidR="00972899">
        <w:rPr>
          <w:noProof/>
        </w:rPr>
        <w:t>lagging behind</w:t>
      </w:r>
      <w:r w:rsidR="00932EDB">
        <w:rPr>
          <w:noProof/>
        </w:rPr>
        <w:t xml:space="preserve"> or not yet having initiated large-scale rollouts</w:t>
      </w:r>
      <w:r>
        <w:rPr>
          <w:noProof/>
        </w:rPr>
        <w:t>, in a proportionate way</w:t>
      </w:r>
      <w:r w:rsidR="00932EDB">
        <w:rPr>
          <w:noProof/>
        </w:rPr>
        <w:t xml:space="preserve">. </w:t>
      </w:r>
      <w:r>
        <w:rPr>
          <w:noProof/>
        </w:rPr>
        <w:t xml:space="preserve">Cost-benefit assessments under Directive (EU) 2019/944 should apply only to deployment beyond </w:t>
      </w:r>
      <w:r w:rsidR="007E0B04">
        <w:rPr>
          <w:noProof/>
        </w:rPr>
        <w:t xml:space="preserve">the </w:t>
      </w:r>
      <w:r w:rsidR="00575785">
        <w:rPr>
          <w:noProof/>
        </w:rPr>
        <w:t>7</w:t>
      </w:r>
      <w:r w:rsidR="007E0B04">
        <w:rPr>
          <w:noProof/>
        </w:rPr>
        <w:t>5</w:t>
      </w:r>
      <w:r w:rsidR="007E0B04" w:rsidRPr="75797A66">
        <w:rPr>
          <w:rFonts w:eastAsia="Times New Roman"/>
          <w:noProof/>
        </w:rPr>
        <w:t> </w:t>
      </w:r>
      <w:r w:rsidR="007E0B04">
        <w:rPr>
          <w:noProof/>
        </w:rPr>
        <w:t xml:space="preserve">% </w:t>
      </w:r>
      <w:r>
        <w:rPr>
          <w:noProof/>
        </w:rPr>
        <w:t>level, ensuring proportionality while meeting the Union’s digitalisation and flexibility objectives. In order to support the effective implementation of these obligations as laid down in Article 18b of this Regulation, Member States are encouraged to make appropriate use of available funding and financing opportunities under relevant Union programmes and instruments, in accordance with the rules governing those programmes and instruments.</w:t>
      </w:r>
    </w:p>
    <w:p w:rsidR="00E1078C" w:rsidRDefault="00E1078C" w:rsidP="00E1078C">
      <w:pPr>
        <w:pStyle w:val="ManualConsidrant"/>
        <w:rPr>
          <w:noProof/>
        </w:rPr>
      </w:pPr>
      <w:r>
        <w:rPr>
          <w:noProof/>
        </w:rPr>
        <w:t>(25)</w:t>
      </w:r>
      <w:r>
        <w:rPr>
          <w:noProof/>
        </w:rPr>
        <w:tab/>
        <w:t xml:space="preserve">Given the critical role of deployed and operated smart metering systems in an increasingly digitalised electricity system, a high level of cybersecurity and operational and supply chain resilience should be ensured throughout their lifetime, taking into account relevant European cybersecurity </w:t>
      </w:r>
      <w:r w:rsidR="00040AC9" w:rsidRPr="00F65624">
        <w:rPr>
          <w:noProof/>
          <w:szCs w:val="24"/>
        </w:rPr>
        <w:t>legislation, including Regulation (EU) 2024/2847</w:t>
      </w:r>
      <w:r w:rsidR="003654EF">
        <w:rPr>
          <w:noProof/>
          <w:szCs w:val="24"/>
        </w:rPr>
        <w:t xml:space="preserve"> of the European Parliament and of the Council</w:t>
      </w:r>
      <w:r w:rsidR="00040AC9">
        <w:rPr>
          <w:rStyle w:val="FootnoteReference"/>
          <w:noProof/>
          <w:szCs w:val="24"/>
        </w:rPr>
        <w:footnoteReference w:id="37"/>
      </w:r>
      <w:r w:rsidR="00040AC9" w:rsidRPr="00F65624">
        <w:rPr>
          <w:noProof/>
          <w:szCs w:val="24"/>
        </w:rPr>
        <w:t xml:space="preserve">, in particular where smart metering components fall within </w:t>
      </w:r>
      <w:r w:rsidR="00040AC9">
        <w:rPr>
          <w:noProof/>
          <w:szCs w:val="24"/>
        </w:rPr>
        <w:t xml:space="preserve">the </w:t>
      </w:r>
      <w:r w:rsidR="00040AC9" w:rsidRPr="00F65624">
        <w:rPr>
          <w:noProof/>
          <w:szCs w:val="24"/>
        </w:rPr>
        <w:t>scope of critical products,</w:t>
      </w:r>
      <w:r w:rsidR="00040AC9">
        <w:rPr>
          <w:rFonts w:asciiTheme="minorHAnsi" w:hAnsiTheme="minorHAnsi" w:cstheme="minorHAnsi"/>
          <w:b/>
          <w:bCs/>
          <w:noProof/>
          <w:sz w:val="22"/>
        </w:rPr>
        <w:t xml:space="preserve"> </w:t>
      </w:r>
      <w:r>
        <w:rPr>
          <w:noProof/>
        </w:rPr>
        <w:t>certification schemes established under Regulation (EU) 2019/881</w:t>
      </w:r>
      <w:r w:rsidR="003654EF">
        <w:rPr>
          <w:noProof/>
        </w:rPr>
        <w:t xml:space="preserve"> </w:t>
      </w:r>
      <w:r w:rsidR="003654EF">
        <w:rPr>
          <w:noProof/>
          <w:szCs w:val="24"/>
        </w:rPr>
        <w:t>of the European Parliament and of the Council</w:t>
      </w:r>
      <w:r w:rsidR="00E92D14">
        <w:rPr>
          <w:rStyle w:val="FootnoteReference"/>
          <w:noProof/>
        </w:rPr>
        <w:footnoteReference w:id="38"/>
      </w:r>
      <w:r w:rsidR="00E92D14">
        <w:rPr>
          <w:noProof/>
        </w:rPr>
        <w:t>, as well as</w:t>
      </w:r>
      <w:r>
        <w:rPr>
          <w:noProof/>
        </w:rPr>
        <w:t xml:space="preserve"> the need to avoid </w:t>
      </w:r>
      <w:r w:rsidR="00221991" w:rsidRPr="00F65624">
        <w:rPr>
          <w:noProof/>
          <w:szCs w:val="24"/>
        </w:rPr>
        <w:t>supply chain security risks and</w:t>
      </w:r>
      <w:r w:rsidR="00221991">
        <w:rPr>
          <w:rFonts w:asciiTheme="minorHAnsi" w:hAnsiTheme="minorHAnsi" w:cstheme="minorHAnsi"/>
          <w:noProof/>
          <w:sz w:val="22"/>
        </w:rPr>
        <w:t xml:space="preserve"> </w:t>
      </w:r>
      <w:r>
        <w:rPr>
          <w:noProof/>
        </w:rPr>
        <w:t>dependencies that could undermine continuity and security of essential metering functionalities and data protection. As smart metering systems form part of the broader electricity grid technology ecosystem, relevant sustainability, resilience and security of supply considerations reflected in Regulation (EU) 2024/1735</w:t>
      </w:r>
      <w:r w:rsidR="003654EF">
        <w:rPr>
          <w:noProof/>
        </w:rPr>
        <w:t xml:space="preserve"> </w:t>
      </w:r>
      <w:r w:rsidR="003654EF">
        <w:rPr>
          <w:noProof/>
          <w:szCs w:val="24"/>
        </w:rPr>
        <w:t>of the European Parliament and of the Council</w:t>
      </w:r>
      <w:r w:rsidR="007F3F97">
        <w:rPr>
          <w:rStyle w:val="FootnoteReference"/>
          <w:noProof/>
        </w:rPr>
        <w:footnoteReference w:id="39"/>
      </w:r>
      <w:r>
        <w:rPr>
          <w:noProof/>
        </w:rPr>
        <w:t xml:space="preserve"> also need to be taken into account, including, where appropriate, in procurement practices.</w:t>
      </w:r>
    </w:p>
    <w:p w:rsidR="003A2DC5" w:rsidRPr="003F2585" w:rsidRDefault="00547907" w:rsidP="003A2DC5">
      <w:pPr>
        <w:pStyle w:val="ManualConsidrant"/>
        <w:rPr>
          <w:noProof/>
        </w:rPr>
      </w:pPr>
      <w:r>
        <w:rPr>
          <w:noProof/>
        </w:rPr>
        <w:t>(26)</w:t>
      </w:r>
      <w:r>
        <w:rPr>
          <w:noProof/>
        </w:rPr>
        <w:tab/>
        <w:t xml:space="preserve">The uptake of electrification </w:t>
      </w:r>
      <w:r w:rsidR="001160CD">
        <w:rPr>
          <w:noProof/>
        </w:rPr>
        <w:t xml:space="preserve">is </w:t>
      </w:r>
      <w:r w:rsidR="007F7049">
        <w:rPr>
          <w:noProof/>
        </w:rPr>
        <w:t>intrinsically linked to e</w:t>
      </w:r>
      <w:r w:rsidR="003A2DC5">
        <w:rPr>
          <w:noProof/>
        </w:rPr>
        <w:t>lectricity costs</w:t>
      </w:r>
      <w:r w:rsidR="007F7049">
        <w:rPr>
          <w:noProof/>
        </w:rPr>
        <w:t>, which in turn</w:t>
      </w:r>
      <w:r w:rsidR="003A2DC5">
        <w:rPr>
          <w:noProof/>
        </w:rPr>
        <w:t xml:space="preserve"> are</w:t>
      </w:r>
      <w:r w:rsidR="00847DB4">
        <w:rPr>
          <w:noProof/>
        </w:rPr>
        <w:t xml:space="preserve"> impacted not only by network charges by also</w:t>
      </w:r>
      <w:r w:rsidR="0074538C">
        <w:rPr>
          <w:noProof/>
        </w:rPr>
        <w:t xml:space="preserve"> </w:t>
      </w:r>
      <w:r w:rsidR="003A2DC5">
        <w:rPr>
          <w:noProof/>
        </w:rPr>
        <w:t xml:space="preserve">by the taxes levied on electricity bills. To support the affordability of electricity, its uptake as an energy source and the transition to a low-carbon economy, Member States should ensure that electricity is taxed more favourably than </w:t>
      </w:r>
      <w:r w:rsidR="00F55F2A">
        <w:rPr>
          <w:noProof/>
        </w:rPr>
        <w:t xml:space="preserve">natural </w:t>
      </w:r>
      <w:r w:rsidR="003A2DC5">
        <w:rPr>
          <w:noProof/>
        </w:rPr>
        <w:t xml:space="preserve">gas, thereby providing a pricing signal to support the electrification of the Union.  This principle is in line with the Union’s climate goals and can be enacted by Member States under the current Union harmonised framework as </w:t>
      </w:r>
      <w:r w:rsidR="004D734A">
        <w:rPr>
          <w:noProof/>
        </w:rPr>
        <w:t xml:space="preserve">established </w:t>
      </w:r>
      <w:r w:rsidR="003A2DC5">
        <w:rPr>
          <w:noProof/>
        </w:rPr>
        <w:t>by Council Directive 2003/96/EU</w:t>
      </w:r>
      <w:r w:rsidRPr="75797A66">
        <w:rPr>
          <w:rStyle w:val="FootnoteReference"/>
          <w:noProof/>
        </w:rPr>
        <w:footnoteReference w:id="40"/>
      </w:r>
      <w:r w:rsidR="003A2DC5">
        <w:rPr>
          <w:noProof/>
        </w:rPr>
        <w:t xml:space="preserve">. </w:t>
      </w:r>
      <w:r>
        <w:rPr>
          <w:noProof/>
        </w:rPr>
        <w:t>However, where this is duly justified by a Member State, based on specific national circumstances, including in view of the fiscal situation of the Member State, the Commission should have the possibility to authorize Member State, by means of an implementing act,  to defer the application of the first subparagraph until a point in time which strikes a balance between the specific national circumstances concerned and the need to reach the Union’s electrification objectives.</w:t>
      </w:r>
    </w:p>
    <w:p w:rsidR="00965D8A" w:rsidRDefault="003A2DC5" w:rsidP="000412FB">
      <w:pPr>
        <w:pStyle w:val="ManualConsidrant"/>
        <w:rPr>
          <w:noProof/>
        </w:rPr>
      </w:pPr>
      <w:r>
        <w:rPr>
          <w:noProof/>
        </w:rPr>
        <w:t>(27)</w:t>
      </w:r>
      <w:r>
        <w:rPr>
          <w:noProof/>
        </w:rPr>
        <w:tab/>
        <w:t xml:space="preserve">This price signal is particularly relevant for energy-intensive businesses, where the cost-differential to </w:t>
      </w:r>
      <w:r w:rsidR="00F55F2A">
        <w:rPr>
          <w:noProof/>
        </w:rPr>
        <w:t xml:space="preserve">natural </w:t>
      </w:r>
      <w:r>
        <w:rPr>
          <w:noProof/>
        </w:rPr>
        <w:t>gas can hinder the transition to cleaner energy sources.  Article 17 of Directive 2003/96/EU permits Member States to apply a reduced level of taxation, including a rate of zero, to electricity used by energy-intensive businesses, subject to certain environmental</w:t>
      </w:r>
      <w:r w:rsidR="2498A7A3">
        <w:rPr>
          <w:noProof/>
        </w:rPr>
        <w:t>, water</w:t>
      </w:r>
      <w:r>
        <w:rPr>
          <w:noProof/>
        </w:rPr>
        <w:t xml:space="preserve"> and energy efficiency conditions. As electrification is a key pillar of the Union’s strategy to reach net-zero greenhouse gas emissions, as recently reaffirmed in the Clean Industrial Deal, accelerating the electrification of the economy will not only contribute to climate objectives but can also help reduce energy costs and support the competitiveness of the </w:t>
      </w:r>
      <w:r w:rsidR="003654EF">
        <w:rPr>
          <w:noProof/>
        </w:rPr>
        <w:t>Union</w:t>
      </w:r>
      <w:r>
        <w:rPr>
          <w:noProof/>
        </w:rPr>
        <w:t xml:space="preserve">’s manufacturing sector. Consequently, electricity used by energy-intensive businesses should be considered as meeting the environmental objectives and increased energy efficiency conditionality set </w:t>
      </w:r>
      <w:r w:rsidR="007353F6">
        <w:rPr>
          <w:noProof/>
        </w:rPr>
        <w:t xml:space="preserve">out </w:t>
      </w:r>
      <w:r>
        <w:rPr>
          <w:noProof/>
        </w:rPr>
        <w:t xml:space="preserve">in </w:t>
      </w:r>
      <w:r w:rsidR="007353F6">
        <w:rPr>
          <w:noProof/>
        </w:rPr>
        <w:t>A</w:t>
      </w:r>
      <w:r>
        <w:rPr>
          <w:noProof/>
        </w:rPr>
        <w:t>rticle 17</w:t>
      </w:r>
      <w:r w:rsidR="007353F6">
        <w:rPr>
          <w:noProof/>
        </w:rPr>
        <w:t>(</w:t>
      </w:r>
      <w:r>
        <w:rPr>
          <w:noProof/>
        </w:rPr>
        <w:t>4</w:t>
      </w:r>
      <w:r w:rsidR="007353F6">
        <w:rPr>
          <w:noProof/>
        </w:rPr>
        <w:t>)</w:t>
      </w:r>
      <w:r>
        <w:rPr>
          <w:noProof/>
        </w:rPr>
        <w:t xml:space="preserve"> of Directive 2003/96/EU.</w:t>
      </w:r>
    </w:p>
    <w:p w:rsidR="00E2300E" w:rsidRDefault="00E2300E" w:rsidP="0022645D">
      <w:pPr>
        <w:pStyle w:val="ManualConsidrant"/>
        <w:rPr>
          <w:noProof/>
        </w:rPr>
      </w:pPr>
      <w:r>
        <w:rPr>
          <w:noProof/>
        </w:rPr>
        <w:t>(28)</w:t>
      </w:r>
      <w:r>
        <w:rPr>
          <w:noProof/>
        </w:rPr>
        <w:tab/>
        <w:t>In case of scarcity in the available capacity of the grid, regulatory authorities should be allowed to ap</w:t>
      </w:r>
      <w:r w:rsidR="00B65C8A">
        <w:rPr>
          <w:noProof/>
        </w:rPr>
        <w:t>prove</w:t>
      </w:r>
      <w:r>
        <w:rPr>
          <w:noProof/>
        </w:rPr>
        <w:t xml:space="preserve"> measures to deter speculative requests for connection to the grid and manage connection queues, to ensure that access to the grid is done in an objective, transparent and non-discriminatory manner in line with Article 3 of Regulation</w:t>
      </w:r>
      <w:r w:rsidR="003654EF">
        <w:rPr>
          <w:noProof/>
        </w:rPr>
        <w:t xml:space="preserve"> (EU) 2019/943</w:t>
      </w:r>
      <w:r>
        <w:rPr>
          <w:noProof/>
        </w:rPr>
        <w:t xml:space="preserve"> and Article 6 of Directive</w:t>
      </w:r>
      <w:r w:rsidR="003654EF">
        <w:rPr>
          <w:noProof/>
        </w:rPr>
        <w:t xml:space="preserve"> (EU) 2019/944</w:t>
      </w:r>
      <w:r>
        <w:rPr>
          <w:noProof/>
        </w:rPr>
        <w:t>. In addition, Member States and regulatory authorities should ensure the applicability of other available measures to address insufficient grid capacity like flexible connection agreements or cross-sectorial network planning</w:t>
      </w:r>
      <w:r w:rsidR="003654EF">
        <w:rPr>
          <w:noProof/>
        </w:rPr>
        <w:t>.</w:t>
      </w:r>
      <w:r>
        <w:rPr>
          <w:noProof/>
        </w:rPr>
        <w:t xml:space="preserve"> Member States can also explore further options for considering maturity and progress of grid connection requests </w:t>
      </w:r>
      <w:r w:rsidR="00494855" w:rsidRPr="00563A43">
        <w:rPr>
          <w:noProof/>
        </w:rPr>
        <w:t>in line with the first ready first serve principle</w:t>
      </w:r>
      <w:r w:rsidR="00494855">
        <w:rPr>
          <w:noProof/>
        </w:rPr>
        <w:t xml:space="preserve"> </w:t>
      </w:r>
      <w:r>
        <w:rPr>
          <w:noProof/>
        </w:rPr>
        <w:t>or anticipatory network planning, as explained under the Guidance on efficient and timely grid connections</w:t>
      </w:r>
      <w:r w:rsidR="00450052" w:rsidRPr="00563A43">
        <w:rPr>
          <w:rStyle w:val="FootnoteReference"/>
          <w:noProof/>
        </w:rPr>
        <w:footnoteReference w:id="41"/>
      </w:r>
      <w:r w:rsidR="003654EF">
        <w:rPr>
          <w:noProof/>
        </w:rPr>
        <w:t>.</w:t>
      </w:r>
      <w:r>
        <w:rPr>
          <w:noProof/>
        </w:rPr>
        <w:t xml:space="preserve"> To this end, Member States </w:t>
      </w:r>
      <w:r w:rsidR="003654EF">
        <w:rPr>
          <w:noProof/>
        </w:rPr>
        <w:t xml:space="preserve">should be allowed to </w:t>
      </w:r>
      <w:r>
        <w:rPr>
          <w:noProof/>
        </w:rPr>
        <w:t>create conditions to establish specific areas with available or planned grid capacity upgrades to enable accelerated access of network users like for instance industrial</w:t>
      </w:r>
      <w:r w:rsidR="00F02967">
        <w:rPr>
          <w:noProof/>
        </w:rPr>
        <w:t xml:space="preserve"> </w:t>
      </w:r>
      <w:r w:rsidR="00F02967" w:rsidRPr="00563A43">
        <w:rPr>
          <w:noProof/>
        </w:rPr>
        <w:t>customers</w:t>
      </w:r>
      <w:r w:rsidRPr="00563A43">
        <w:rPr>
          <w:noProof/>
        </w:rPr>
        <w:t xml:space="preserve"> and</w:t>
      </w:r>
      <w:r>
        <w:rPr>
          <w:noProof/>
        </w:rPr>
        <w:t xml:space="preserve"> data centres to networks. When </w:t>
      </w:r>
      <w:r w:rsidR="004857AD">
        <w:rPr>
          <w:noProof/>
        </w:rPr>
        <w:t>approving</w:t>
      </w:r>
      <w:r>
        <w:rPr>
          <w:noProof/>
        </w:rPr>
        <w:t xml:space="preserve"> measures and conditions on access to grid, and especially for special categories of system users like data centres or energy intensive industry considering their network impacts, regulatory authorities </w:t>
      </w:r>
      <w:r w:rsidR="003654EF">
        <w:rPr>
          <w:noProof/>
        </w:rPr>
        <w:t xml:space="preserve">should also be allowed to </w:t>
      </w:r>
      <w:r>
        <w:rPr>
          <w:noProof/>
        </w:rPr>
        <w:t>prioritise users within the same category with flexible consumption patterns contributing to on-site storage and on-site generation of additional clean energy</w:t>
      </w:r>
      <w:r w:rsidR="00254F44">
        <w:rPr>
          <w:noProof/>
        </w:rPr>
        <w:t xml:space="preserve"> </w:t>
      </w:r>
      <w:r w:rsidR="00254F44" w:rsidRPr="00FF6C31">
        <w:rPr>
          <w:noProof/>
        </w:rPr>
        <w:t>and sustainable use of resources</w:t>
      </w:r>
      <w:r>
        <w:rPr>
          <w:noProof/>
        </w:rPr>
        <w:t>.</w:t>
      </w:r>
    </w:p>
    <w:p w:rsidR="002B1784" w:rsidRDefault="002B1784" w:rsidP="002B1784">
      <w:pPr>
        <w:pStyle w:val="ManualConsidrant"/>
        <w:rPr>
          <w:noProof/>
        </w:rPr>
      </w:pPr>
      <w:r>
        <w:rPr>
          <w:noProof/>
        </w:rPr>
        <w:t>(29)</w:t>
      </w:r>
      <w:r>
        <w:rPr>
          <w:noProof/>
        </w:rPr>
        <w:tab/>
        <w:t>Regulation (EU) 2019/943 should therefore be amended accordingly.</w:t>
      </w:r>
    </w:p>
    <w:p w:rsidR="00E70427" w:rsidRDefault="0055244A" w:rsidP="00E70427">
      <w:pPr>
        <w:pStyle w:val="ManualConsidrant"/>
        <w:rPr>
          <w:noProof/>
        </w:rPr>
      </w:pPr>
      <w:r>
        <w:rPr>
          <w:noProof/>
        </w:rPr>
        <w:t>(30)</w:t>
      </w:r>
      <w:r>
        <w:rPr>
          <w:noProof/>
        </w:rPr>
        <w:tab/>
        <w:t>Since the objective of this Regulation, namely to</w:t>
      </w:r>
      <w:r w:rsidR="00213D93">
        <w:rPr>
          <w:noProof/>
        </w:rPr>
        <w:t xml:space="preserve"> achieve </w:t>
      </w:r>
      <w:r w:rsidR="00522C01">
        <w:rPr>
          <w:noProof/>
        </w:rPr>
        <w:t>the cost effectiveness of the system operation and foster electrification of the grid</w:t>
      </w:r>
      <w:r>
        <w:rPr>
          <w:noProof/>
        </w:rPr>
        <w:t>, cannot be sufficiently achieved by the Member States, but can rather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to achieve th</w:t>
      </w:r>
      <w:r w:rsidR="00F35330">
        <w:rPr>
          <w:noProof/>
        </w:rPr>
        <w:t>ose</w:t>
      </w:r>
      <w:r>
        <w:rPr>
          <w:noProof/>
        </w:rPr>
        <w:t xml:space="preserve"> objective</w:t>
      </w:r>
      <w:r w:rsidR="00F35330">
        <w:rPr>
          <w:noProof/>
        </w:rPr>
        <w:t>s.</w:t>
      </w:r>
    </w:p>
    <w:p w:rsidR="008F30B5" w:rsidRDefault="003E2E63" w:rsidP="008F30B5">
      <w:pPr>
        <w:pStyle w:val="ManualConsidrant"/>
        <w:rPr>
          <w:noProof/>
        </w:rPr>
      </w:pPr>
      <w:r>
        <w:rPr>
          <w:noProof/>
        </w:rPr>
        <w:t>(31)</w:t>
      </w:r>
      <w:r>
        <w:rPr>
          <w:noProof/>
        </w:rPr>
        <w:tab/>
        <w:t xml:space="preserve">The European Data Protection Supervisor was consulted in accordance </w:t>
      </w:r>
      <w:r w:rsidRPr="003E2E63">
        <w:rPr>
          <w:noProof/>
        </w:rPr>
        <w:t>with Article 42(1) of Regulation (EU) 2018/1725 of the European Parliament and of the Council and delivered an opinion on</w:t>
      </w:r>
      <w:r>
        <w:rPr>
          <w:noProof/>
        </w:rPr>
        <w:t xml:space="preserve"> [date].</w:t>
      </w:r>
    </w:p>
    <w:p w:rsidR="00491A83" w:rsidRDefault="00E70427" w:rsidP="00225ADB">
      <w:pPr>
        <w:pStyle w:val="ManualConsidrant"/>
        <w:rPr>
          <w:noProof/>
        </w:rPr>
      </w:pPr>
      <w:r>
        <w:rPr>
          <w:noProof/>
        </w:rPr>
        <w:t>(32)</w:t>
      </w:r>
      <w:r>
        <w:rPr>
          <w:noProof/>
        </w:rPr>
        <w:tab/>
      </w:r>
      <w:r w:rsidRPr="75797A66">
        <w:rPr>
          <w:noProof/>
          <w:lang w:val="en-US"/>
        </w:rPr>
        <w:t xml:space="preserve">The provisions of this Regulation are without prejudice to the right of Member States to notify State aid measures, according to the applicable procedures and conditions laid down in State aid rules. Member States may </w:t>
      </w:r>
      <w:r>
        <w:rPr>
          <w:noProof/>
          <w:lang w:val="en-US"/>
        </w:rPr>
        <w:t xml:space="preserve">for example </w:t>
      </w:r>
      <w:r w:rsidRPr="75797A66">
        <w:rPr>
          <w:noProof/>
          <w:lang w:val="en-US"/>
        </w:rPr>
        <w:t xml:space="preserve">introduce measures to support industrial electrification projects where an effective decarbonization effect is confirmed and in line with the guidelines on </w:t>
      </w:r>
      <w:r w:rsidR="008B4EC5" w:rsidRPr="75797A66">
        <w:rPr>
          <w:noProof/>
          <w:lang w:val="en-US"/>
        </w:rPr>
        <w:t>State aid</w:t>
      </w:r>
      <w:r w:rsidRPr="75797A66">
        <w:rPr>
          <w:noProof/>
          <w:lang w:val="en-US"/>
        </w:rPr>
        <w:t xml:space="preserve"> for climate, environmental protection and energy (CEEAG)</w:t>
      </w:r>
      <w:r w:rsidRPr="75797A66">
        <w:rPr>
          <w:rStyle w:val="FootnoteReference"/>
          <w:noProof/>
          <w:lang w:val="en-US"/>
        </w:rPr>
        <w:footnoteReference w:id="42"/>
      </w:r>
      <w:r w:rsidRPr="75797A66">
        <w:rPr>
          <w:noProof/>
          <w:lang w:val="en-US"/>
        </w:rPr>
        <w:t xml:space="preserve"> and the Clean Industrial Deal State Aid Framework (CISAF)</w:t>
      </w:r>
      <w:r w:rsidRPr="75797A66">
        <w:rPr>
          <w:rStyle w:val="FootnoteReference"/>
          <w:noProof/>
          <w:lang w:val="en-US"/>
        </w:rPr>
        <w:footnoteReference w:id="43"/>
      </w:r>
      <w:r w:rsidRPr="75797A66">
        <w:rPr>
          <w:noProof/>
          <w:lang w:val="en-US"/>
        </w:rPr>
        <w:t xml:space="preserve">. Such State aid measures may </w:t>
      </w:r>
      <w:r>
        <w:rPr>
          <w:noProof/>
          <w:lang w:val="en-US"/>
        </w:rPr>
        <w:t>also</w:t>
      </w:r>
      <w:r w:rsidRPr="75797A66">
        <w:rPr>
          <w:noProof/>
          <w:lang w:val="en-US"/>
        </w:rPr>
        <w:t xml:space="preserve"> provide support for the additional expenditure related to the connection to the electricity grid or to the extension of a pre-existing electricity grid connection, including both upfront costs, for example “last-mile” grid connection, and yearly costs, i.e. regular grid tariff, while preserving incentives provided to system users to choose their location and adjust their consumption to lower the overall costs of the transmission and distribution systems</w:t>
      </w:r>
      <w:r w:rsidR="007353F6" w:rsidRPr="75797A66">
        <w:rPr>
          <w:noProof/>
          <w:lang w:val="en-US"/>
        </w:rPr>
        <w:t>,</w:t>
      </w:r>
    </w:p>
    <w:p w:rsidR="000324F9" w:rsidRDefault="00443040">
      <w:pPr>
        <w:pStyle w:val="Formuledadoption"/>
        <w:rPr>
          <w:noProof/>
        </w:rPr>
      </w:pPr>
      <w:r w:rsidRPr="00F96E01">
        <w:rPr>
          <w:noProof/>
        </w:rPr>
        <w:t>HAVE ADOPTED THIS REGULATION:</w:t>
      </w:r>
    </w:p>
    <w:p w:rsidR="000324F9" w:rsidRDefault="000324F9">
      <w:pPr>
        <w:spacing w:before="0" w:after="200" w:line="276" w:lineRule="auto"/>
        <w:jc w:val="left"/>
        <w:rPr>
          <w:noProof/>
        </w:rPr>
      </w:pPr>
      <w:r>
        <w:rPr>
          <w:noProof/>
        </w:rPr>
        <w:br w:type="page"/>
      </w:r>
    </w:p>
    <w:p w:rsidR="00443040" w:rsidRPr="00F96E01" w:rsidRDefault="00443040">
      <w:pPr>
        <w:pStyle w:val="Titrearticle"/>
        <w:rPr>
          <w:noProof/>
        </w:rPr>
      </w:pPr>
      <w:r w:rsidRPr="00F96E01">
        <w:rPr>
          <w:noProof/>
        </w:rPr>
        <w:t>Article 1</w:t>
      </w:r>
    </w:p>
    <w:p w:rsidR="00580E78" w:rsidRPr="00E25B6D" w:rsidRDefault="00580E78" w:rsidP="00E25B6D">
      <w:pPr>
        <w:rPr>
          <w:noProof/>
        </w:rPr>
      </w:pPr>
      <w:r w:rsidRPr="00851B85">
        <w:rPr>
          <w:noProof/>
        </w:rPr>
        <w:t xml:space="preserve">Regulation (EU) 2019/943 is amended as follows: </w:t>
      </w:r>
    </w:p>
    <w:p w:rsidR="00580E78" w:rsidRPr="00C57266" w:rsidRDefault="00564E31" w:rsidP="00F41CBA">
      <w:pPr>
        <w:rPr>
          <w:noProof/>
          <w:lang w:val="en-IE"/>
        </w:rPr>
      </w:pPr>
      <w:r w:rsidRPr="00851B85">
        <w:rPr>
          <w:rFonts w:eastAsia="Times New Roman"/>
          <w:noProof/>
          <w:lang w:val="en-IE"/>
        </w:rPr>
        <w:t>(1)</w:t>
      </w:r>
      <w:r>
        <w:rPr>
          <w:rFonts w:eastAsia="Times New Roman"/>
          <w:noProof/>
          <w:lang w:val="en-IE"/>
        </w:rPr>
        <w:t xml:space="preserve"> </w:t>
      </w:r>
      <w:r w:rsidR="00580E78" w:rsidRPr="00C57266">
        <w:rPr>
          <w:noProof/>
          <w:lang w:val="en-IE"/>
        </w:rPr>
        <w:t>Article 18 is replaced by the following:</w:t>
      </w:r>
    </w:p>
    <w:p w:rsidR="00467775" w:rsidRPr="00864F43" w:rsidRDefault="00467775" w:rsidP="00563A43">
      <w:pPr>
        <w:pStyle w:val="Titrearticle"/>
        <w:rPr>
          <w:noProof/>
        </w:rPr>
      </w:pPr>
      <w:r>
        <w:rPr>
          <w:noProof/>
        </w:rPr>
        <w:t>‘</w:t>
      </w:r>
      <w:r w:rsidRPr="00A96757">
        <w:rPr>
          <w:noProof/>
        </w:rPr>
        <w:t>Article 18</w:t>
      </w:r>
    </w:p>
    <w:p w:rsidR="00564E31" w:rsidRPr="008F381E" w:rsidRDefault="00564E31" w:rsidP="005E38A1">
      <w:pPr>
        <w:ind w:firstLine="283"/>
        <w:jc w:val="center"/>
        <w:rPr>
          <w:b/>
          <w:bCs/>
          <w:noProof/>
        </w:rPr>
      </w:pPr>
      <w:r w:rsidRPr="008F381E">
        <w:rPr>
          <w:b/>
          <w:bCs/>
          <w:noProof/>
        </w:rPr>
        <w:t>Network charges</w:t>
      </w:r>
    </w:p>
    <w:p w:rsidR="00564E31" w:rsidRDefault="00564E31" w:rsidP="00263AE0">
      <w:pPr>
        <w:pStyle w:val="ManualNumPar1"/>
        <w:ind w:hanging="283"/>
        <w:rPr>
          <w:noProof/>
        </w:rPr>
      </w:pPr>
      <w:r>
        <w:rPr>
          <w:noProof/>
        </w:rPr>
        <w:t>1.</w:t>
      </w:r>
      <w:r>
        <w:rPr>
          <w:noProof/>
        </w:rPr>
        <w:tab/>
      </w:r>
      <w:r w:rsidRPr="2582595B">
        <w:rPr>
          <w:noProof/>
        </w:rPr>
        <w:t>Network charges shall be cost-reflective, transparent and non-discriminatory, shall provide incentives to system operators to develop and operate the transmission and distribution networks in a cost-efficient way</w:t>
      </w:r>
      <w:r w:rsidR="00594FB2">
        <w:rPr>
          <w:noProof/>
        </w:rPr>
        <w:t>,</w:t>
      </w:r>
      <w:r w:rsidRPr="2582595B">
        <w:rPr>
          <w:noProof/>
        </w:rPr>
        <w:t xml:space="preserve"> and shall provide incentives to system users to adjust their use of the electricity system to support its cost-efficient functioning. </w:t>
      </w:r>
    </w:p>
    <w:p w:rsidR="00564E31" w:rsidRPr="00D92D77" w:rsidRDefault="00564E31" w:rsidP="00263AE0">
      <w:pPr>
        <w:pStyle w:val="ManualNumPar1"/>
        <w:ind w:hanging="283"/>
        <w:rPr>
          <w:noProof/>
          <w:szCs w:val="24"/>
        </w:rPr>
      </w:pPr>
      <w:r>
        <w:rPr>
          <w:noProof/>
        </w:rPr>
        <w:t>2.</w:t>
      </w:r>
      <w:r>
        <w:rPr>
          <w:noProof/>
        </w:rPr>
        <w:tab/>
      </w:r>
      <w:r w:rsidRPr="65A46ED6">
        <w:rPr>
          <w:noProof/>
          <w:szCs w:val="24"/>
        </w:rPr>
        <w:t xml:space="preserve">Tariff </w:t>
      </w:r>
      <w:r w:rsidRPr="00A83ECB">
        <w:rPr>
          <w:noProof/>
        </w:rPr>
        <w:t>methodologies</w:t>
      </w:r>
      <w:r w:rsidRPr="00861473">
        <w:rPr>
          <w:noProof/>
          <w:szCs w:val="24"/>
        </w:rPr>
        <w:t xml:space="preserve"> shall include the design of network charges </w:t>
      </w:r>
      <w:r>
        <w:rPr>
          <w:noProof/>
          <w:szCs w:val="24"/>
        </w:rPr>
        <w:t>applied to system users</w:t>
      </w:r>
      <w:r w:rsidRPr="00861473">
        <w:rPr>
          <w:noProof/>
          <w:szCs w:val="24"/>
        </w:rPr>
        <w:t xml:space="preserve"> and the determination of the remuneration that transmission and distribution system operators receive through those network charges. They</w:t>
      </w:r>
      <w:r>
        <w:rPr>
          <w:noProof/>
          <w:szCs w:val="24"/>
        </w:rPr>
        <w:t xml:space="preserve"> </w:t>
      </w:r>
      <w:r w:rsidRPr="65A46ED6">
        <w:rPr>
          <w:noProof/>
          <w:szCs w:val="24"/>
        </w:rPr>
        <w:t>shall:</w:t>
      </w:r>
    </w:p>
    <w:p w:rsidR="00564E31" w:rsidRDefault="00564E31" w:rsidP="00263AE0">
      <w:pPr>
        <w:pStyle w:val="Point0"/>
        <w:ind w:left="1418" w:hanging="567"/>
        <w:rPr>
          <w:noProof/>
        </w:rPr>
      </w:pPr>
      <w:r>
        <w:rPr>
          <w:noProof/>
        </w:rPr>
        <w:t>(a)</w:t>
      </w:r>
      <w:r>
        <w:rPr>
          <w:noProof/>
        </w:rPr>
        <w:tab/>
        <w:t>reflect the costs of transmission and distribution system operators, insofar as those costs correspond to those of an efficient and structurally comparable system operator</w:t>
      </w:r>
      <w:r w:rsidR="00FE2755">
        <w:rPr>
          <w:noProof/>
        </w:rPr>
        <w:t xml:space="preserve">, considering </w:t>
      </w:r>
      <w:r>
        <w:rPr>
          <w:noProof/>
        </w:rPr>
        <w:t xml:space="preserve">both capital and operational expenditure, including costs related to anticipatory investment, </w:t>
      </w:r>
      <w:r w:rsidR="00FE2755">
        <w:rPr>
          <w:noProof/>
        </w:rPr>
        <w:t xml:space="preserve">but not </w:t>
      </w:r>
      <w:r>
        <w:rPr>
          <w:noProof/>
        </w:rPr>
        <w:t xml:space="preserve">costs supporting unrelated policy objectives. Regulatory authorities shall set </w:t>
      </w:r>
      <w:r w:rsidR="005B2FF0">
        <w:rPr>
          <w:noProof/>
        </w:rPr>
        <w:t xml:space="preserve">common </w:t>
      </w:r>
      <w:r>
        <w:rPr>
          <w:noProof/>
        </w:rPr>
        <w:t xml:space="preserve">performance indicators as regards the efficient operation and development of the network, including smart </w:t>
      </w:r>
      <w:r w:rsidR="004A3EE6">
        <w:rPr>
          <w:noProof/>
        </w:rPr>
        <w:t xml:space="preserve">electricity </w:t>
      </w:r>
      <w:r>
        <w:rPr>
          <w:noProof/>
        </w:rPr>
        <w:t xml:space="preserve">grid indicators in accordance with Article 18a; </w:t>
      </w:r>
    </w:p>
    <w:p w:rsidR="00564E31" w:rsidRDefault="00564E31" w:rsidP="00263AE0">
      <w:pPr>
        <w:pStyle w:val="Point0"/>
        <w:ind w:left="1418" w:hanging="567"/>
        <w:rPr>
          <w:noProof/>
          <w:szCs w:val="24"/>
        </w:rPr>
      </w:pPr>
      <w:r>
        <w:rPr>
          <w:noProof/>
        </w:rPr>
        <w:t>(b)</w:t>
      </w:r>
      <w:r>
        <w:rPr>
          <w:noProof/>
        </w:rPr>
        <w:tab/>
      </w:r>
      <w:r w:rsidRPr="00580E78">
        <w:rPr>
          <w:noProof/>
          <w:szCs w:val="24"/>
        </w:rPr>
        <w:t xml:space="preserve">take </w:t>
      </w:r>
      <w:r w:rsidRPr="00A83ECB">
        <w:rPr>
          <w:noProof/>
        </w:rPr>
        <w:t>account</w:t>
      </w:r>
      <w:r w:rsidRPr="00580E78">
        <w:rPr>
          <w:noProof/>
          <w:szCs w:val="24"/>
        </w:rPr>
        <w:t xml:space="preserve"> of the payments and receipts resulting from the inter-transmission system operator compensation mechanism, including actual payments made and received as well as payments expected for future periods, estimated on the basis of previous periods;</w:t>
      </w:r>
    </w:p>
    <w:p w:rsidR="00564E31" w:rsidRPr="00906654" w:rsidRDefault="00564E31" w:rsidP="00906654">
      <w:pPr>
        <w:pStyle w:val="Point0"/>
        <w:ind w:left="1418" w:hanging="567"/>
        <w:rPr>
          <w:i/>
          <w:noProof/>
        </w:rPr>
      </w:pPr>
      <w:r>
        <w:rPr>
          <w:noProof/>
        </w:rPr>
        <w:t>(c)</w:t>
      </w:r>
      <w:r>
        <w:rPr>
          <w:noProof/>
        </w:rPr>
        <w:tab/>
        <w:t xml:space="preserve">provide </w:t>
      </w:r>
      <w:r w:rsidRPr="00A83ECB">
        <w:rPr>
          <w:noProof/>
        </w:rPr>
        <w:t>appropriate</w:t>
      </w:r>
      <w:r>
        <w:rPr>
          <w:noProof/>
        </w:rPr>
        <w:t xml:space="preserve"> incentives to transmission and distribution system operators for the cost-efficient operation and development of the network over both the short and long term and for the optimisation of the existing grids</w:t>
      </w:r>
      <w:r w:rsidR="4F2AE56C">
        <w:rPr>
          <w:noProof/>
        </w:rPr>
        <w:t xml:space="preserve"> across all voltage levels</w:t>
      </w:r>
      <w:r>
        <w:rPr>
          <w:noProof/>
        </w:rPr>
        <w:t xml:space="preserve">, </w:t>
      </w:r>
      <w:r w:rsidR="004A265B">
        <w:rPr>
          <w:noProof/>
        </w:rPr>
        <w:t xml:space="preserve">inter alia </w:t>
      </w:r>
      <w:r>
        <w:rPr>
          <w:noProof/>
        </w:rPr>
        <w:t xml:space="preserve">through the use of flexibility services, the deployment of non-wire and digital solutions, </w:t>
      </w:r>
      <w:r w:rsidR="0044498A">
        <w:rPr>
          <w:noProof/>
        </w:rPr>
        <w:t>smart electricity grids</w:t>
      </w:r>
      <w:r>
        <w:rPr>
          <w:noProof/>
        </w:rPr>
        <w:t xml:space="preserve"> and smart metering systems</w:t>
      </w:r>
      <w:r w:rsidR="004A265B">
        <w:rPr>
          <w:noProof/>
        </w:rPr>
        <w:t xml:space="preserve">, including </w:t>
      </w:r>
      <w:r>
        <w:rPr>
          <w:noProof/>
        </w:rPr>
        <w:t>incentives to reach the minimum levels of available capacity for cross-zonal trades set out in Article 16(8);</w:t>
      </w:r>
    </w:p>
    <w:p w:rsidR="00564E31" w:rsidRPr="00580E78" w:rsidRDefault="00564E31" w:rsidP="00263AE0">
      <w:pPr>
        <w:pStyle w:val="Point0"/>
        <w:ind w:left="1418" w:hanging="567"/>
        <w:rPr>
          <w:i/>
          <w:iCs/>
          <w:noProof/>
          <w:szCs w:val="24"/>
        </w:rPr>
      </w:pPr>
      <w:r>
        <w:rPr>
          <w:noProof/>
        </w:rPr>
        <w:t>(d)</w:t>
      </w:r>
      <w:r>
        <w:rPr>
          <w:noProof/>
        </w:rPr>
        <w:tab/>
      </w:r>
      <w:r w:rsidRPr="00F42C05">
        <w:rPr>
          <w:noProof/>
        </w:rPr>
        <w:t>reflect</w:t>
      </w:r>
      <w:r w:rsidRPr="00580E78">
        <w:rPr>
          <w:noProof/>
          <w:szCs w:val="24"/>
        </w:rPr>
        <w:t xml:space="preserve"> the </w:t>
      </w:r>
      <w:r w:rsidRPr="00A83ECB">
        <w:rPr>
          <w:noProof/>
        </w:rPr>
        <w:t>costs</w:t>
      </w:r>
      <w:r w:rsidRPr="00580E78">
        <w:rPr>
          <w:noProof/>
          <w:szCs w:val="24"/>
        </w:rPr>
        <w:t xml:space="preserve"> created by system users which withdraw </w:t>
      </w:r>
      <w:r>
        <w:rPr>
          <w:noProof/>
          <w:szCs w:val="24"/>
        </w:rPr>
        <w:t xml:space="preserve">electricity </w:t>
      </w:r>
      <w:r w:rsidRPr="00580E78">
        <w:rPr>
          <w:noProof/>
          <w:szCs w:val="24"/>
        </w:rPr>
        <w:t xml:space="preserve">from and inject </w:t>
      </w:r>
      <w:r>
        <w:rPr>
          <w:noProof/>
          <w:szCs w:val="24"/>
        </w:rPr>
        <w:t xml:space="preserve">electricity </w:t>
      </w:r>
      <w:r w:rsidRPr="00580E78">
        <w:rPr>
          <w:noProof/>
          <w:szCs w:val="24"/>
        </w:rPr>
        <w:t xml:space="preserve">into the transmission or distribution networks; </w:t>
      </w:r>
    </w:p>
    <w:p w:rsidR="00564E31" w:rsidRPr="00580E78" w:rsidRDefault="00564E31" w:rsidP="00263AE0">
      <w:pPr>
        <w:pStyle w:val="Point0"/>
        <w:ind w:left="1418" w:hanging="567"/>
        <w:rPr>
          <w:noProof/>
          <w:szCs w:val="24"/>
        </w:rPr>
      </w:pPr>
      <w:r>
        <w:rPr>
          <w:noProof/>
        </w:rPr>
        <w:t>(e)</w:t>
      </w:r>
      <w:r>
        <w:rPr>
          <w:noProof/>
        </w:rPr>
        <w:tab/>
      </w:r>
      <w:r w:rsidRPr="00F42C05">
        <w:rPr>
          <w:noProof/>
        </w:rPr>
        <w:t>provide</w:t>
      </w:r>
      <w:r w:rsidRPr="00580E78">
        <w:rPr>
          <w:noProof/>
          <w:szCs w:val="24"/>
        </w:rPr>
        <w:t xml:space="preserve"> </w:t>
      </w:r>
      <w:r w:rsidRPr="00A83ECB">
        <w:rPr>
          <w:noProof/>
        </w:rPr>
        <w:t>appropriate</w:t>
      </w:r>
      <w:r w:rsidRPr="00580E78">
        <w:rPr>
          <w:noProof/>
          <w:szCs w:val="24"/>
        </w:rPr>
        <w:t xml:space="preserve"> incentives to system users to withdraw electricity </w:t>
      </w:r>
      <w:r>
        <w:rPr>
          <w:noProof/>
          <w:szCs w:val="24"/>
        </w:rPr>
        <w:t>from and inject electricity in</w:t>
      </w:r>
      <w:r w:rsidRPr="00580E78">
        <w:rPr>
          <w:noProof/>
          <w:szCs w:val="24"/>
        </w:rPr>
        <w:t>to the transmission or distribution networks in a way which supports the efficient functioning of the</w:t>
      </w:r>
      <w:r>
        <w:rPr>
          <w:noProof/>
          <w:szCs w:val="24"/>
        </w:rPr>
        <w:t>se</w:t>
      </w:r>
      <w:r w:rsidRPr="00580E78">
        <w:rPr>
          <w:noProof/>
          <w:szCs w:val="24"/>
        </w:rPr>
        <w:t xml:space="preserve"> network</w:t>
      </w:r>
      <w:r>
        <w:rPr>
          <w:noProof/>
          <w:szCs w:val="24"/>
        </w:rPr>
        <w:t>s</w:t>
      </w:r>
      <w:r w:rsidRPr="00580E78">
        <w:rPr>
          <w:iCs/>
          <w:noProof/>
          <w:szCs w:val="24"/>
        </w:rPr>
        <w:t>;</w:t>
      </w:r>
    </w:p>
    <w:p w:rsidR="00564E31" w:rsidRPr="00580E78" w:rsidRDefault="00564E31" w:rsidP="00263AE0">
      <w:pPr>
        <w:pStyle w:val="Point0"/>
        <w:ind w:left="1418" w:hanging="567"/>
        <w:rPr>
          <w:noProof/>
          <w:szCs w:val="24"/>
        </w:rPr>
      </w:pPr>
      <w:r>
        <w:rPr>
          <w:noProof/>
        </w:rPr>
        <w:t>(f)</w:t>
      </w:r>
      <w:r>
        <w:rPr>
          <w:noProof/>
        </w:rPr>
        <w:tab/>
      </w:r>
      <w:r w:rsidRPr="00F42C05">
        <w:rPr>
          <w:noProof/>
        </w:rPr>
        <w:t>provide</w:t>
      </w:r>
      <w:r w:rsidRPr="00580E78" w:rsidDel="00E34014">
        <w:rPr>
          <w:noProof/>
          <w:szCs w:val="24"/>
        </w:rPr>
        <w:t xml:space="preserve"> </w:t>
      </w:r>
      <w:r w:rsidRPr="00A83ECB">
        <w:rPr>
          <w:noProof/>
        </w:rPr>
        <w:t>locational</w:t>
      </w:r>
      <w:r w:rsidRPr="008356EE">
        <w:rPr>
          <w:noProof/>
          <w:szCs w:val="24"/>
        </w:rPr>
        <w:t xml:space="preserve"> investment signals</w:t>
      </w:r>
      <w:r w:rsidRPr="00580E78">
        <w:rPr>
          <w:noProof/>
          <w:szCs w:val="24"/>
        </w:rPr>
        <w:t>;</w:t>
      </w:r>
    </w:p>
    <w:p w:rsidR="00564E31" w:rsidRPr="00580E78" w:rsidRDefault="00564E31" w:rsidP="00263AE0">
      <w:pPr>
        <w:pStyle w:val="Point0"/>
        <w:ind w:left="1418" w:hanging="567"/>
        <w:rPr>
          <w:i/>
          <w:noProof/>
          <w:szCs w:val="24"/>
        </w:rPr>
      </w:pPr>
      <w:r>
        <w:rPr>
          <w:noProof/>
        </w:rPr>
        <w:t>(g)</w:t>
      </w:r>
      <w:r>
        <w:rPr>
          <w:noProof/>
        </w:rPr>
        <w:tab/>
      </w:r>
      <w:r w:rsidRPr="00F42C05">
        <w:rPr>
          <w:noProof/>
        </w:rPr>
        <w:t>provide</w:t>
      </w:r>
      <w:r w:rsidRPr="00580E78">
        <w:rPr>
          <w:noProof/>
          <w:szCs w:val="24"/>
        </w:rPr>
        <w:t xml:space="preserve"> </w:t>
      </w:r>
      <w:r w:rsidRPr="00A83ECB">
        <w:rPr>
          <w:noProof/>
        </w:rPr>
        <w:t>appropriate</w:t>
      </w:r>
      <w:r w:rsidRPr="00580E78">
        <w:rPr>
          <w:noProof/>
          <w:szCs w:val="24"/>
        </w:rPr>
        <w:t xml:space="preserve"> incentives to system users for the reduction of peak load consumption, </w:t>
      </w:r>
      <w:r>
        <w:rPr>
          <w:noProof/>
          <w:szCs w:val="24"/>
        </w:rPr>
        <w:t>including</w:t>
      </w:r>
      <w:r w:rsidRPr="00580E78">
        <w:rPr>
          <w:noProof/>
          <w:szCs w:val="24"/>
        </w:rPr>
        <w:t xml:space="preserve"> through adding a capacity element to the tariff structure;</w:t>
      </w:r>
      <w:r w:rsidRPr="00580E78">
        <w:rPr>
          <w:i/>
          <w:iCs/>
          <w:noProof/>
          <w:szCs w:val="24"/>
        </w:rPr>
        <w:t xml:space="preserve"> </w:t>
      </w:r>
    </w:p>
    <w:p w:rsidR="00564E31" w:rsidRPr="00580E78" w:rsidRDefault="00564E31" w:rsidP="00263AE0">
      <w:pPr>
        <w:pStyle w:val="Point0"/>
        <w:ind w:left="1418" w:hanging="567"/>
        <w:rPr>
          <w:i/>
          <w:iCs/>
          <w:noProof/>
          <w:szCs w:val="24"/>
        </w:rPr>
      </w:pPr>
      <w:r>
        <w:rPr>
          <w:noProof/>
        </w:rPr>
        <w:t>(h)</w:t>
      </w:r>
      <w:r>
        <w:rPr>
          <w:noProof/>
        </w:rPr>
        <w:tab/>
      </w:r>
      <w:r w:rsidRPr="00F42C05">
        <w:rPr>
          <w:noProof/>
        </w:rPr>
        <w:t>contain</w:t>
      </w:r>
      <w:r w:rsidRPr="00580E78" w:rsidDel="00A750AE">
        <w:rPr>
          <w:noProof/>
          <w:szCs w:val="24"/>
        </w:rPr>
        <w:t xml:space="preserve"> </w:t>
      </w:r>
      <w:r w:rsidRPr="00580E78">
        <w:rPr>
          <w:noProof/>
          <w:szCs w:val="24"/>
        </w:rPr>
        <w:t>time-</w:t>
      </w:r>
      <w:r w:rsidRPr="00A83ECB">
        <w:rPr>
          <w:noProof/>
        </w:rPr>
        <w:t>of</w:t>
      </w:r>
      <w:r w:rsidRPr="00580E78">
        <w:rPr>
          <w:noProof/>
          <w:szCs w:val="24"/>
        </w:rPr>
        <w:t>-use elements to reflect the use of the network;</w:t>
      </w:r>
    </w:p>
    <w:p w:rsidR="00564E31" w:rsidRPr="00580E78" w:rsidRDefault="00564E31" w:rsidP="00263AE0">
      <w:pPr>
        <w:pStyle w:val="Point0"/>
        <w:ind w:left="1418" w:hanging="567"/>
        <w:rPr>
          <w:noProof/>
          <w:szCs w:val="24"/>
        </w:rPr>
      </w:pPr>
      <w:r>
        <w:rPr>
          <w:noProof/>
        </w:rPr>
        <w:t>(i)</w:t>
      </w:r>
      <w:r>
        <w:rPr>
          <w:noProof/>
        </w:rPr>
        <w:tab/>
      </w:r>
      <w:r w:rsidRPr="00580E78">
        <w:rPr>
          <w:noProof/>
          <w:szCs w:val="24"/>
        </w:rPr>
        <w:t xml:space="preserve">not </w:t>
      </w:r>
      <w:r w:rsidRPr="00F42C05">
        <w:rPr>
          <w:noProof/>
        </w:rPr>
        <w:t>discriminate</w:t>
      </w:r>
      <w:r w:rsidRPr="00580E78">
        <w:rPr>
          <w:noProof/>
          <w:szCs w:val="24"/>
        </w:rPr>
        <w:t xml:space="preserve"> between system users connected at the distribution level and system users connected at the transmission level;</w:t>
      </w:r>
    </w:p>
    <w:p w:rsidR="00564E31" w:rsidRPr="00580E78" w:rsidRDefault="00564E31" w:rsidP="00263AE0">
      <w:pPr>
        <w:pStyle w:val="Point0"/>
        <w:ind w:left="1418" w:hanging="567"/>
        <w:rPr>
          <w:noProof/>
        </w:rPr>
      </w:pPr>
      <w:r>
        <w:rPr>
          <w:noProof/>
        </w:rPr>
        <w:t>(j)</w:t>
      </w:r>
      <w:r>
        <w:rPr>
          <w:noProof/>
        </w:rPr>
        <w:tab/>
        <w:t>not disincentivise effective and timely third-party access, aggregation, energy communities, self-generation, self-consumption, storage or the participation in demand response;</w:t>
      </w:r>
    </w:p>
    <w:p w:rsidR="00564E31" w:rsidRPr="00580E78" w:rsidRDefault="00564E31" w:rsidP="00263AE0">
      <w:pPr>
        <w:pStyle w:val="Point0"/>
        <w:ind w:left="1418" w:hanging="567"/>
        <w:rPr>
          <w:noProof/>
          <w:szCs w:val="24"/>
        </w:rPr>
      </w:pPr>
      <w:r>
        <w:rPr>
          <w:noProof/>
        </w:rPr>
        <w:t>(k)</w:t>
      </w:r>
      <w:r>
        <w:rPr>
          <w:noProof/>
        </w:rPr>
        <w:tab/>
      </w:r>
      <w:r w:rsidRPr="00580E78">
        <w:rPr>
          <w:noProof/>
          <w:szCs w:val="24"/>
        </w:rPr>
        <w:t xml:space="preserve">enable the </w:t>
      </w:r>
      <w:r w:rsidRPr="00A83ECB">
        <w:rPr>
          <w:noProof/>
        </w:rPr>
        <w:t>integration</w:t>
      </w:r>
      <w:r w:rsidRPr="00580E78">
        <w:rPr>
          <w:noProof/>
          <w:szCs w:val="24"/>
        </w:rPr>
        <w:t xml:space="preserve"> of renewable energy through the development and facilitation of non-fossil-flexibility such as storage and demand response, as well as innovation, non-wire solutions, </w:t>
      </w:r>
      <w:r w:rsidR="0044498A">
        <w:rPr>
          <w:noProof/>
          <w:szCs w:val="24"/>
        </w:rPr>
        <w:t>smart electricity grids</w:t>
      </w:r>
      <w:r w:rsidRPr="00580E78">
        <w:rPr>
          <w:noProof/>
          <w:szCs w:val="24"/>
        </w:rPr>
        <w:t xml:space="preserve"> and digitalisation;</w:t>
      </w:r>
    </w:p>
    <w:p w:rsidR="00564E31" w:rsidRPr="00580E78" w:rsidRDefault="00564E31" w:rsidP="00263AE0">
      <w:pPr>
        <w:pStyle w:val="Point0"/>
        <w:ind w:left="1418" w:hanging="567"/>
        <w:rPr>
          <w:noProof/>
          <w:szCs w:val="24"/>
        </w:rPr>
      </w:pPr>
      <w:r>
        <w:rPr>
          <w:noProof/>
        </w:rPr>
        <w:t>(l)</w:t>
      </w:r>
      <w:r>
        <w:rPr>
          <w:noProof/>
        </w:rPr>
        <w:tab/>
      </w:r>
      <w:r w:rsidRPr="00F42C05">
        <w:rPr>
          <w:noProof/>
        </w:rPr>
        <w:t>enable</w:t>
      </w:r>
      <w:r w:rsidRPr="00580E78">
        <w:rPr>
          <w:noProof/>
          <w:szCs w:val="24"/>
        </w:rPr>
        <w:t xml:space="preserve"> the use </w:t>
      </w:r>
      <w:r w:rsidRPr="00A83ECB">
        <w:rPr>
          <w:noProof/>
        </w:rPr>
        <w:t>of</w:t>
      </w:r>
      <w:r w:rsidRPr="00580E78">
        <w:rPr>
          <w:noProof/>
          <w:szCs w:val="24"/>
        </w:rPr>
        <w:t xml:space="preserve"> flexible connections, while ensuring this does not delay needed network reinforcements;</w:t>
      </w:r>
    </w:p>
    <w:p w:rsidR="00564E31" w:rsidRPr="00580E78" w:rsidRDefault="00564E31" w:rsidP="00263AE0">
      <w:pPr>
        <w:pStyle w:val="Point0"/>
        <w:ind w:left="1418" w:hanging="567"/>
        <w:rPr>
          <w:noProof/>
          <w:szCs w:val="24"/>
        </w:rPr>
      </w:pPr>
      <w:r>
        <w:rPr>
          <w:noProof/>
        </w:rPr>
        <w:t>(m)</w:t>
      </w:r>
      <w:r>
        <w:rPr>
          <w:noProof/>
        </w:rPr>
        <w:tab/>
      </w:r>
      <w:r w:rsidRPr="00580E78">
        <w:rPr>
          <w:noProof/>
          <w:szCs w:val="24"/>
        </w:rPr>
        <w:t xml:space="preserve">not impose </w:t>
      </w:r>
      <w:r w:rsidRPr="00A83ECB">
        <w:rPr>
          <w:noProof/>
        </w:rPr>
        <w:t>specific</w:t>
      </w:r>
      <w:r w:rsidRPr="00580E78">
        <w:rPr>
          <w:noProof/>
          <w:szCs w:val="24"/>
        </w:rPr>
        <w:t xml:space="preserve"> network charges on individual transactions for cross-zonal trading of electricity; </w:t>
      </w:r>
    </w:p>
    <w:p w:rsidR="00564E31" w:rsidRDefault="00564E31" w:rsidP="00263AE0">
      <w:pPr>
        <w:pStyle w:val="Point0"/>
        <w:ind w:left="1418" w:hanging="567"/>
        <w:rPr>
          <w:noProof/>
          <w:szCs w:val="24"/>
        </w:rPr>
      </w:pPr>
      <w:r>
        <w:rPr>
          <w:noProof/>
        </w:rPr>
        <w:t>(n)</w:t>
      </w:r>
      <w:r>
        <w:rPr>
          <w:noProof/>
        </w:rPr>
        <w:tab/>
      </w:r>
      <w:r w:rsidRPr="00580E78">
        <w:rPr>
          <w:noProof/>
          <w:szCs w:val="24"/>
        </w:rPr>
        <w:t xml:space="preserve">ensure that </w:t>
      </w:r>
      <w:r w:rsidRPr="00A83ECB">
        <w:rPr>
          <w:noProof/>
        </w:rPr>
        <w:t>network</w:t>
      </w:r>
      <w:r w:rsidRPr="00580E78">
        <w:rPr>
          <w:noProof/>
          <w:szCs w:val="24"/>
        </w:rPr>
        <w:t xml:space="preserve"> charges applicable to storage installations reflect </w:t>
      </w:r>
      <w:r>
        <w:rPr>
          <w:noProof/>
          <w:szCs w:val="24"/>
        </w:rPr>
        <w:t xml:space="preserve">any benefits created for the network </w:t>
      </w:r>
      <w:r w:rsidRPr="00580E78">
        <w:rPr>
          <w:noProof/>
          <w:szCs w:val="24"/>
        </w:rPr>
        <w:t>and are limited to the cost</w:t>
      </w:r>
      <w:r>
        <w:rPr>
          <w:noProof/>
          <w:szCs w:val="24"/>
        </w:rPr>
        <w:t>s</w:t>
      </w:r>
      <w:r w:rsidRPr="00580E78">
        <w:rPr>
          <w:noProof/>
          <w:szCs w:val="24"/>
        </w:rPr>
        <w:t xml:space="preserve"> </w:t>
      </w:r>
      <w:r w:rsidR="00305EDF">
        <w:rPr>
          <w:noProof/>
          <w:szCs w:val="24"/>
        </w:rPr>
        <w:t>t</w:t>
      </w:r>
      <w:r w:rsidRPr="00580E78" w:rsidDel="00287B4C">
        <w:rPr>
          <w:noProof/>
          <w:szCs w:val="24"/>
        </w:rPr>
        <w:t>h</w:t>
      </w:r>
      <w:r w:rsidR="00305EDF">
        <w:rPr>
          <w:noProof/>
          <w:szCs w:val="24"/>
        </w:rPr>
        <w:t>at</w:t>
      </w:r>
      <w:r w:rsidRPr="00580E78">
        <w:rPr>
          <w:noProof/>
          <w:szCs w:val="24"/>
        </w:rPr>
        <w:t xml:space="preserve"> these installations create for the transmission or distribution networks</w:t>
      </w:r>
      <w:r w:rsidR="00CE3B87">
        <w:rPr>
          <w:noProof/>
          <w:szCs w:val="24"/>
        </w:rPr>
        <w:t>; and</w:t>
      </w:r>
    </w:p>
    <w:p w:rsidR="00FE2755" w:rsidRPr="004A265B" w:rsidRDefault="00FE2755" w:rsidP="008F381E">
      <w:pPr>
        <w:ind w:left="851"/>
        <w:rPr>
          <w:noProof/>
        </w:rPr>
      </w:pPr>
    </w:p>
    <w:p w:rsidR="00564E31" w:rsidRPr="00D92D77" w:rsidRDefault="00564E31" w:rsidP="00263AE0">
      <w:pPr>
        <w:pStyle w:val="ManualNumPar1"/>
        <w:ind w:hanging="283"/>
        <w:rPr>
          <w:noProof/>
        </w:rPr>
      </w:pPr>
      <w:r>
        <w:rPr>
          <w:noProof/>
        </w:rPr>
        <w:t>3.</w:t>
      </w:r>
      <w:r>
        <w:rPr>
          <w:noProof/>
        </w:rPr>
        <w:tab/>
      </w:r>
      <w:r w:rsidRPr="007B25B4">
        <w:rPr>
          <w:noProof/>
        </w:rPr>
        <w:t xml:space="preserve">Special tariff regimes </w:t>
      </w:r>
      <w:r w:rsidRPr="007B25B4">
        <w:rPr>
          <w:noProof/>
          <w:szCs w:val="24"/>
        </w:rPr>
        <w:t>may</w:t>
      </w:r>
      <w:r w:rsidRPr="007B25B4">
        <w:rPr>
          <w:noProof/>
        </w:rPr>
        <w:t xml:space="preserve"> apply to specific categories of system users, such as energy</w:t>
      </w:r>
      <w:r w:rsidR="00447C8B" w:rsidRPr="007B25B4">
        <w:rPr>
          <w:noProof/>
        </w:rPr>
        <w:t>-</w:t>
      </w:r>
      <w:r w:rsidRPr="007B25B4">
        <w:rPr>
          <w:noProof/>
        </w:rPr>
        <w:t>intensive industr</w:t>
      </w:r>
      <w:r w:rsidR="00447C8B" w:rsidRPr="007B25B4">
        <w:rPr>
          <w:noProof/>
        </w:rPr>
        <w:t>ies</w:t>
      </w:r>
      <w:r w:rsidRPr="007B25B4">
        <w:rPr>
          <w:noProof/>
        </w:rPr>
        <w:t xml:space="preserve"> </w:t>
      </w:r>
      <w:r w:rsidR="00AC69C2">
        <w:rPr>
          <w:noProof/>
        </w:rPr>
        <w:t>or data cent</w:t>
      </w:r>
      <w:r w:rsidR="00962DF6">
        <w:rPr>
          <w:noProof/>
        </w:rPr>
        <w:t>res</w:t>
      </w:r>
      <w:r w:rsidR="004059FF">
        <w:rPr>
          <w:noProof/>
        </w:rPr>
        <w:t xml:space="preserve"> </w:t>
      </w:r>
      <w:r w:rsidRPr="007B25B4">
        <w:rPr>
          <w:noProof/>
        </w:rPr>
        <w:t xml:space="preserve">and energy communities, provided that the regulatory authorities can demonstrate that the consumption </w:t>
      </w:r>
      <w:r w:rsidR="00AA086B" w:rsidRPr="007B25B4">
        <w:rPr>
          <w:noProof/>
        </w:rPr>
        <w:t xml:space="preserve">profile </w:t>
      </w:r>
      <w:r w:rsidRPr="007B25B4">
        <w:rPr>
          <w:noProof/>
        </w:rPr>
        <w:t>of the</w:t>
      </w:r>
      <w:r>
        <w:rPr>
          <w:noProof/>
        </w:rPr>
        <w:t xml:space="preserve"> users in question has a proportionally lower or higher impact on the overall cost of the transmission or distribution network and that the principle of cost-reflectivity is respected. </w:t>
      </w:r>
      <w:r w:rsidR="003E2DF5">
        <w:rPr>
          <w:noProof/>
        </w:rPr>
        <w:t xml:space="preserve"> </w:t>
      </w:r>
      <w:r>
        <w:rPr>
          <w:noProof/>
        </w:rPr>
        <w:t xml:space="preserve">  </w:t>
      </w:r>
    </w:p>
    <w:p w:rsidR="00564E31" w:rsidRDefault="00564E31" w:rsidP="00263AE0">
      <w:pPr>
        <w:pStyle w:val="ManualNumPar1"/>
        <w:ind w:hanging="283"/>
        <w:rPr>
          <w:noProof/>
          <w:szCs w:val="24"/>
        </w:rPr>
      </w:pPr>
      <w:r>
        <w:rPr>
          <w:noProof/>
        </w:rPr>
        <w:t>4.</w:t>
      </w:r>
      <w:r>
        <w:rPr>
          <w:noProof/>
        </w:rPr>
        <w:tab/>
      </w:r>
      <w:bookmarkStart w:id="39" w:name="_Hlk229065395"/>
      <w:r w:rsidRPr="00D92D77">
        <w:rPr>
          <w:noProof/>
          <w:szCs w:val="24"/>
        </w:rPr>
        <w:t xml:space="preserve">Member States may partially cover network costs through State funds to lower the overall amount of network charges </w:t>
      </w:r>
      <w:r w:rsidR="004553C5">
        <w:rPr>
          <w:noProof/>
          <w:szCs w:val="24"/>
        </w:rPr>
        <w:t>billed to</w:t>
      </w:r>
      <w:r w:rsidRPr="00D92D77">
        <w:rPr>
          <w:noProof/>
          <w:szCs w:val="24"/>
        </w:rPr>
        <w:t xml:space="preserve"> </w:t>
      </w:r>
      <w:r>
        <w:rPr>
          <w:noProof/>
          <w:szCs w:val="24"/>
        </w:rPr>
        <w:t>system users</w:t>
      </w:r>
      <w:r w:rsidRPr="00D92D77">
        <w:rPr>
          <w:noProof/>
          <w:szCs w:val="24"/>
        </w:rPr>
        <w:t xml:space="preserve"> provided that the following requirements are met: </w:t>
      </w:r>
    </w:p>
    <w:p w:rsidR="00564E31" w:rsidRDefault="00564E31" w:rsidP="00263AE0">
      <w:pPr>
        <w:pStyle w:val="Point0"/>
        <w:ind w:left="1418" w:hanging="567"/>
        <w:rPr>
          <w:noProof/>
        </w:rPr>
      </w:pPr>
      <w:r>
        <w:rPr>
          <w:noProof/>
        </w:rPr>
        <w:t>(a)</w:t>
      </w:r>
      <w:r>
        <w:rPr>
          <w:noProof/>
        </w:rPr>
        <w:tab/>
      </w:r>
      <w:r w:rsidRPr="00C737E2">
        <w:rPr>
          <w:noProof/>
        </w:rPr>
        <w:t xml:space="preserve">the State </w:t>
      </w:r>
      <w:r w:rsidRPr="002E5D9C">
        <w:rPr>
          <w:noProof/>
        </w:rPr>
        <w:t>fund</w:t>
      </w:r>
      <w:r w:rsidR="009D4988" w:rsidRPr="002E5D9C">
        <w:rPr>
          <w:noProof/>
        </w:rPr>
        <w:t>s</w:t>
      </w:r>
      <w:r w:rsidRPr="00D71526">
        <w:rPr>
          <w:noProof/>
        </w:rPr>
        <w:t xml:space="preserve"> </w:t>
      </w:r>
      <w:r w:rsidR="00837614" w:rsidRPr="00A30921">
        <w:rPr>
          <w:noProof/>
        </w:rPr>
        <w:t xml:space="preserve">to transmission </w:t>
      </w:r>
      <w:r w:rsidR="00D71526" w:rsidRPr="00A30921">
        <w:rPr>
          <w:noProof/>
        </w:rPr>
        <w:t xml:space="preserve">or distribution system operators </w:t>
      </w:r>
      <w:r w:rsidR="00927277" w:rsidRPr="002E5D9C">
        <w:rPr>
          <w:noProof/>
        </w:rPr>
        <w:t>are</w:t>
      </w:r>
      <w:r w:rsidRPr="00C737E2">
        <w:rPr>
          <w:noProof/>
        </w:rPr>
        <w:t xml:space="preserve"> provided in a non-discriminatory manner, without selectively favouring</w:t>
      </w:r>
      <w:r>
        <w:rPr>
          <w:noProof/>
        </w:rPr>
        <w:t>, directly or indirectly,</w:t>
      </w:r>
      <w:r w:rsidRPr="00C737E2">
        <w:rPr>
          <w:noProof/>
        </w:rPr>
        <w:t xml:space="preserve"> specific categories of system users;</w:t>
      </w:r>
    </w:p>
    <w:p w:rsidR="00564E31" w:rsidRPr="00C737E2" w:rsidRDefault="00564E31" w:rsidP="00263AE0">
      <w:pPr>
        <w:pStyle w:val="Point0"/>
        <w:ind w:left="1418" w:hanging="567"/>
        <w:rPr>
          <w:noProof/>
        </w:rPr>
      </w:pPr>
      <w:r>
        <w:rPr>
          <w:noProof/>
        </w:rPr>
        <w:t>(b)</w:t>
      </w:r>
      <w:r>
        <w:rPr>
          <w:noProof/>
        </w:rPr>
        <w:tab/>
        <w:t xml:space="preserve">the provision of State funds </w:t>
      </w:r>
      <w:r w:rsidR="009D4988" w:rsidRPr="00F921BE">
        <w:rPr>
          <w:noProof/>
        </w:rPr>
        <w:t>does</w:t>
      </w:r>
      <w:r w:rsidR="00F921BE">
        <w:rPr>
          <w:noProof/>
        </w:rPr>
        <w:t xml:space="preserve"> </w:t>
      </w:r>
      <w:r>
        <w:rPr>
          <w:noProof/>
        </w:rPr>
        <w:t xml:space="preserve">not undermine any incentives provided to system operators for the efficient operation and development of the network and to system users to adjust their consumption to lower the overall costs of the transmission and distribution systems; </w:t>
      </w:r>
    </w:p>
    <w:p w:rsidR="0031236B" w:rsidRPr="0031236B" w:rsidRDefault="00564E31" w:rsidP="00263AE0">
      <w:pPr>
        <w:pStyle w:val="Point0"/>
        <w:ind w:left="1418" w:hanging="567"/>
        <w:rPr>
          <w:noProof/>
        </w:rPr>
      </w:pPr>
      <w:r>
        <w:rPr>
          <w:noProof/>
        </w:rPr>
        <w:t>(c)</w:t>
      </w:r>
      <w:r>
        <w:rPr>
          <w:noProof/>
        </w:rPr>
        <w:tab/>
      </w:r>
      <w:r w:rsidRPr="00D92D77">
        <w:rPr>
          <w:noProof/>
          <w:szCs w:val="24"/>
        </w:rPr>
        <w:t xml:space="preserve">the </w:t>
      </w:r>
      <w:r w:rsidRPr="00F42C05">
        <w:rPr>
          <w:noProof/>
        </w:rPr>
        <w:t>State</w:t>
      </w:r>
      <w:r w:rsidRPr="00D92D77">
        <w:rPr>
          <w:noProof/>
          <w:szCs w:val="24"/>
        </w:rPr>
        <w:t xml:space="preserve"> </w:t>
      </w:r>
      <w:r w:rsidRPr="00A83ECB">
        <w:rPr>
          <w:noProof/>
        </w:rPr>
        <w:t>funds</w:t>
      </w:r>
      <w:r w:rsidRPr="00D92D77">
        <w:rPr>
          <w:noProof/>
          <w:szCs w:val="24"/>
        </w:rPr>
        <w:t xml:space="preserve"> </w:t>
      </w:r>
      <w:r w:rsidR="00532CED">
        <w:rPr>
          <w:noProof/>
          <w:szCs w:val="24"/>
        </w:rPr>
        <w:t>are</w:t>
      </w:r>
      <w:r w:rsidR="00F77C91">
        <w:rPr>
          <w:noProof/>
          <w:szCs w:val="24"/>
        </w:rPr>
        <w:t xml:space="preserve"> </w:t>
      </w:r>
      <w:r w:rsidR="00F77C91" w:rsidRPr="00F921BE">
        <w:rPr>
          <w:noProof/>
          <w:szCs w:val="24"/>
        </w:rPr>
        <w:t xml:space="preserve">temporary, </w:t>
      </w:r>
      <w:r w:rsidR="00A9757B" w:rsidRPr="00F921BE">
        <w:rPr>
          <w:noProof/>
          <w:szCs w:val="24"/>
        </w:rPr>
        <w:t>and</w:t>
      </w:r>
      <w:r w:rsidR="00B205BB">
        <w:rPr>
          <w:noProof/>
          <w:szCs w:val="24"/>
        </w:rPr>
        <w:t xml:space="preserve"> </w:t>
      </w:r>
      <w:r w:rsidRPr="00D92D77">
        <w:rPr>
          <w:noProof/>
          <w:szCs w:val="24"/>
        </w:rPr>
        <w:t xml:space="preserve">cover </w:t>
      </w:r>
      <w:r w:rsidR="00927277">
        <w:rPr>
          <w:noProof/>
          <w:szCs w:val="24"/>
        </w:rPr>
        <w:t xml:space="preserve">only </w:t>
      </w:r>
      <w:r w:rsidRPr="00D92D77">
        <w:rPr>
          <w:noProof/>
          <w:szCs w:val="24"/>
        </w:rPr>
        <w:t>the additional costs resulting from measures to accelerate decarbonisation</w:t>
      </w:r>
      <w:r w:rsidR="006A6773">
        <w:rPr>
          <w:noProof/>
          <w:szCs w:val="24"/>
        </w:rPr>
        <w:t xml:space="preserve">, </w:t>
      </w:r>
      <w:r w:rsidR="00472BC2">
        <w:rPr>
          <w:noProof/>
          <w:szCs w:val="24"/>
        </w:rPr>
        <w:t>electrification of production processes</w:t>
      </w:r>
      <w:r w:rsidRPr="00D92D77">
        <w:rPr>
          <w:noProof/>
          <w:szCs w:val="24"/>
        </w:rPr>
        <w:t xml:space="preserve"> and market integration</w:t>
      </w:r>
      <w:r w:rsidR="0031236B">
        <w:rPr>
          <w:noProof/>
          <w:szCs w:val="24"/>
        </w:rPr>
        <w:t xml:space="preserve">; </w:t>
      </w:r>
    </w:p>
    <w:p w:rsidR="00564E31" w:rsidRPr="00A30921" w:rsidRDefault="0031236B" w:rsidP="00263AE0">
      <w:pPr>
        <w:pStyle w:val="Point0"/>
        <w:ind w:left="1418" w:hanging="567"/>
        <w:rPr>
          <w:noProof/>
        </w:rPr>
      </w:pPr>
      <w:r>
        <w:rPr>
          <w:noProof/>
        </w:rPr>
        <w:t>(d)</w:t>
      </w:r>
      <w:r>
        <w:rPr>
          <w:noProof/>
        </w:rPr>
        <w:tab/>
      </w:r>
      <w:r w:rsidRPr="00163906">
        <w:rPr>
          <w:noProof/>
          <w:lang w:val="en-US"/>
        </w:rPr>
        <w:t xml:space="preserve">the </w:t>
      </w:r>
      <w:r w:rsidRPr="00F42C05">
        <w:rPr>
          <w:noProof/>
        </w:rPr>
        <w:t>provision</w:t>
      </w:r>
      <w:r w:rsidRPr="00163906">
        <w:rPr>
          <w:noProof/>
          <w:lang w:val="en-US"/>
        </w:rPr>
        <w:t xml:space="preserve"> of State funds </w:t>
      </w:r>
      <w:r w:rsidR="007253C6">
        <w:rPr>
          <w:noProof/>
          <w:lang w:val="en-US"/>
        </w:rPr>
        <w:t xml:space="preserve">is </w:t>
      </w:r>
      <w:r w:rsidRPr="00163906">
        <w:rPr>
          <w:noProof/>
          <w:lang w:val="en-US"/>
        </w:rPr>
        <w:t>not to the detriment of competition or the effective functioning of the internal market for electricity.</w:t>
      </w:r>
    </w:p>
    <w:p w:rsidR="001B549B" w:rsidRPr="0031236B" w:rsidRDefault="00A105F8" w:rsidP="00F42C05">
      <w:pPr>
        <w:ind w:left="851"/>
        <w:rPr>
          <w:noProof/>
        </w:rPr>
      </w:pPr>
      <w:r>
        <w:rPr>
          <w:noProof/>
        </w:rPr>
        <w:t>Th</w:t>
      </w:r>
      <w:r w:rsidR="006E72E3">
        <w:rPr>
          <w:noProof/>
        </w:rPr>
        <w:t xml:space="preserve">is </w:t>
      </w:r>
      <w:r w:rsidR="004A265B">
        <w:rPr>
          <w:noProof/>
        </w:rPr>
        <w:t xml:space="preserve">paragraph </w:t>
      </w:r>
      <w:r w:rsidR="006E72E3">
        <w:rPr>
          <w:noProof/>
        </w:rPr>
        <w:t xml:space="preserve">is without prejudice to </w:t>
      </w:r>
      <w:r w:rsidR="00901255" w:rsidRPr="00A30921">
        <w:rPr>
          <w:noProof/>
        </w:rPr>
        <w:t xml:space="preserve">the </w:t>
      </w:r>
      <w:r w:rsidR="00D93A3D">
        <w:rPr>
          <w:noProof/>
        </w:rPr>
        <w:t xml:space="preserve">right of Member States to notify </w:t>
      </w:r>
      <w:r w:rsidR="00A126D1">
        <w:rPr>
          <w:noProof/>
        </w:rPr>
        <w:t xml:space="preserve">under applicable State aid rules measures aimed </w:t>
      </w:r>
      <w:r w:rsidR="001257DB">
        <w:rPr>
          <w:noProof/>
        </w:rPr>
        <w:t>to reduce energy costs</w:t>
      </w:r>
      <w:r w:rsidR="003B024E">
        <w:rPr>
          <w:noProof/>
        </w:rPr>
        <w:t>,</w:t>
      </w:r>
      <w:r w:rsidR="003B024E" w:rsidRPr="003B024E">
        <w:rPr>
          <w:noProof/>
        </w:rPr>
        <w:t xml:space="preserve"> </w:t>
      </w:r>
      <w:r w:rsidR="003B024E" w:rsidRPr="008F381E">
        <w:rPr>
          <w:noProof/>
        </w:rPr>
        <w:t>including network charges</w:t>
      </w:r>
      <w:r w:rsidR="009C5498">
        <w:rPr>
          <w:noProof/>
        </w:rPr>
        <w:t>,</w:t>
      </w:r>
      <w:r w:rsidR="001257DB">
        <w:rPr>
          <w:noProof/>
        </w:rPr>
        <w:t xml:space="preserve"> for specific categories of </w:t>
      </w:r>
      <w:r w:rsidR="001D2227">
        <w:rPr>
          <w:noProof/>
        </w:rPr>
        <w:t xml:space="preserve">users while preserving incentives provided to system users to choose their location and adjust </w:t>
      </w:r>
      <w:r w:rsidR="00533FF1">
        <w:rPr>
          <w:noProof/>
        </w:rPr>
        <w:t xml:space="preserve">their consumption to lower the overall costs of the transmission and distribution systems. </w:t>
      </w:r>
    </w:p>
    <w:bookmarkEnd w:id="39"/>
    <w:p w:rsidR="00564E31" w:rsidRDefault="009C3302" w:rsidP="00263AE0">
      <w:pPr>
        <w:pStyle w:val="ManualNumPar1"/>
        <w:ind w:hanging="283"/>
        <w:rPr>
          <w:noProof/>
          <w:szCs w:val="24"/>
        </w:rPr>
      </w:pPr>
      <w:r>
        <w:rPr>
          <w:noProof/>
        </w:rPr>
        <w:t>5.</w:t>
      </w:r>
      <w:r>
        <w:rPr>
          <w:noProof/>
        </w:rPr>
        <w:tab/>
      </w:r>
      <w:r w:rsidRPr="00064C9C">
        <w:rPr>
          <w:noProof/>
          <w:szCs w:val="24"/>
        </w:rPr>
        <w:t>From</w:t>
      </w:r>
      <w:r w:rsidRPr="00543B99">
        <w:rPr>
          <w:noProof/>
          <w:szCs w:val="24"/>
        </w:rPr>
        <w:t xml:space="preserve"> </w:t>
      </w:r>
      <w:r w:rsidRPr="007B3691">
        <w:rPr>
          <w:i/>
          <w:iCs/>
          <w:noProof/>
          <w:szCs w:val="24"/>
        </w:rPr>
        <w:t>[first day of the month of entry into force plus 13 months]</w:t>
      </w:r>
      <w:r w:rsidRPr="00543B99">
        <w:rPr>
          <w:noProof/>
          <w:szCs w:val="24"/>
        </w:rPr>
        <w:t xml:space="preserve">, </w:t>
      </w:r>
      <w:r w:rsidR="00564E31" w:rsidRPr="00D92D77">
        <w:rPr>
          <w:noProof/>
          <w:szCs w:val="24"/>
        </w:rPr>
        <w:t xml:space="preserve">regulatory authorities shall ensure the transparency of the methodologies, parameters and values used to determine or approve the costs that are to be recovered by transmission and distribution system operators. </w:t>
      </w:r>
      <w:r w:rsidR="000A734C">
        <w:rPr>
          <w:noProof/>
          <w:szCs w:val="24"/>
        </w:rPr>
        <w:t xml:space="preserve">From that date, </w:t>
      </w:r>
      <w:r w:rsidR="00564E31" w:rsidRPr="00D92D77">
        <w:rPr>
          <w:noProof/>
          <w:szCs w:val="24"/>
        </w:rPr>
        <w:t>regulatory authorities shall publish</w:t>
      </w:r>
      <w:r w:rsidR="000A734C">
        <w:rPr>
          <w:noProof/>
          <w:szCs w:val="24"/>
        </w:rPr>
        <w:t xml:space="preserve">, or require that </w:t>
      </w:r>
      <w:r w:rsidR="006D3661" w:rsidRPr="00543B99">
        <w:rPr>
          <w:noProof/>
          <w:szCs w:val="24"/>
        </w:rPr>
        <w:t xml:space="preserve">the relevant transmission </w:t>
      </w:r>
      <w:r w:rsidR="006D3661">
        <w:rPr>
          <w:noProof/>
          <w:szCs w:val="24"/>
        </w:rPr>
        <w:t xml:space="preserve">system operators </w:t>
      </w:r>
      <w:r w:rsidR="006D3661" w:rsidRPr="00543B99">
        <w:rPr>
          <w:noProof/>
          <w:szCs w:val="24"/>
        </w:rPr>
        <w:t>or distribution system operator publish</w:t>
      </w:r>
      <w:r w:rsidR="006D3661">
        <w:rPr>
          <w:noProof/>
          <w:szCs w:val="24"/>
        </w:rPr>
        <w:t>es</w:t>
      </w:r>
      <w:r w:rsidR="006D3661" w:rsidRPr="00543B99">
        <w:rPr>
          <w:noProof/>
          <w:szCs w:val="24"/>
        </w:rPr>
        <w:t>,</w:t>
      </w:r>
      <w:r w:rsidR="00564E31" w:rsidRPr="00D92D77">
        <w:rPr>
          <w:noProof/>
          <w:szCs w:val="24"/>
        </w:rPr>
        <w:t xml:space="preserve"> at least the following information: </w:t>
      </w:r>
    </w:p>
    <w:p w:rsidR="00564E31" w:rsidRPr="00F42C05" w:rsidRDefault="00564E31" w:rsidP="00263AE0">
      <w:pPr>
        <w:pStyle w:val="Point0"/>
        <w:ind w:left="1418" w:hanging="567"/>
        <w:rPr>
          <w:noProof/>
          <w:szCs w:val="24"/>
        </w:rPr>
      </w:pPr>
      <w:r>
        <w:rPr>
          <w:noProof/>
        </w:rPr>
        <w:t>(a)</w:t>
      </w:r>
      <w:r>
        <w:rPr>
          <w:noProof/>
        </w:rPr>
        <w:tab/>
      </w:r>
      <w:r w:rsidRPr="00F42C05">
        <w:rPr>
          <w:noProof/>
        </w:rPr>
        <w:t>transmission</w:t>
      </w:r>
      <w:r w:rsidRPr="00F42C05">
        <w:rPr>
          <w:noProof/>
          <w:szCs w:val="24"/>
        </w:rPr>
        <w:t xml:space="preserve"> infrastructure costs, such as capital expenditure, including return on capital and depreciation, and operational expenditure;</w:t>
      </w:r>
    </w:p>
    <w:p w:rsidR="00564E31" w:rsidRDefault="00564E31" w:rsidP="00263AE0">
      <w:pPr>
        <w:pStyle w:val="Point0"/>
        <w:ind w:left="1418" w:hanging="567"/>
        <w:rPr>
          <w:noProof/>
          <w:szCs w:val="24"/>
        </w:rPr>
      </w:pPr>
      <w:r>
        <w:rPr>
          <w:noProof/>
        </w:rPr>
        <w:t>(b)</w:t>
      </w:r>
      <w:r>
        <w:rPr>
          <w:noProof/>
        </w:rPr>
        <w:tab/>
      </w:r>
      <w:r w:rsidRPr="00F42C05">
        <w:rPr>
          <w:noProof/>
        </w:rPr>
        <w:t>distribution</w:t>
      </w:r>
      <w:r w:rsidRPr="00D92D77">
        <w:rPr>
          <w:noProof/>
          <w:szCs w:val="24"/>
        </w:rPr>
        <w:t xml:space="preserve"> infrastructure costs, such as </w:t>
      </w:r>
      <w:r>
        <w:rPr>
          <w:noProof/>
          <w:szCs w:val="24"/>
        </w:rPr>
        <w:t xml:space="preserve">capital expenditure, including, </w:t>
      </w:r>
      <w:r w:rsidRPr="00D92D77">
        <w:rPr>
          <w:noProof/>
          <w:szCs w:val="24"/>
        </w:rPr>
        <w:t>return on capital</w:t>
      </w:r>
      <w:r>
        <w:rPr>
          <w:noProof/>
          <w:szCs w:val="24"/>
        </w:rPr>
        <w:t xml:space="preserve"> and</w:t>
      </w:r>
      <w:r w:rsidRPr="00D92D77">
        <w:rPr>
          <w:noProof/>
          <w:szCs w:val="24"/>
        </w:rPr>
        <w:t xml:space="preserve"> depreciation</w:t>
      </w:r>
      <w:r>
        <w:rPr>
          <w:noProof/>
          <w:szCs w:val="24"/>
        </w:rPr>
        <w:t>,</w:t>
      </w:r>
      <w:r w:rsidRPr="00D92D77">
        <w:rPr>
          <w:noProof/>
          <w:szCs w:val="24"/>
        </w:rPr>
        <w:t xml:space="preserve"> and operational expenditure;</w:t>
      </w:r>
    </w:p>
    <w:p w:rsidR="00564E31" w:rsidRDefault="00564E31" w:rsidP="00263AE0">
      <w:pPr>
        <w:pStyle w:val="Point0"/>
        <w:ind w:left="1418" w:hanging="567"/>
        <w:rPr>
          <w:noProof/>
          <w:szCs w:val="24"/>
        </w:rPr>
      </w:pPr>
      <w:r>
        <w:rPr>
          <w:noProof/>
        </w:rPr>
        <w:t>(c)</w:t>
      </w:r>
      <w:r>
        <w:rPr>
          <w:noProof/>
        </w:rPr>
        <w:tab/>
      </w:r>
      <w:r w:rsidRPr="00D92D77">
        <w:rPr>
          <w:noProof/>
          <w:szCs w:val="24"/>
        </w:rPr>
        <w:t>costs of transmission losses;</w:t>
      </w:r>
    </w:p>
    <w:p w:rsidR="00564E31" w:rsidRDefault="00564E31" w:rsidP="00263AE0">
      <w:pPr>
        <w:pStyle w:val="Point0"/>
        <w:ind w:left="1418" w:hanging="567"/>
        <w:rPr>
          <w:noProof/>
          <w:szCs w:val="24"/>
        </w:rPr>
      </w:pPr>
      <w:r>
        <w:rPr>
          <w:noProof/>
        </w:rPr>
        <w:t>(d)</w:t>
      </w:r>
      <w:r>
        <w:rPr>
          <w:noProof/>
        </w:rPr>
        <w:tab/>
      </w:r>
      <w:r w:rsidRPr="00D92D77">
        <w:rPr>
          <w:noProof/>
          <w:szCs w:val="24"/>
        </w:rPr>
        <w:t>costs of distribution losses;</w:t>
      </w:r>
    </w:p>
    <w:p w:rsidR="00564E31" w:rsidRDefault="00564E31" w:rsidP="00263AE0">
      <w:pPr>
        <w:pStyle w:val="Point0"/>
        <w:ind w:left="1418" w:hanging="567"/>
        <w:rPr>
          <w:noProof/>
          <w:szCs w:val="24"/>
        </w:rPr>
      </w:pPr>
      <w:r>
        <w:rPr>
          <w:noProof/>
        </w:rPr>
        <w:t>(e)</w:t>
      </w:r>
      <w:r>
        <w:rPr>
          <w:noProof/>
        </w:rPr>
        <w:tab/>
      </w:r>
      <w:r w:rsidRPr="00D92D77">
        <w:rPr>
          <w:noProof/>
          <w:szCs w:val="24"/>
        </w:rPr>
        <w:t>costs of metering services;</w:t>
      </w:r>
    </w:p>
    <w:p w:rsidR="00564E31" w:rsidRDefault="00564E31" w:rsidP="00263AE0">
      <w:pPr>
        <w:pStyle w:val="Point0"/>
        <w:ind w:left="1418" w:hanging="567"/>
        <w:rPr>
          <w:noProof/>
          <w:szCs w:val="24"/>
        </w:rPr>
      </w:pPr>
      <w:r>
        <w:rPr>
          <w:noProof/>
        </w:rPr>
        <w:t>(f)</w:t>
      </w:r>
      <w:r>
        <w:rPr>
          <w:noProof/>
        </w:rPr>
        <w:tab/>
      </w:r>
      <w:r w:rsidRPr="00D92D77">
        <w:rPr>
          <w:noProof/>
          <w:szCs w:val="24"/>
        </w:rPr>
        <w:t>costs of withdrawing or injecting reactive power outside the allowed limits;</w:t>
      </w:r>
      <w:r>
        <w:rPr>
          <w:noProof/>
          <w:szCs w:val="24"/>
        </w:rPr>
        <w:t xml:space="preserve"> and</w:t>
      </w:r>
    </w:p>
    <w:p w:rsidR="00564E31" w:rsidRDefault="00564E31" w:rsidP="00263AE0">
      <w:pPr>
        <w:pStyle w:val="Point0"/>
        <w:ind w:left="1418" w:hanging="567"/>
        <w:rPr>
          <w:noProof/>
          <w:szCs w:val="24"/>
        </w:rPr>
      </w:pPr>
      <w:r>
        <w:rPr>
          <w:noProof/>
        </w:rPr>
        <w:t>(g)</w:t>
      </w:r>
      <w:r>
        <w:rPr>
          <w:noProof/>
        </w:rPr>
        <w:tab/>
      </w:r>
      <w:r w:rsidRPr="00D92D77">
        <w:rPr>
          <w:noProof/>
          <w:szCs w:val="24"/>
        </w:rPr>
        <w:t xml:space="preserve">costs of system operators purchases of </w:t>
      </w:r>
      <w:r>
        <w:rPr>
          <w:noProof/>
          <w:szCs w:val="24"/>
        </w:rPr>
        <w:t xml:space="preserve">ancillary services and congestion management services, including </w:t>
      </w:r>
      <w:r w:rsidRPr="00D92D77">
        <w:rPr>
          <w:noProof/>
          <w:szCs w:val="24"/>
        </w:rPr>
        <w:t>re-dispatching costs</w:t>
      </w:r>
      <w:r>
        <w:rPr>
          <w:noProof/>
          <w:szCs w:val="24"/>
        </w:rPr>
        <w:t>.</w:t>
      </w:r>
    </w:p>
    <w:p w:rsidR="00564E31" w:rsidRDefault="00564E31" w:rsidP="00F42C05">
      <w:pPr>
        <w:ind w:left="714" w:hanging="5"/>
        <w:rPr>
          <w:noProof/>
          <w:szCs w:val="24"/>
        </w:rPr>
      </w:pPr>
      <w:r w:rsidRPr="00C737E2">
        <w:rPr>
          <w:noProof/>
          <w:szCs w:val="24"/>
        </w:rPr>
        <w:t xml:space="preserve">Regulatory authorities shall </w:t>
      </w:r>
      <w:r>
        <w:rPr>
          <w:noProof/>
          <w:szCs w:val="24"/>
        </w:rPr>
        <w:t>furthermore</w:t>
      </w:r>
      <w:r w:rsidRPr="00C737E2">
        <w:rPr>
          <w:noProof/>
          <w:szCs w:val="24"/>
        </w:rPr>
        <w:t xml:space="preserve"> publish at least the following information, or shall require its publication by the relevant transmission or distribution system operator:</w:t>
      </w:r>
    </w:p>
    <w:p w:rsidR="00564E31" w:rsidRPr="00F42C05" w:rsidRDefault="00564E31" w:rsidP="00263AE0">
      <w:pPr>
        <w:pStyle w:val="Point0"/>
        <w:ind w:left="1418" w:hanging="567"/>
        <w:rPr>
          <w:noProof/>
          <w:szCs w:val="24"/>
        </w:rPr>
      </w:pPr>
      <w:r>
        <w:rPr>
          <w:noProof/>
        </w:rPr>
        <w:t>(a)</w:t>
      </w:r>
      <w:r>
        <w:rPr>
          <w:noProof/>
        </w:rPr>
        <w:tab/>
      </w:r>
      <w:r w:rsidRPr="00F42C05">
        <w:rPr>
          <w:noProof/>
          <w:szCs w:val="24"/>
        </w:rPr>
        <w:t xml:space="preserve">the </w:t>
      </w:r>
      <w:r w:rsidRPr="00F42C05">
        <w:rPr>
          <w:noProof/>
        </w:rPr>
        <w:t>assessment</w:t>
      </w:r>
      <w:r w:rsidRPr="00F42C05">
        <w:rPr>
          <w:noProof/>
          <w:szCs w:val="24"/>
        </w:rPr>
        <w:t xml:space="preserve"> underlying the detailed transmission and distribution tariff methodologies;</w:t>
      </w:r>
    </w:p>
    <w:p w:rsidR="00564E31" w:rsidRDefault="00564E31" w:rsidP="00263AE0">
      <w:pPr>
        <w:pStyle w:val="Point0"/>
        <w:ind w:left="1418" w:hanging="567"/>
        <w:rPr>
          <w:noProof/>
          <w:szCs w:val="24"/>
        </w:rPr>
      </w:pPr>
      <w:r>
        <w:rPr>
          <w:noProof/>
        </w:rPr>
        <w:t>(b)</w:t>
      </w:r>
      <w:r>
        <w:rPr>
          <w:noProof/>
        </w:rPr>
        <w:tab/>
      </w:r>
      <w:r w:rsidRPr="2582595B">
        <w:rPr>
          <w:noProof/>
          <w:szCs w:val="24"/>
        </w:rPr>
        <w:t xml:space="preserve">the cost categories and the amounts of such costs recovered by each </w:t>
      </w:r>
      <w:r>
        <w:rPr>
          <w:noProof/>
          <w:szCs w:val="24"/>
        </w:rPr>
        <w:t xml:space="preserve">type of </w:t>
      </w:r>
      <w:r w:rsidRPr="2582595B">
        <w:rPr>
          <w:noProof/>
          <w:szCs w:val="24"/>
        </w:rPr>
        <w:t>tariff they apply;</w:t>
      </w:r>
    </w:p>
    <w:p w:rsidR="00564E31" w:rsidRDefault="00564E31" w:rsidP="00263AE0">
      <w:pPr>
        <w:pStyle w:val="Point0"/>
        <w:ind w:left="1418" w:hanging="567"/>
        <w:rPr>
          <w:noProof/>
          <w:szCs w:val="24"/>
        </w:rPr>
      </w:pPr>
      <w:r>
        <w:rPr>
          <w:noProof/>
        </w:rPr>
        <w:t>(c)</w:t>
      </w:r>
      <w:r>
        <w:rPr>
          <w:noProof/>
        </w:rPr>
        <w:tab/>
      </w:r>
      <w:r w:rsidRPr="00D92D77">
        <w:rPr>
          <w:noProof/>
          <w:szCs w:val="24"/>
        </w:rPr>
        <w:t xml:space="preserve">where applicable, the amount of network charges covered through State funds or other public funds </w:t>
      </w:r>
      <w:r>
        <w:rPr>
          <w:noProof/>
          <w:szCs w:val="24"/>
        </w:rPr>
        <w:t>pursuant to</w:t>
      </w:r>
      <w:r w:rsidRPr="00D92D77">
        <w:rPr>
          <w:noProof/>
          <w:szCs w:val="24"/>
        </w:rPr>
        <w:t xml:space="preserve"> paragraph 4</w:t>
      </w:r>
      <w:r w:rsidR="00F27100">
        <w:rPr>
          <w:noProof/>
          <w:szCs w:val="24"/>
        </w:rPr>
        <w:t xml:space="preserve"> and their share of the total network charges</w:t>
      </w:r>
      <w:r w:rsidRPr="00D92D77">
        <w:rPr>
          <w:noProof/>
          <w:szCs w:val="24"/>
        </w:rPr>
        <w:t>;</w:t>
      </w:r>
    </w:p>
    <w:p w:rsidR="00564E31" w:rsidRDefault="00564E31" w:rsidP="00263AE0">
      <w:pPr>
        <w:pStyle w:val="Point0"/>
        <w:ind w:left="1418" w:hanging="567"/>
        <w:rPr>
          <w:noProof/>
          <w:szCs w:val="24"/>
        </w:rPr>
      </w:pPr>
      <w:r>
        <w:rPr>
          <w:noProof/>
        </w:rPr>
        <w:t>(d)</w:t>
      </w:r>
      <w:r>
        <w:rPr>
          <w:noProof/>
        </w:rPr>
        <w:tab/>
      </w:r>
      <w:r w:rsidRPr="00D92D77">
        <w:rPr>
          <w:noProof/>
          <w:szCs w:val="24"/>
        </w:rPr>
        <w:t>the annual transmission and distribution tariff values for each system user group;</w:t>
      </w:r>
    </w:p>
    <w:p w:rsidR="00564E31" w:rsidRDefault="00564E31" w:rsidP="00263AE0">
      <w:pPr>
        <w:pStyle w:val="Point0"/>
        <w:ind w:left="1418" w:hanging="567"/>
        <w:rPr>
          <w:noProof/>
          <w:szCs w:val="24"/>
        </w:rPr>
      </w:pPr>
      <w:r>
        <w:rPr>
          <w:noProof/>
        </w:rPr>
        <w:t>(e)</w:t>
      </w:r>
      <w:r>
        <w:rPr>
          <w:noProof/>
        </w:rPr>
        <w:tab/>
      </w:r>
      <w:r w:rsidRPr="00D92D77">
        <w:rPr>
          <w:noProof/>
          <w:szCs w:val="24"/>
        </w:rPr>
        <w:t xml:space="preserve">any studies </w:t>
      </w:r>
      <w:r>
        <w:rPr>
          <w:noProof/>
          <w:szCs w:val="24"/>
        </w:rPr>
        <w:t>relied upon for</w:t>
      </w:r>
      <w:r w:rsidRPr="00D92D77">
        <w:rPr>
          <w:noProof/>
          <w:szCs w:val="24"/>
        </w:rPr>
        <w:t xml:space="preserve"> the available choices for tariff design;</w:t>
      </w:r>
    </w:p>
    <w:p w:rsidR="00564E31" w:rsidRDefault="00564E31" w:rsidP="00263AE0">
      <w:pPr>
        <w:pStyle w:val="Point0"/>
        <w:ind w:left="1418" w:hanging="567"/>
        <w:rPr>
          <w:noProof/>
          <w:szCs w:val="24"/>
        </w:rPr>
      </w:pPr>
      <w:r>
        <w:rPr>
          <w:noProof/>
        </w:rPr>
        <w:t>(f)</w:t>
      </w:r>
      <w:r>
        <w:rPr>
          <w:noProof/>
        </w:rPr>
        <w:tab/>
      </w:r>
      <w:r w:rsidRPr="4668118F">
        <w:rPr>
          <w:noProof/>
          <w:szCs w:val="24"/>
        </w:rPr>
        <w:t xml:space="preserve">any special tariff regimes provided to system users together with </w:t>
      </w:r>
      <w:r>
        <w:rPr>
          <w:noProof/>
          <w:szCs w:val="24"/>
        </w:rPr>
        <w:t xml:space="preserve">a </w:t>
      </w:r>
      <w:r w:rsidRPr="4668118F">
        <w:rPr>
          <w:noProof/>
          <w:szCs w:val="24"/>
        </w:rPr>
        <w:t>justification for those regimes</w:t>
      </w:r>
      <w:r>
        <w:rPr>
          <w:noProof/>
          <w:szCs w:val="24"/>
        </w:rPr>
        <w:t xml:space="preserve">; </w:t>
      </w:r>
    </w:p>
    <w:p w:rsidR="00564E31" w:rsidRDefault="00564E31" w:rsidP="00263AE0">
      <w:pPr>
        <w:pStyle w:val="Point0"/>
        <w:ind w:left="1418" w:hanging="567"/>
        <w:rPr>
          <w:noProof/>
          <w:szCs w:val="24"/>
        </w:rPr>
      </w:pPr>
      <w:r>
        <w:rPr>
          <w:noProof/>
        </w:rPr>
        <w:t>(g)</w:t>
      </w:r>
      <w:r>
        <w:rPr>
          <w:noProof/>
        </w:rPr>
        <w:tab/>
      </w:r>
      <w:r>
        <w:rPr>
          <w:noProof/>
          <w:szCs w:val="24"/>
        </w:rPr>
        <w:t xml:space="preserve">the </w:t>
      </w:r>
      <w:r w:rsidRPr="00A84E45">
        <w:rPr>
          <w:noProof/>
          <w:szCs w:val="24"/>
        </w:rPr>
        <w:t>performance indicators as regards the efficient operation and development of the network</w:t>
      </w:r>
      <w:r>
        <w:rPr>
          <w:noProof/>
          <w:szCs w:val="24"/>
        </w:rPr>
        <w:t xml:space="preserve"> referred to in paragraph 2, point </w:t>
      </w:r>
      <w:r w:rsidR="00412EFB">
        <w:rPr>
          <w:noProof/>
          <w:szCs w:val="24"/>
        </w:rPr>
        <w:t>(</w:t>
      </w:r>
      <w:r>
        <w:rPr>
          <w:noProof/>
          <w:szCs w:val="24"/>
        </w:rPr>
        <w:t>a).</w:t>
      </w:r>
    </w:p>
    <w:p w:rsidR="00564E31" w:rsidRDefault="00564E31" w:rsidP="00F42C05">
      <w:pPr>
        <w:ind w:left="851"/>
        <w:rPr>
          <w:noProof/>
          <w:szCs w:val="24"/>
        </w:rPr>
      </w:pPr>
      <w:r w:rsidRPr="00C737E2">
        <w:rPr>
          <w:noProof/>
          <w:szCs w:val="24"/>
        </w:rPr>
        <w:t xml:space="preserve">The information referred to in this paragraph shall be made available in a freely accessible, downloadable and read-only format and, to the extent possible, in one or more commonly understood languages, while preserving the confidentiality of commercially sensitive information. </w:t>
      </w:r>
    </w:p>
    <w:p w:rsidR="00564E31" w:rsidRDefault="00564E31" w:rsidP="00263AE0">
      <w:pPr>
        <w:pStyle w:val="ManualNumPar1"/>
        <w:ind w:hanging="283"/>
        <w:rPr>
          <w:noProof/>
        </w:rPr>
      </w:pPr>
      <w:r>
        <w:rPr>
          <w:noProof/>
        </w:rPr>
        <w:t>6.</w:t>
      </w:r>
      <w:r>
        <w:rPr>
          <w:noProof/>
        </w:rPr>
        <w:tab/>
        <w:t xml:space="preserve">Prior to </w:t>
      </w:r>
      <w:r w:rsidRPr="00A83ECB">
        <w:rPr>
          <w:noProof/>
          <w:szCs w:val="24"/>
        </w:rPr>
        <w:t>fixing</w:t>
      </w:r>
      <w:r>
        <w:rPr>
          <w:noProof/>
        </w:rPr>
        <w:t xml:space="preserve"> or approving the applicable tariff methodologies in accordance with Article 59(1)</w:t>
      </w:r>
      <w:r w:rsidR="009F5528">
        <w:rPr>
          <w:noProof/>
        </w:rPr>
        <w:t>,</w:t>
      </w:r>
      <w:r w:rsidR="004C2236">
        <w:rPr>
          <w:noProof/>
        </w:rPr>
        <w:t xml:space="preserve"> point </w:t>
      </w:r>
      <w:r>
        <w:rPr>
          <w:noProof/>
        </w:rPr>
        <w:t>(a)</w:t>
      </w:r>
      <w:r w:rsidR="004A265B">
        <w:rPr>
          <w:noProof/>
        </w:rPr>
        <w:t>,</w:t>
      </w:r>
      <w:r>
        <w:rPr>
          <w:noProof/>
        </w:rPr>
        <w:t xml:space="preserve"> of Directive (EU) 2019/944, regulatory authorities shall carry out one or more public consultations on the relevant draft methodologies. </w:t>
      </w:r>
    </w:p>
    <w:p w:rsidR="00564E31" w:rsidRDefault="00564E31" w:rsidP="00263AE0">
      <w:pPr>
        <w:pStyle w:val="ManualNumPar1"/>
        <w:ind w:hanging="283"/>
        <w:rPr>
          <w:noProof/>
        </w:rPr>
      </w:pPr>
      <w:r>
        <w:rPr>
          <w:noProof/>
        </w:rPr>
        <w:t>7.</w:t>
      </w:r>
      <w:r>
        <w:rPr>
          <w:noProof/>
        </w:rPr>
        <w:tab/>
        <w:t xml:space="preserve">ACER </w:t>
      </w:r>
      <w:r w:rsidRPr="00A83ECB">
        <w:rPr>
          <w:noProof/>
          <w:szCs w:val="24"/>
        </w:rPr>
        <w:t>shall</w:t>
      </w:r>
      <w:r>
        <w:rPr>
          <w:noProof/>
        </w:rPr>
        <w:t xml:space="preserve"> assist regulatory authorities in determining performance indicators </w:t>
      </w:r>
      <w:r w:rsidR="005B255B">
        <w:rPr>
          <w:noProof/>
        </w:rPr>
        <w:t xml:space="preserve">in accordance with </w:t>
      </w:r>
      <w:r>
        <w:rPr>
          <w:noProof/>
        </w:rPr>
        <w:t>paragraph 2, point a), and shall carry out an efficiency comparison among transmission system operators, and their costs, considering th</w:t>
      </w:r>
      <w:r w:rsidR="00076CDD">
        <w:rPr>
          <w:noProof/>
        </w:rPr>
        <w:t>o</w:t>
      </w:r>
      <w:r>
        <w:rPr>
          <w:noProof/>
        </w:rPr>
        <w:t xml:space="preserve">se indicators. </w:t>
      </w:r>
      <w:r w:rsidR="00681FAC" w:rsidRPr="0084420C">
        <w:rPr>
          <w:noProof/>
        </w:rPr>
        <w:t>The regulatory authorities and the transmission system operators shall provide ACER with all the data necessary for that comparison</w:t>
      </w:r>
      <w:r w:rsidR="00AE6D58">
        <w:rPr>
          <w:noProof/>
        </w:rPr>
        <w:t>.</w:t>
      </w:r>
      <w:r>
        <w:rPr>
          <w:noProof/>
        </w:rPr>
        <w:t xml:space="preserve"> By</w:t>
      </w:r>
      <w:r w:rsidRPr="641E22D1">
        <w:rPr>
          <w:i/>
          <w:noProof/>
        </w:rPr>
        <w:t xml:space="preserve"> </w:t>
      </w:r>
      <w:r w:rsidRPr="007B3691">
        <w:rPr>
          <w:i/>
          <w:noProof/>
        </w:rPr>
        <w:t xml:space="preserve">[first day of the month </w:t>
      </w:r>
      <w:r w:rsidR="00E44C25" w:rsidRPr="007B3691">
        <w:rPr>
          <w:i/>
          <w:noProof/>
        </w:rPr>
        <w:t>of entry into force plus 25 months</w:t>
      </w:r>
      <w:r w:rsidRPr="007B3691">
        <w:rPr>
          <w:i/>
          <w:noProof/>
        </w:rPr>
        <w:t xml:space="preserve">] </w:t>
      </w:r>
      <w:r w:rsidRPr="007B3691">
        <w:rPr>
          <w:noProof/>
        </w:rPr>
        <w:t>and every four years the</w:t>
      </w:r>
      <w:r>
        <w:rPr>
          <w:noProof/>
        </w:rPr>
        <w:t xml:space="preserve">reafter, ACER shall publish a report with the efficiency comparison among transmission system operators and their costs set out, while protecting commercially sensitive data. </w:t>
      </w:r>
    </w:p>
    <w:p w:rsidR="00564E31" w:rsidRPr="007B3691" w:rsidRDefault="00564E31" w:rsidP="00F42C05">
      <w:pPr>
        <w:ind w:left="851"/>
        <w:rPr>
          <w:noProof/>
        </w:rPr>
      </w:pPr>
      <w:r w:rsidRPr="00E74855">
        <w:rPr>
          <w:noProof/>
        </w:rPr>
        <w:t xml:space="preserve">Regulatory authorities shall carry out the efficiency comparison among distribution system operators in their respective </w:t>
      </w:r>
      <w:r w:rsidRPr="00ED0349">
        <w:rPr>
          <w:noProof/>
        </w:rPr>
        <w:t xml:space="preserve">jurisdictions, </w:t>
      </w:r>
      <w:r w:rsidR="0005127B" w:rsidRPr="00ED0349">
        <w:rPr>
          <w:noProof/>
        </w:rPr>
        <w:t xml:space="preserve">and their costs, </w:t>
      </w:r>
      <w:r w:rsidRPr="00ED0349" w:rsidDel="00CC06CC">
        <w:rPr>
          <w:noProof/>
        </w:rPr>
        <w:t>insofar</w:t>
      </w:r>
      <w:r w:rsidRPr="00E74855" w:rsidDel="00CC06CC">
        <w:rPr>
          <w:noProof/>
        </w:rPr>
        <w:t xml:space="preserve"> as the</w:t>
      </w:r>
      <w:r>
        <w:rPr>
          <w:noProof/>
        </w:rPr>
        <w:t xml:space="preserve">re </w:t>
      </w:r>
      <w:r w:rsidR="00AA744A">
        <w:rPr>
          <w:noProof/>
        </w:rPr>
        <w:t>is</w:t>
      </w:r>
      <w:r>
        <w:rPr>
          <w:noProof/>
        </w:rPr>
        <w:t xml:space="preserve"> </w:t>
      </w:r>
      <w:r w:rsidRPr="00E74855" w:rsidDel="00CC06CC">
        <w:rPr>
          <w:noProof/>
        </w:rPr>
        <w:t xml:space="preserve">more than one </w:t>
      </w:r>
      <w:r w:rsidRPr="00E74855" w:rsidDel="000F55DE">
        <w:rPr>
          <w:noProof/>
        </w:rPr>
        <w:t xml:space="preserve">distribution system </w:t>
      </w:r>
      <w:r w:rsidR="00ED0349" w:rsidRPr="00E74855" w:rsidDel="000F55DE">
        <w:rPr>
          <w:noProof/>
        </w:rPr>
        <w:t>operator</w:t>
      </w:r>
      <w:r w:rsidR="00ED0349">
        <w:rPr>
          <w:noProof/>
        </w:rPr>
        <w:t xml:space="preserve"> and</w:t>
      </w:r>
      <w:r w:rsidRPr="00E74855" w:rsidDel="000F55DE">
        <w:rPr>
          <w:noProof/>
        </w:rPr>
        <w:t xml:space="preserve"> </w:t>
      </w:r>
      <w:r w:rsidRPr="00E74855">
        <w:rPr>
          <w:noProof/>
        </w:rPr>
        <w:t xml:space="preserve">taking into account national specificities. </w:t>
      </w:r>
      <w:r w:rsidR="001A0D5B" w:rsidRPr="0084420C">
        <w:rPr>
          <w:noProof/>
        </w:rPr>
        <w:t>The relevant distribution system operators shall provide regulatory authorities with all the data necessary for that comparison.</w:t>
      </w:r>
      <w:r w:rsidRPr="00E74855">
        <w:rPr>
          <w:noProof/>
        </w:rPr>
        <w:t xml:space="preserve"> By</w:t>
      </w:r>
      <w:r w:rsidRPr="00E74855">
        <w:rPr>
          <w:i/>
          <w:iCs/>
          <w:noProof/>
        </w:rPr>
        <w:t xml:space="preserve"> </w:t>
      </w:r>
      <w:r w:rsidRPr="007B3691">
        <w:rPr>
          <w:i/>
          <w:iCs/>
          <w:noProof/>
        </w:rPr>
        <w:t xml:space="preserve">[first day of the month </w:t>
      </w:r>
      <w:r w:rsidR="00FE10C6" w:rsidRPr="007B3691">
        <w:rPr>
          <w:i/>
          <w:iCs/>
          <w:noProof/>
        </w:rPr>
        <w:t>of entry into force plus 37 months</w:t>
      </w:r>
      <w:r w:rsidRPr="007B3691">
        <w:rPr>
          <w:i/>
          <w:iCs/>
          <w:noProof/>
        </w:rPr>
        <w:t xml:space="preserve">] </w:t>
      </w:r>
      <w:r w:rsidRPr="007B3691">
        <w:rPr>
          <w:noProof/>
        </w:rPr>
        <w:t xml:space="preserve">and every four years thereafter, regulatory authorities shall publish a report building on the results of national efficiency comparison among distribution system operators and their costs. </w:t>
      </w:r>
    </w:p>
    <w:p w:rsidR="00564E31" w:rsidRDefault="00564E31" w:rsidP="00263AE0">
      <w:pPr>
        <w:pStyle w:val="ManualNumPar1"/>
        <w:ind w:hanging="283"/>
        <w:rPr>
          <w:noProof/>
          <w:szCs w:val="24"/>
        </w:rPr>
      </w:pPr>
      <w:r>
        <w:rPr>
          <w:noProof/>
        </w:rPr>
        <w:t>8.</w:t>
      </w:r>
      <w:r>
        <w:rPr>
          <w:noProof/>
        </w:rPr>
        <w:tab/>
      </w:r>
      <w:r w:rsidRPr="007B3691">
        <w:rPr>
          <w:noProof/>
          <w:szCs w:val="24"/>
        </w:rPr>
        <w:t xml:space="preserve">ACER shall by </w:t>
      </w:r>
      <w:r w:rsidRPr="007B3691">
        <w:rPr>
          <w:i/>
          <w:iCs/>
          <w:noProof/>
          <w:szCs w:val="24"/>
        </w:rPr>
        <w:t xml:space="preserve">[first day of the month </w:t>
      </w:r>
      <w:r w:rsidR="005B01B2" w:rsidRPr="007B3691">
        <w:rPr>
          <w:i/>
          <w:iCs/>
          <w:noProof/>
          <w:szCs w:val="24"/>
        </w:rPr>
        <w:t>of the entry into force plus 25 months</w:t>
      </w:r>
      <w:r w:rsidRPr="007B3691">
        <w:rPr>
          <w:i/>
          <w:noProof/>
          <w:szCs w:val="24"/>
        </w:rPr>
        <w:t xml:space="preserve">] </w:t>
      </w:r>
      <w:r w:rsidRPr="007B3691">
        <w:rPr>
          <w:noProof/>
          <w:szCs w:val="24"/>
        </w:rPr>
        <w:t>provide a b</w:t>
      </w:r>
      <w:r w:rsidRPr="00D92D77">
        <w:rPr>
          <w:noProof/>
          <w:szCs w:val="24"/>
        </w:rPr>
        <w:t>est practice report on transmission and distribution tariff methodologies while taking account of national specificities. That best practice report shall address at least</w:t>
      </w:r>
      <w:r w:rsidR="00FB01AC">
        <w:rPr>
          <w:noProof/>
          <w:szCs w:val="24"/>
        </w:rPr>
        <w:t xml:space="preserve"> the following</w:t>
      </w:r>
      <w:r w:rsidRPr="00D92D77">
        <w:rPr>
          <w:noProof/>
          <w:szCs w:val="24"/>
        </w:rPr>
        <w:t>:</w:t>
      </w:r>
    </w:p>
    <w:p w:rsidR="00564E31" w:rsidRPr="00F42C05" w:rsidRDefault="00564E31" w:rsidP="00263AE0">
      <w:pPr>
        <w:pStyle w:val="Point0"/>
        <w:ind w:left="1418" w:hanging="567"/>
        <w:rPr>
          <w:noProof/>
          <w:szCs w:val="24"/>
        </w:rPr>
      </w:pPr>
      <w:r>
        <w:rPr>
          <w:noProof/>
        </w:rPr>
        <w:t>(a)</w:t>
      </w:r>
      <w:r>
        <w:rPr>
          <w:noProof/>
        </w:rPr>
        <w:tab/>
      </w:r>
      <w:r w:rsidRPr="00F42C05">
        <w:rPr>
          <w:noProof/>
          <w:szCs w:val="24"/>
        </w:rPr>
        <w:t>the ratio of tariffs applied to producers and tariffs applied to final customers;</w:t>
      </w:r>
    </w:p>
    <w:p w:rsidR="00564E31" w:rsidRDefault="00564E31" w:rsidP="00263AE0">
      <w:pPr>
        <w:pStyle w:val="Point0"/>
        <w:ind w:left="1418" w:hanging="567"/>
        <w:rPr>
          <w:noProof/>
          <w:szCs w:val="24"/>
        </w:rPr>
      </w:pPr>
      <w:r>
        <w:rPr>
          <w:noProof/>
        </w:rPr>
        <w:t>(b)</w:t>
      </w:r>
      <w:r>
        <w:rPr>
          <w:noProof/>
        </w:rPr>
        <w:tab/>
      </w:r>
      <w:r w:rsidRPr="00D92D77">
        <w:rPr>
          <w:noProof/>
          <w:szCs w:val="24"/>
        </w:rPr>
        <w:t>the costs to be recovered by tariffs;</w:t>
      </w:r>
    </w:p>
    <w:p w:rsidR="00564E31" w:rsidRDefault="00564E31" w:rsidP="00263AE0">
      <w:pPr>
        <w:pStyle w:val="Point0"/>
        <w:ind w:left="1418" w:hanging="567"/>
        <w:rPr>
          <w:noProof/>
          <w:szCs w:val="24"/>
        </w:rPr>
      </w:pPr>
      <w:r>
        <w:rPr>
          <w:noProof/>
        </w:rPr>
        <w:t>(c)</w:t>
      </w:r>
      <w:r>
        <w:rPr>
          <w:noProof/>
        </w:rPr>
        <w:tab/>
      </w:r>
      <w:r w:rsidRPr="00D92D77">
        <w:rPr>
          <w:noProof/>
          <w:szCs w:val="24"/>
        </w:rPr>
        <w:t>time-differentiated network tariffs;</w:t>
      </w:r>
    </w:p>
    <w:p w:rsidR="00564E31" w:rsidRDefault="00564E31" w:rsidP="00263AE0">
      <w:pPr>
        <w:pStyle w:val="Point0"/>
        <w:ind w:left="1418" w:hanging="567"/>
        <w:rPr>
          <w:noProof/>
          <w:szCs w:val="24"/>
        </w:rPr>
      </w:pPr>
      <w:r>
        <w:rPr>
          <w:noProof/>
        </w:rPr>
        <w:t>(d)</w:t>
      </w:r>
      <w:r>
        <w:rPr>
          <w:noProof/>
        </w:rPr>
        <w:tab/>
      </w:r>
      <w:r w:rsidRPr="00D92D77">
        <w:rPr>
          <w:noProof/>
          <w:szCs w:val="24"/>
        </w:rPr>
        <w:t>locational signals;</w:t>
      </w:r>
    </w:p>
    <w:p w:rsidR="00564E31" w:rsidRDefault="00564E31" w:rsidP="00263AE0">
      <w:pPr>
        <w:pStyle w:val="Point0"/>
        <w:ind w:left="1418" w:hanging="567"/>
        <w:rPr>
          <w:noProof/>
          <w:szCs w:val="24"/>
        </w:rPr>
      </w:pPr>
      <w:r>
        <w:rPr>
          <w:noProof/>
        </w:rPr>
        <w:t>(e)</w:t>
      </w:r>
      <w:r>
        <w:rPr>
          <w:noProof/>
        </w:rPr>
        <w:tab/>
      </w:r>
      <w:r w:rsidRPr="00D92D77">
        <w:rPr>
          <w:noProof/>
          <w:szCs w:val="24"/>
        </w:rPr>
        <w:t>the relationship between transmission tariffs and distribution tariffs;</w:t>
      </w:r>
    </w:p>
    <w:p w:rsidR="00564E31" w:rsidRDefault="00564E31" w:rsidP="00263AE0">
      <w:pPr>
        <w:pStyle w:val="Point0"/>
        <w:ind w:left="1418" w:hanging="567"/>
        <w:rPr>
          <w:noProof/>
          <w:szCs w:val="24"/>
        </w:rPr>
      </w:pPr>
      <w:r>
        <w:rPr>
          <w:noProof/>
        </w:rPr>
        <w:t>(f)</w:t>
      </w:r>
      <w:r>
        <w:rPr>
          <w:noProof/>
        </w:rPr>
        <w:tab/>
      </w:r>
      <w:r w:rsidRPr="00D92D77">
        <w:rPr>
          <w:noProof/>
          <w:szCs w:val="24"/>
        </w:rPr>
        <w:t>methods, to be determined after consulting relevant stakeholders, to ensure transparency in the setting and structure of tariffs, including anticipatory investment, that are in line with relevant Union and national energy objectives and taking into account the acceleration areas as established in accordance with Directive (EU) 2018/2001;</w:t>
      </w:r>
    </w:p>
    <w:p w:rsidR="00564E31" w:rsidRDefault="00564E31" w:rsidP="00263AE0">
      <w:pPr>
        <w:pStyle w:val="Point0"/>
        <w:ind w:left="1418" w:hanging="567"/>
        <w:rPr>
          <w:noProof/>
          <w:szCs w:val="24"/>
        </w:rPr>
      </w:pPr>
      <w:r>
        <w:rPr>
          <w:noProof/>
        </w:rPr>
        <w:t>(g)</w:t>
      </w:r>
      <w:r>
        <w:rPr>
          <w:noProof/>
        </w:rPr>
        <w:tab/>
      </w:r>
      <w:r w:rsidRPr="00D92D77">
        <w:rPr>
          <w:noProof/>
          <w:szCs w:val="24"/>
        </w:rPr>
        <w:t>groups of network users subject to tariffs including, where applicable, the characteristics of those groups, forms of consumption, and any tariff exemptions;</w:t>
      </w:r>
    </w:p>
    <w:p w:rsidR="00564E31" w:rsidRDefault="00564E31" w:rsidP="00263AE0">
      <w:pPr>
        <w:pStyle w:val="Point0"/>
        <w:ind w:left="1418" w:hanging="567"/>
        <w:rPr>
          <w:noProof/>
          <w:szCs w:val="24"/>
        </w:rPr>
      </w:pPr>
      <w:r>
        <w:rPr>
          <w:noProof/>
        </w:rPr>
        <w:t>(h)</w:t>
      </w:r>
      <w:r>
        <w:rPr>
          <w:noProof/>
        </w:rPr>
        <w:tab/>
      </w:r>
      <w:r w:rsidRPr="00D92D77">
        <w:rPr>
          <w:noProof/>
          <w:szCs w:val="24"/>
        </w:rPr>
        <w:t xml:space="preserve">losses in high, medium and low-voltage grids; </w:t>
      </w:r>
    </w:p>
    <w:p w:rsidR="00564E31" w:rsidRDefault="00564E31" w:rsidP="00263AE0">
      <w:pPr>
        <w:pStyle w:val="Point0"/>
        <w:ind w:left="1418" w:hanging="567"/>
        <w:rPr>
          <w:noProof/>
          <w:szCs w:val="24"/>
        </w:rPr>
      </w:pPr>
      <w:r>
        <w:rPr>
          <w:noProof/>
        </w:rPr>
        <w:t>(i)</w:t>
      </w:r>
      <w:r>
        <w:rPr>
          <w:noProof/>
        </w:rPr>
        <w:tab/>
      </w:r>
      <w:r w:rsidRPr="00D92D77">
        <w:rPr>
          <w:noProof/>
          <w:szCs w:val="24"/>
        </w:rPr>
        <w:t xml:space="preserve">incentives for efficient investment in networks, and for efficient use of </w:t>
      </w:r>
      <w:r>
        <w:rPr>
          <w:noProof/>
          <w:szCs w:val="24"/>
        </w:rPr>
        <w:t xml:space="preserve">the </w:t>
      </w:r>
      <w:r w:rsidRPr="00D92D77">
        <w:rPr>
          <w:noProof/>
          <w:szCs w:val="24"/>
        </w:rPr>
        <w:t xml:space="preserve">existing network, including resources providing flexibility and flexible connection agreements, and use of </w:t>
      </w:r>
      <w:r>
        <w:rPr>
          <w:noProof/>
          <w:szCs w:val="24"/>
        </w:rPr>
        <w:t>non-wire,</w:t>
      </w:r>
      <w:r w:rsidRPr="00D92D77">
        <w:rPr>
          <w:noProof/>
          <w:szCs w:val="24"/>
        </w:rPr>
        <w:t xml:space="preserve"> digital and smart solutions.</w:t>
      </w:r>
    </w:p>
    <w:p w:rsidR="00564E31" w:rsidRPr="00E74855" w:rsidRDefault="00564E31" w:rsidP="00F42C05">
      <w:pPr>
        <w:ind w:left="851"/>
        <w:rPr>
          <w:noProof/>
        </w:rPr>
      </w:pPr>
      <w:r w:rsidRPr="00E74855">
        <w:rPr>
          <w:noProof/>
        </w:rPr>
        <w:t>ACER shall update the best practice report at least once every two years.</w:t>
      </w:r>
    </w:p>
    <w:p w:rsidR="00564E31" w:rsidRPr="00D92D77" w:rsidRDefault="00564E31" w:rsidP="00263AE0">
      <w:pPr>
        <w:pStyle w:val="ManualNumPar1"/>
        <w:ind w:hanging="283"/>
        <w:rPr>
          <w:noProof/>
          <w:szCs w:val="24"/>
        </w:rPr>
      </w:pPr>
      <w:r>
        <w:rPr>
          <w:noProof/>
        </w:rPr>
        <w:t>9.</w:t>
      </w:r>
      <w:r>
        <w:rPr>
          <w:noProof/>
        </w:rPr>
        <w:tab/>
      </w:r>
      <w:r w:rsidRPr="00D92D77">
        <w:rPr>
          <w:noProof/>
          <w:szCs w:val="24"/>
        </w:rPr>
        <w:t>Regulatory authorities shall duly take the best practice report into consideration when fixing or approving transmission tariffs and distribution tariffs or their methodologies in accordance with Article 59 of Directive (EU) 2019/944.</w:t>
      </w:r>
      <w:r w:rsidRPr="00851B85">
        <w:rPr>
          <w:noProof/>
        </w:rPr>
        <w:t>’</w:t>
      </w:r>
      <w:r w:rsidR="00F34D25">
        <w:rPr>
          <w:noProof/>
        </w:rPr>
        <w:t>;</w:t>
      </w:r>
    </w:p>
    <w:p w:rsidR="000324F9" w:rsidRDefault="00564E31" w:rsidP="00564E31">
      <w:pPr>
        <w:spacing w:after="160" w:line="360" w:lineRule="auto"/>
        <w:rPr>
          <w:rFonts w:eastAsia="Times New Roman"/>
          <w:noProof/>
          <w:lang w:val="en-IE"/>
        </w:rPr>
      </w:pPr>
      <w:r w:rsidRPr="00510CFC">
        <w:rPr>
          <w:noProof/>
          <w:lang w:val="en-IE"/>
        </w:rPr>
        <w:t>(</w:t>
      </w:r>
      <w:r>
        <w:rPr>
          <w:noProof/>
          <w:lang w:val="en-IE"/>
        </w:rPr>
        <w:t>2</w:t>
      </w:r>
      <w:r w:rsidRPr="00510CFC">
        <w:rPr>
          <w:noProof/>
          <w:lang w:val="en-IE"/>
        </w:rPr>
        <w:t xml:space="preserve">) </w:t>
      </w:r>
      <w:r w:rsidRPr="00851B85">
        <w:rPr>
          <w:rFonts w:eastAsia="Times New Roman"/>
          <w:noProof/>
          <w:lang w:val="en-IE"/>
        </w:rPr>
        <w:t xml:space="preserve">the following Articles </w:t>
      </w:r>
      <w:r>
        <w:rPr>
          <w:rFonts w:eastAsia="Times New Roman"/>
          <w:noProof/>
          <w:lang w:val="en-IE"/>
        </w:rPr>
        <w:t>18a,</w:t>
      </w:r>
      <w:r w:rsidRPr="00851B85">
        <w:rPr>
          <w:rFonts w:eastAsia="Times New Roman"/>
          <w:noProof/>
          <w:lang w:val="en-IE"/>
        </w:rPr>
        <w:t xml:space="preserve"> </w:t>
      </w:r>
      <w:r>
        <w:rPr>
          <w:rFonts w:eastAsia="Times New Roman"/>
          <w:noProof/>
          <w:lang w:val="en-IE"/>
        </w:rPr>
        <w:t>18b</w:t>
      </w:r>
      <w:r w:rsidR="00344114">
        <w:rPr>
          <w:rFonts w:eastAsia="Times New Roman"/>
          <w:noProof/>
          <w:lang w:val="en-IE"/>
        </w:rPr>
        <w:t>,</w:t>
      </w:r>
      <w:r w:rsidRPr="00FF2CBD">
        <w:rPr>
          <w:rFonts w:eastAsia="Times New Roman"/>
          <w:noProof/>
          <w:lang w:val="en-IE"/>
        </w:rPr>
        <w:t>18</w:t>
      </w:r>
      <w:r>
        <w:rPr>
          <w:rFonts w:eastAsia="Times New Roman"/>
          <w:noProof/>
          <w:lang w:val="en-IE"/>
        </w:rPr>
        <w:t>c</w:t>
      </w:r>
      <w:r w:rsidR="00344114">
        <w:rPr>
          <w:rFonts w:eastAsia="Times New Roman"/>
          <w:noProof/>
          <w:lang w:val="en-IE"/>
        </w:rPr>
        <w:t xml:space="preserve"> and 18d</w:t>
      </w:r>
      <w:r>
        <w:rPr>
          <w:rFonts w:eastAsia="Times New Roman"/>
          <w:noProof/>
          <w:lang w:val="en-IE"/>
        </w:rPr>
        <w:t xml:space="preserve"> </w:t>
      </w:r>
      <w:r w:rsidRPr="00851B85">
        <w:rPr>
          <w:rFonts w:eastAsia="Times New Roman"/>
          <w:noProof/>
          <w:lang w:val="en-IE"/>
        </w:rPr>
        <w:t>are inserted:</w:t>
      </w:r>
    </w:p>
    <w:p w:rsidR="000324F9" w:rsidRDefault="000324F9">
      <w:pPr>
        <w:spacing w:before="0" w:after="200" w:line="276" w:lineRule="auto"/>
        <w:jc w:val="left"/>
        <w:rPr>
          <w:rFonts w:eastAsia="Times New Roman"/>
          <w:noProof/>
          <w:lang w:val="en-IE"/>
        </w:rPr>
      </w:pPr>
      <w:r>
        <w:rPr>
          <w:rFonts w:eastAsia="Times New Roman"/>
          <w:noProof/>
          <w:lang w:val="en-IE"/>
        </w:rPr>
        <w:br w:type="page"/>
      </w:r>
    </w:p>
    <w:p w:rsidR="00564E31" w:rsidRPr="005E38A1" w:rsidRDefault="00564E31" w:rsidP="008F381E">
      <w:pPr>
        <w:pStyle w:val="Titrearticle"/>
        <w:rPr>
          <w:noProof/>
          <w:lang w:val="en-IE"/>
        </w:rPr>
      </w:pPr>
      <w:r w:rsidRPr="005E38A1">
        <w:rPr>
          <w:noProof/>
          <w:lang w:val="en-US"/>
        </w:rPr>
        <w:t>‘</w:t>
      </w:r>
      <w:r w:rsidRPr="005E38A1">
        <w:rPr>
          <w:noProof/>
          <w:lang w:val="en-IE"/>
        </w:rPr>
        <w:t>Article 18a</w:t>
      </w:r>
    </w:p>
    <w:p w:rsidR="00564E31" w:rsidRPr="008F381E" w:rsidRDefault="00564E31" w:rsidP="005E38A1">
      <w:pPr>
        <w:spacing w:after="160" w:line="360" w:lineRule="auto"/>
        <w:ind w:left="567"/>
        <w:contextualSpacing/>
        <w:jc w:val="center"/>
        <w:rPr>
          <w:rFonts w:eastAsia="Times New Roman"/>
          <w:b/>
          <w:bCs/>
          <w:noProof/>
          <w:lang w:val="en-IE"/>
        </w:rPr>
      </w:pPr>
      <w:r w:rsidRPr="008F381E">
        <w:rPr>
          <w:rFonts w:eastAsia="Times New Roman"/>
          <w:b/>
          <w:bCs/>
          <w:noProof/>
          <w:lang w:val="en-IE"/>
        </w:rPr>
        <w:t xml:space="preserve">Smart </w:t>
      </w:r>
      <w:r w:rsidR="004A3EE6" w:rsidRPr="008F381E">
        <w:rPr>
          <w:b/>
          <w:bCs/>
          <w:noProof/>
        </w:rPr>
        <w:t xml:space="preserve">electricity </w:t>
      </w:r>
      <w:r w:rsidRPr="008F381E">
        <w:rPr>
          <w:rFonts w:eastAsia="Times New Roman"/>
          <w:b/>
          <w:bCs/>
          <w:noProof/>
          <w:lang w:val="en-IE"/>
        </w:rPr>
        <w:t>grid indicators and innovation</w:t>
      </w:r>
    </w:p>
    <w:p w:rsidR="00564E31" w:rsidRPr="00A83ECB" w:rsidRDefault="00564E31" w:rsidP="00263AE0">
      <w:pPr>
        <w:pStyle w:val="ManualNumPar1"/>
        <w:ind w:hanging="283"/>
        <w:rPr>
          <w:noProof/>
          <w:szCs w:val="24"/>
        </w:rPr>
      </w:pPr>
      <w:r>
        <w:rPr>
          <w:noProof/>
        </w:rPr>
        <w:t>1.</w:t>
      </w:r>
      <w:r>
        <w:rPr>
          <w:noProof/>
        </w:rPr>
        <w:tab/>
      </w:r>
      <w:r w:rsidRPr="00A83ECB">
        <w:rPr>
          <w:noProof/>
          <w:szCs w:val="24"/>
        </w:rPr>
        <w:t>Regulatory authorities shall promote the deployment of non-wire, smart and digital solutions, whenever such technologies and solutions efficiently enhance the usable capacity, flexibility and reliability of electricity transmission and distribution networks</w:t>
      </w:r>
      <w:r w:rsidR="00902BEA">
        <w:rPr>
          <w:noProof/>
          <w:szCs w:val="24"/>
        </w:rPr>
        <w:t xml:space="preserve">, </w:t>
      </w:r>
      <w:r w:rsidR="006A6826">
        <w:rPr>
          <w:noProof/>
          <w:szCs w:val="24"/>
        </w:rPr>
        <w:t xml:space="preserve">via regulatory incentives pursuant to Article 18 as well as </w:t>
      </w:r>
      <w:r w:rsidR="002308E0">
        <w:rPr>
          <w:noProof/>
          <w:szCs w:val="24"/>
        </w:rPr>
        <w:t>by</w:t>
      </w:r>
      <w:r w:rsidR="007B73C9">
        <w:rPr>
          <w:noProof/>
          <w:szCs w:val="24"/>
        </w:rPr>
        <w:t xml:space="preserve"> considering </w:t>
      </w:r>
      <w:r w:rsidR="00FB01AC">
        <w:rPr>
          <w:noProof/>
          <w:szCs w:val="24"/>
        </w:rPr>
        <w:t xml:space="preserve">those solutions </w:t>
      </w:r>
      <w:r w:rsidR="007B73C9">
        <w:rPr>
          <w:noProof/>
          <w:szCs w:val="24"/>
        </w:rPr>
        <w:t>with priority under</w:t>
      </w:r>
      <w:r w:rsidR="007003D2">
        <w:rPr>
          <w:noProof/>
          <w:szCs w:val="24"/>
        </w:rPr>
        <w:t xml:space="preserve"> the network development plans pursuant to Articles </w:t>
      </w:r>
      <w:r w:rsidR="003D79B5">
        <w:rPr>
          <w:noProof/>
          <w:szCs w:val="24"/>
        </w:rPr>
        <w:t xml:space="preserve">32 and </w:t>
      </w:r>
      <w:r w:rsidR="00701F6F">
        <w:rPr>
          <w:noProof/>
          <w:szCs w:val="24"/>
        </w:rPr>
        <w:t>51 of Directive (EU) 2019/944</w:t>
      </w:r>
      <w:r w:rsidRPr="00A83ECB">
        <w:rPr>
          <w:noProof/>
          <w:szCs w:val="24"/>
        </w:rPr>
        <w:t>.</w:t>
      </w:r>
    </w:p>
    <w:p w:rsidR="00564E31" w:rsidRPr="00A83990" w:rsidRDefault="00564E31" w:rsidP="00263AE0">
      <w:pPr>
        <w:pStyle w:val="ManualNumPar1"/>
        <w:ind w:hanging="283"/>
        <w:rPr>
          <w:noProof/>
          <w:szCs w:val="24"/>
        </w:rPr>
      </w:pPr>
      <w:r>
        <w:rPr>
          <w:noProof/>
        </w:rPr>
        <w:t>2.</w:t>
      </w:r>
      <w:r>
        <w:rPr>
          <w:noProof/>
        </w:rPr>
        <w:tab/>
      </w:r>
      <w:r w:rsidRPr="00A83ECB">
        <w:rPr>
          <w:noProof/>
          <w:szCs w:val="24"/>
        </w:rPr>
        <w:t>By</w:t>
      </w:r>
      <w:r w:rsidRPr="005277D4">
        <w:rPr>
          <w:noProof/>
          <w:szCs w:val="24"/>
        </w:rPr>
        <w:t xml:space="preserve"> </w:t>
      </w:r>
      <w:r w:rsidRPr="00AC0846">
        <w:rPr>
          <w:noProof/>
          <w:szCs w:val="24"/>
        </w:rPr>
        <w:t>[</w:t>
      </w:r>
      <w:r w:rsidRPr="00AC0846">
        <w:rPr>
          <w:i/>
          <w:iCs/>
          <w:noProof/>
          <w:szCs w:val="24"/>
        </w:rPr>
        <w:t>first day of the month following 12 months after the date of entry into force of this Regulation</w:t>
      </w:r>
      <w:r w:rsidRPr="00AC0846">
        <w:rPr>
          <w:noProof/>
          <w:szCs w:val="24"/>
        </w:rPr>
        <w:t>]</w:t>
      </w:r>
      <w:r w:rsidRPr="005277D4">
        <w:rPr>
          <w:noProof/>
          <w:szCs w:val="24"/>
        </w:rPr>
        <w:t>, ACER shall, in close cooperation with the Commission, the ENTSO for Electricity</w:t>
      </w:r>
      <w:r w:rsidR="0000414E" w:rsidRPr="005277D4">
        <w:rPr>
          <w:noProof/>
          <w:szCs w:val="24"/>
        </w:rPr>
        <w:t>,</w:t>
      </w:r>
      <w:r w:rsidRPr="005277D4">
        <w:rPr>
          <w:noProof/>
          <w:szCs w:val="24"/>
        </w:rPr>
        <w:t xml:space="preserve"> the EU DSO entity </w:t>
      </w:r>
      <w:r w:rsidR="0000414E" w:rsidRPr="005277D4">
        <w:rPr>
          <w:noProof/>
          <w:szCs w:val="24"/>
        </w:rPr>
        <w:t>and</w:t>
      </w:r>
      <w:r w:rsidRPr="005277D4">
        <w:rPr>
          <w:noProof/>
          <w:szCs w:val="24"/>
        </w:rPr>
        <w:t xml:space="preserve"> relevant stakeholders, issue a recommendation addressed to regulatory authorities on smart </w:t>
      </w:r>
      <w:r w:rsidR="004A3EE6" w:rsidRPr="005277D4">
        <w:rPr>
          <w:noProof/>
          <w:szCs w:val="24"/>
        </w:rPr>
        <w:t xml:space="preserve">electricity </w:t>
      </w:r>
      <w:r w:rsidRPr="005277D4">
        <w:rPr>
          <w:noProof/>
          <w:szCs w:val="24"/>
        </w:rPr>
        <w:t xml:space="preserve">grid indicators to measure the uptake and performance of smart and innovative grid technologies and digital solutions in transmission and distribution networks. Transmission system operators and distribution system operators shall provide, </w:t>
      </w:r>
      <w:r w:rsidR="0024615E" w:rsidRPr="005277D4">
        <w:rPr>
          <w:noProof/>
          <w:szCs w:val="24"/>
        </w:rPr>
        <w:t>or</w:t>
      </w:r>
      <w:r w:rsidRPr="005277D4">
        <w:rPr>
          <w:noProof/>
          <w:szCs w:val="24"/>
        </w:rPr>
        <w:t xml:space="preserve"> ensure the provision of, the data requested for that purpose to the regulatory authorities and to ACER.</w:t>
      </w:r>
      <w:r w:rsidR="00947110" w:rsidRPr="005277D4">
        <w:rPr>
          <w:noProof/>
          <w:szCs w:val="24"/>
        </w:rPr>
        <w:t xml:space="preserve"> This data shall not include </w:t>
      </w:r>
      <w:r w:rsidR="005A2976" w:rsidRPr="005277D4">
        <w:rPr>
          <w:noProof/>
          <w:szCs w:val="24"/>
        </w:rPr>
        <w:t>any personal data.</w:t>
      </w:r>
    </w:p>
    <w:p w:rsidR="00564E31" w:rsidRPr="00C90B0E" w:rsidRDefault="00564E31" w:rsidP="00263AE0">
      <w:pPr>
        <w:pStyle w:val="ManualNumPar1"/>
        <w:ind w:hanging="283"/>
        <w:rPr>
          <w:noProof/>
          <w:szCs w:val="24"/>
        </w:rPr>
      </w:pPr>
      <w:r>
        <w:rPr>
          <w:noProof/>
        </w:rPr>
        <w:t>3.</w:t>
      </w:r>
      <w:r>
        <w:rPr>
          <w:noProof/>
        </w:rPr>
        <w:tab/>
      </w:r>
      <w:r w:rsidRPr="00A83990">
        <w:rPr>
          <w:noProof/>
          <w:szCs w:val="24"/>
        </w:rPr>
        <w:t xml:space="preserve">At least every three years after the publication of ACER’s recommendation referred to in paragraph 2, ACER shall publish a Union-level progress report assessing the development </w:t>
      </w:r>
      <w:r w:rsidRPr="00C90B0E">
        <w:rPr>
          <w:noProof/>
          <w:szCs w:val="24"/>
        </w:rPr>
        <w:t xml:space="preserve">and uptake of smart </w:t>
      </w:r>
      <w:r w:rsidR="004A3EE6">
        <w:rPr>
          <w:noProof/>
        </w:rPr>
        <w:t xml:space="preserve">electricity </w:t>
      </w:r>
      <w:r w:rsidRPr="00C90B0E">
        <w:rPr>
          <w:noProof/>
          <w:szCs w:val="24"/>
        </w:rPr>
        <w:t>grid solutions and the efficient use of electricity infrastructure, based on the indicators referred to in paragraph 2</w:t>
      </w:r>
      <w:r w:rsidR="009C1B31">
        <w:rPr>
          <w:noProof/>
          <w:szCs w:val="24"/>
        </w:rPr>
        <w:t xml:space="preserve"> of this </w:t>
      </w:r>
      <w:r w:rsidR="00FB01AC">
        <w:rPr>
          <w:noProof/>
          <w:szCs w:val="24"/>
        </w:rPr>
        <w:t>A</w:t>
      </w:r>
      <w:r w:rsidR="009C1B31">
        <w:rPr>
          <w:noProof/>
          <w:szCs w:val="24"/>
        </w:rPr>
        <w:t>rticle</w:t>
      </w:r>
      <w:r w:rsidRPr="00C90B0E">
        <w:rPr>
          <w:noProof/>
          <w:szCs w:val="24"/>
        </w:rPr>
        <w:t xml:space="preserve"> and on national reports under Article 59(l) of Directive (EU) 2019/944. </w:t>
      </w:r>
      <w:r>
        <w:rPr>
          <w:noProof/>
          <w:szCs w:val="24"/>
        </w:rPr>
        <w:t>ACER’s</w:t>
      </w:r>
      <w:r w:rsidRPr="00C90B0E">
        <w:rPr>
          <w:noProof/>
          <w:szCs w:val="24"/>
        </w:rPr>
        <w:t xml:space="preserve"> report shall identify best practices and, where appropriate, recommend further measures</w:t>
      </w:r>
      <w:r w:rsidR="00A81451">
        <w:rPr>
          <w:noProof/>
          <w:szCs w:val="24"/>
        </w:rPr>
        <w:t xml:space="preserve"> to the </w:t>
      </w:r>
      <w:r w:rsidR="005961D9">
        <w:rPr>
          <w:noProof/>
          <w:szCs w:val="24"/>
        </w:rPr>
        <w:t>regulatory authorities and the</w:t>
      </w:r>
      <w:r w:rsidR="00A81451">
        <w:rPr>
          <w:noProof/>
          <w:szCs w:val="24"/>
        </w:rPr>
        <w:t xml:space="preserve"> </w:t>
      </w:r>
      <w:r w:rsidR="00195CB6">
        <w:rPr>
          <w:noProof/>
          <w:szCs w:val="24"/>
        </w:rPr>
        <w:t>Commission</w:t>
      </w:r>
      <w:r w:rsidRPr="00C90B0E">
        <w:rPr>
          <w:noProof/>
          <w:szCs w:val="24"/>
        </w:rPr>
        <w:t>.</w:t>
      </w:r>
    </w:p>
    <w:p w:rsidR="00564E31" w:rsidRPr="005A5850" w:rsidRDefault="00564E31" w:rsidP="75797A66">
      <w:pPr>
        <w:pStyle w:val="ManualNumPar1"/>
        <w:ind w:hanging="283"/>
        <w:rPr>
          <w:noProof/>
        </w:rPr>
      </w:pPr>
      <w:r>
        <w:rPr>
          <w:noProof/>
        </w:rPr>
        <w:t>4.</w:t>
      </w:r>
      <w:r>
        <w:rPr>
          <w:noProof/>
        </w:rPr>
        <w:tab/>
        <w:t xml:space="preserve">Transmission system operators and distribution system operators shall manage and exchange grid data </w:t>
      </w:r>
      <w:r w:rsidR="00F21583">
        <w:rPr>
          <w:noProof/>
        </w:rPr>
        <w:t xml:space="preserve">to </w:t>
      </w:r>
      <w:r>
        <w:rPr>
          <w:noProof/>
        </w:rPr>
        <w:t xml:space="preserve">enable the development, deployment and effective use of smart </w:t>
      </w:r>
      <w:r w:rsidR="0044498A">
        <w:rPr>
          <w:noProof/>
        </w:rPr>
        <w:t>electricity grids</w:t>
      </w:r>
      <w:r>
        <w:rPr>
          <w:noProof/>
        </w:rPr>
        <w:t xml:space="preserve"> in order to ensure the efficient, secure and flexible operation of the electricity system. For that purpose, they shall cooperate</w:t>
      </w:r>
      <w:r w:rsidR="00DB014A">
        <w:rPr>
          <w:noProof/>
        </w:rPr>
        <w:t>, including via establishing data sharing agreements,</w:t>
      </w:r>
      <w:r>
        <w:rPr>
          <w:noProof/>
        </w:rPr>
        <w:t xml:space="preserve"> to make use of </w:t>
      </w:r>
      <w:r w:rsidR="007B4190">
        <w:rPr>
          <w:noProof/>
        </w:rPr>
        <w:t xml:space="preserve">electricity </w:t>
      </w:r>
      <w:r w:rsidR="00DB014A">
        <w:rPr>
          <w:noProof/>
        </w:rPr>
        <w:t xml:space="preserve">grid </w:t>
      </w:r>
      <w:r>
        <w:rPr>
          <w:noProof/>
        </w:rPr>
        <w:t>data in a harmonised manner</w:t>
      </w:r>
      <w:r w:rsidR="00307605">
        <w:rPr>
          <w:noProof/>
        </w:rPr>
        <w:t xml:space="preserve">. </w:t>
      </w:r>
      <w:r w:rsidR="00EA6A93">
        <w:rPr>
          <w:noProof/>
        </w:rPr>
        <w:t>They shall do so in compliance with chapter III of Regulation (EU) 2023/2854 of the European Parliament and of the Counci</w:t>
      </w:r>
      <w:r w:rsidR="00EA6A93" w:rsidRPr="008F30B5">
        <w:rPr>
          <w:noProof/>
        </w:rPr>
        <w:t>l</w:t>
      </w:r>
      <w:r w:rsidR="00EA6A93" w:rsidRPr="00D558EF">
        <w:rPr>
          <w:noProof/>
        </w:rPr>
        <w:t>*</w:t>
      </w:r>
      <w:r w:rsidR="00EA6A93" w:rsidRPr="00730E4C">
        <w:rPr>
          <w:noProof/>
        </w:rPr>
        <w:t xml:space="preserve">. </w:t>
      </w:r>
      <w:r w:rsidR="70625A61" w:rsidRPr="00730E4C">
        <w:rPr>
          <w:rFonts w:eastAsia="Times New Roman"/>
          <w:noProof/>
          <w:szCs w:val="24"/>
        </w:rPr>
        <w:t xml:space="preserve">Where electricity grid data falls within the scope of Chapter II of Regulation (EU) 2023/2854 </w:t>
      </w:r>
      <w:r w:rsidR="70625A61" w:rsidRPr="00730E4C">
        <w:rPr>
          <w:noProof/>
        </w:rPr>
        <w:t>of the European Parliament and of the Council*</w:t>
      </w:r>
      <w:r w:rsidR="70625A61" w:rsidRPr="00730E4C">
        <w:rPr>
          <w:rFonts w:eastAsia="Times New Roman"/>
          <w:noProof/>
          <w:szCs w:val="24"/>
        </w:rPr>
        <w:t xml:space="preserve">, that Chapter shall apply. </w:t>
      </w:r>
      <w:r w:rsidR="00307605">
        <w:rPr>
          <w:noProof/>
        </w:rPr>
        <w:t>They</w:t>
      </w:r>
      <w:r>
        <w:rPr>
          <w:noProof/>
        </w:rPr>
        <w:t xml:space="preserve"> shall </w:t>
      </w:r>
      <w:r w:rsidR="00307605">
        <w:rPr>
          <w:noProof/>
        </w:rPr>
        <w:t xml:space="preserve">also </w:t>
      </w:r>
      <w:r>
        <w:rPr>
          <w:noProof/>
        </w:rPr>
        <w:t xml:space="preserve">develop and operate </w:t>
      </w:r>
      <w:r w:rsidR="006416B5">
        <w:rPr>
          <w:noProof/>
        </w:rPr>
        <w:t xml:space="preserve">state-of-the arts digital </w:t>
      </w:r>
      <w:r>
        <w:rPr>
          <w:noProof/>
        </w:rPr>
        <w:t xml:space="preserve">data-driven solutions </w:t>
      </w:r>
      <w:r w:rsidR="006416B5">
        <w:rPr>
          <w:noProof/>
        </w:rPr>
        <w:t xml:space="preserve">to </w:t>
      </w:r>
      <w:r>
        <w:rPr>
          <w:noProof/>
        </w:rPr>
        <w:t>support the monitoring, optimisation and coordination of network operation, including the integration of demand response, renewable energy sources and non-fossil flexibility.</w:t>
      </w:r>
      <w:r w:rsidR="00D85B80">
        <w:rPr>
          <w:noProof/>
        </w:rPr>
        <w:t xml:space="preserve"> Personal data shall be shared only </w:t>
      </w:r>
      <w:r w:rsidR="00E95F31">
        <w:rPr>
          <w:noProof/>
        </w:rPr>
        <w:t>when anonymised data are not sufficient for the objective pursued</w:t>
      </w:r>
      <w:r w:rsidR="00D85B80">
        <w:rPr>
          <w:noProof/>
        </w:rPr>
        <w:t>.</w:t>
      </w:r>
    </w:p>
    <w:p w:rsidR="003F3292" w:rsidRDefault="00737421" w:rsidP="00263AE0">
      <w:pPr>
        <w:pStyle w:val="ManualNumPar1"/>
        <w:ind w:hanging="283"/>
        <w:rPr>
          <w:noProof/>
        </w:rPr>
      </w:pPr>
      <w:r>
        <w:rPr>
          <w:noProof/>
        </w:rPr>
        <w:t>5.</w:t>
      </w:r>
      <w:r>
        <w:rPr>
          <w:noProof/>
        </w:rPr>
        <w:tab/>
      </w:r>
      <w:r w:rsidRPr="00737421">
        <w:rPr>
          <w:noProof/>
          <w:szCs w:val="24"/>
        </w:rPr>
        <w:t xml:space="preserve">By </w:t>
      </w:r>
      <w:r w:rsidRPr="00357458">
        <w:rPr>
          <w:noProof/>
          <w:szCs w:val="24"/>
        </w:rPr>
        <w:t>[</w:t>
      </w:r>
      <w:r w:rsidRPr="00357458">
        <w:rPr>
          <w:i/>
          <w:iCs/>
          <w:noProof/>
          <w:szCs w:val="24"/>
        </w:rPr>
        <w:t>first day of the month following 12 months after the date of entry into force of this Regulation</w:t>
      </w:r>
      <w:r w:rsidRPr="00357458">
        <w:rPr>
          <w:noProof/>
          <w:szCs w:val="24"/>
        </w:rPr>
        <w:t>]</w:t>
      </w:r>
      <w:r>
        <w:rPr>
          <w:noProof/>
          <w:szCs w:val="24"/>
        </w:rPr>
        <w:t xml:space="preserve"> </w:t>
      </w:r>
      <w:r w:rsidR="009420DE">
        <w:rPr>
          <w:noProof/>
          <w:szCs w:val="24"/>
        </w:rPr>
        <w:t>t</w:t>
      </w:r>
      <w:r w:rsidR="00564E31" w:rsidRPr="00A83ECB">
        <w:rPr>
          <w:noProof/>
          <w:szCs w:val="24"/>
        </w:rPr>
        <w:t>ransmission</w:t>
      </w:r>
      <w:r w:rsidR="00564E31">
        <w:rPr>
          <w:noProof/>
        </w:rPr>
        <w:t xml:space="preserve"> system operators and distribution system operators shall, in cooperation with other system operators through a coordinated arrangement jointly facilitated by the ENTSO for Electricity and the EU DSO entity, establish a voluntary secure electricity grid data exchange framework</w:t>
      </w:r>
      <w:r w:rsidR="005E2CD3">
        <w:rPr>
          <w:noProof/>
        </w:rPr>
        <w:t xml:space="preserve">. </w:t>
      </w:r>
      <w:r w:rsidR="005E2CD3" w:rsidRPr="00073DEB">
        <w:rPr>
          <w:rFonts w:eastAsia="Times New Roman"/>
          <w:noProof/>
        </w:rPr>
        <w:t>That framework shall</w:t>
      </w:r>
      <w:r w:rsidR="00564E31" w:rsidRPr="00073DEB" w:rsidDel="00B259A1">
        <w:rPr>
          <w:rFonts w:eastAsia="Times New Roman"/>
          <w:noProof/>
        </w:rPr>
        <w:t xml:space="preserve"> </w:t>
      </w:r>
      <w:r w:rsidR="00564E31" w:rsidRPr="00073DEB">
        <w:rPr>
          <w:rFonts w:eastAsia="Times New Roman"/>
          <w:noProof/>
        </w:rPr>
        <w:t>enabl</w:t>
      </w:r>
      <w:r w:rsidR="00C02E6F" w:rsidRPr="00073DEB">
        <w:rPr>
          <w:rFonts w:eastAsia="Times New Roman"/>
          <w:noProof/>
        </w:rPr>
        <w:t>e</w:t>
      </w:r>
      <w:r w:rsidR="00564E31" w:rsidRPr="00073DEB">
        <w:rPr>
          <w:rFonts w:eastAsia="Times New Roman"/>
          <w:noProof/>
        </w:rPr>
        <w:t xml:space="preserve"> the </w:t>
      </w:r>
      <w:r w:rsidR="00A371BF" w:rsidRPr="001F55C1">
        <w:rPr>
          <w:rFonts w:eastAsia="Times New Roman"/>
          <w:noProof/>
        </w:rPr>
        <w:t xml:space="preserve">lawful, secure and controlled reuse of data for research and innovation public-interest purposes of </w:t>
      </w:r>
      <w:r w:rsidR="00A371BF">
        <w:rPr>
          <w:rFonts w:eastAsia="Times New Roman"/>
          <w:noProof/>
        </w:rPr>
        <w:t xml:space="preserve"> </w:t>
      </w:r>
      <w:r w:rsidR="00A371BF" w:rsidRPr="00073DEB">
        <w:rPr>
          <w:rFonts w:eastAsia="Times New Roman"/>
          <w:noProof/>
        </w:rPr>
        <w:t>develop</w:t>
      </w:r>
      <w:r w:rsidR="00A371BF">
        <w:rPr>
          <w:rFonts w:eastAsia="Times New Roman"/>
          <w:noProof/>
        </w:rPr>
        <w:t>ing</w:t>
      </w:r>
      <w:r w:rsidR="00564E31" w:rsidRPr="00073DEB">
        <w:rPr>
          <w:rFonts w:eastAsia="Times New Roman"/>
          <w:noProof/>
        </w:rPr>
        <w:t xml:space="preserve">, testing, integration and deployment of </w:t>
      </w:r>
      <w:r w:rsidR="00C25298" w:rsidRPr="00073DEB">
        <w:rPr>
          <w:rFonts w:eastAsia="Times New Roman"/>
          <w:noProof/>
        </w:rPr>
        <w:t xml:space="preserve">state-of-the arts </w:t>
      </w:r>
      <w:r w:rsidR="00564E31" w:rsidRPr="00073DEB">
        <w:rPr>
          <w:rFonts w:eastAsia="Times New Roman"/>
          <w:noProof/>
        </w:rPr>
        <w:t>technologies supporting the efficient and safe grid operation and optimisation</w:t>
      </w:r>
      <w:r w:rsidR="00E64CE5" w:rsidRPr="00073DEB">
        <w:rPr>
          <w:rFonts w:eastAsia="Times New Roman"/>
          <w:noProof/>
        </w:rPr>
        <w:t xml:space="preserve">. </w:t>
      </w:r>
      <w:r w:rsidR="00E64CE5">
        <w:rPr>
          <w:noProof/>
        </w:rPr>
        <w:t>In applying the provisions in this paragraph</w:t>
      </w:r>
      <w:r w:rsidR="000D2FEC">
        <w:rPr>
          <w:noProof/>
        </w:rPr>
        <w:t xml:space="preserve">, </w:t>
      </w:r>
      <w:r w:rsidR="00EB2378">
        <w:rPr>
          <w:noProof/>
        </w:rPr>
        <w:t xml:space="preserve">the </w:t>
      </w:r>
      <w:r w:rsidR="00EB2378">
        <w:rPr>
          <w:noProof/>
          <w:szCs w:val="24"/>
        </w:rPr>
        <w:t>t</w:t>
      </w:r>
      <w:r w:rsidR="00EB2378" w:rsidRPr="00A83ECB">
        <w:rPr>
          <w:noProof/>
          <w:szCs w:val="24"/>
        </w:rPr>
        <w:t>ransmission</w:t>
      </w:r>
      <w:r w:rsidR="00EB2378">
        <w:rPr>
          <w:noProof/>
        </w:rPr>
        <w:t xml:space="preserve"> system operators and distribution system operators shall</w:t>
      </w:r>
      <w:r w:rsidR="003F3292">
        <w:rPr>
          <w:noProof/>
        </w:rPr>
        <w:t>:</w:t>
      </w:r>
    </w:p>
    <w:p w:rsidR="00564E31" w:rsidRDefault="00564E31" w:rsidP="00263AE0">
      <w:pPr>
        <w:pStyle w:val="Point0"/>
        <w:ind w:left="1418" w:hanging="567"/>
        <w:rPr>
          <w:noProof/>
        </w:rPr>
      </w:pPr>
      <w:r>
        <w:rPr>
          <w:noProof/>
        </w:rPr>
        <w:t>(a)</w:t>
      </w:r>
      <w:r>
        <w:rPr>
          <w:noProof/>
        </w:rPr>
        <w:tab/>
      </w:r>
      <w:r w:rsidRPr="00F42C05">
        <w:rPr>
          <w:noProof/>
          <w:szCs w:val="24"/>
        </w:rPr>
        <w:t>ensur</w:t>
      </w:r>
      <w:r w:rsidR="00EB2378" w:rsidRPr="00F42C05">
        <w:rPr>
          <w:noProof/>
          <w:szCs w:val="24"/>
        </w:rPr>
        <w:t>e</w:t>
      </w:r>
      <w:r>
        <w:rPr>
          <w:noProof/>
        </w:rPr>
        <w:t xml:space="preserve"> compliance with confidentiality and security requirements</w:t>
      </w:r>
      <w:r w:rsidR="003F3292">
        <w:rPr>
          <w:noProof/>
        </w:rPr>
        <w:t>;</w:t>
      </w:r>
    </w:p>
    <w:p w:rsidR="00564E31" w:rsidRPr="00510CFC" w:rsidRDefault="00564E31" w:rsidP="00263AE0">
      <w:pPr>
        <w:pStyle w:val="Point0"/>
        <w:ind w:left="1418" w:hanging="567"/>
        <w:rPr>
          <w:noProof/>
        </w:rPr>
      </w:pPr>
      <w:r>
        <w:rPr>
          <w:noProof/>
        </w:rPr>
        <w:t>(b)</w:t>
      </w:r>
      <w:r>
        <w:rPr>
          <w:noProof/>
        </w:rPr>
        <w:tab/>
      </w:r>
      <w:r w:rsidRPr="00F42C05">
        <w:rPr>
          <w:noProof/>
          <w:szCs w:val="24"/>
        </w:rPr>
        <w:t>cooperate</w:t>
      </w:r>
      <w:r>
        <w:rPr>
          <w:noProof/>
        </w:rPr>
        <w:t xml:space="preserve"> with relevant European stakeholders, including research and technology organisations and industrial solutions providers to </w:t>
      </w:r>
      <w:r w:rsidR="00F43065">
        <w:rPr>
          <w:noProof/>
        </w:rPr>
        <w:t xml:space="preserve">consolidate </w:t>
      </w:r>
      <w:r>
        <w:rPr>
          <w:noProof/>
        </w:rPr>
        <w:t xml:space="preserve">in expertise, data and digital resources; </w:t>
      </w:r>
    </w:p>
    <w:p w:rsidR="00564E31" w:rsidRDefault="00564E31" w:rsidP="00263AE0">
      <w:pPr>
        <w:pStyle w:val="Point0"/>
        <w:ind w:left="1418" w:hanging="567"/>
        <w:rPr>
          <w:noProof/>
          <w:szCs w:val="24"/>
        </w:rPr>
      </w:pPr>
      <w:r>
        <w:rPr>
          <w:noProof/>
        </w:rPr>
        <w:t>(c)</w:t>
      </w:r>
      <w:r>
        <w:rPr>
          <w:noProof/>
        </w:rPr>
        <w:tab/>
      </w:r>
      <w:r w:rsidRPr="00510CFC">
        <w:rPr>
          <w:noProof/>
          <w:szCs w:val="24"/>
        </w:rPr>
        <w:t xml:space="preserve">allow the use of the developed </w:t>
      </w:r>
      <w:r w:rsidR="00D91035">
        <w:rPr>
          <w:noProof/>
          <w:szCs w:val="24"/>
        </w:rPr>
        <w:t>state-of-the arts</w:t>
      </w:r>
      <w:r w:rsidR="00D91035" w:rsidRPr="005A5850">
        <w:rPr>
          <w:noProof/>
          <w:szCs w:val="24"/>
        </w:rPr>
        <w:t xml:space="preserve"> </w:t>
      </w:r>
      <w:r w:rsidRPr="00510CFC">
        <w:rPr>
          <w:noProof/>
          <w:szCs w:val="24"/>
        </w:rPr>
        <w:t xml:space="preserve">solutions, by all European transmission and distribution system operators filing a request via the coordinated arrangement of </w:t>
      </w:r>
      <w:r>
        <w:rPr>
          <w:noProof/>
          <w:szCs w:val="24"/>
        </w:rPr>
        <w:t xml:space="preserve">the </w:t>
      </w:r>
      <w:r w:rsidRPr="00510CFC">
        <w:rPr>
          <w:noProof/>
          <w:szCs w:val="24"/>
        </w:rPr>
        <w:t xml:space="preserve">ENTSO for Electricity and the EU DSO </w:t>
      </w:r>
      <w:r>
        <w:rPr>
          <w:noProof/>
          <w:szCs w:val="24"/>
        </w:rPr>
        <w:t>e</w:t>
      </w:r>
      <w:r w:rsidRPr="00510CFC">
        <w:rPr>
          <w:noProof/>
          <w:szCs w:val="24"/>
        </w:rPr>
        <w:t>ntity;</w:t>
      </w:r>
    </w:p>
    <w:p w:rsidR="00564E31" w:rsidRDefault="00564E31" w:rsidP="00F42C05">
      <w:pPr>
        <w:ind w:left="851"/>
        <w:rPr>
          <w:noProof/>
        </w:rPr>
      </w:pPr>
      <w:r>
        <w:rPr>
          <w:noProof/>
        </w:rPr>
        <w:t>The ENTSO for Electricity and the EU DSO entity</w:t>
      </w:r>
      <w:r w:rsidR="00B0095F">
        <w:rPr>
          <w:noProof/>
        </w:rPr>
        <w:t xml:space="preserve"> shall</w:t>
      </w:r>
      <w:r>
        <w:rPr>
          <w:noProof/>
        </w:rPr>
        <w:t xml:space="preserve">, in close cooperation with those transmission system operators and distribution system operators </w:t>
      </w:r>
      <w:r>
        <w:rPr>
          <w:rFonts w:eastAsia="Times New Roman"/>
          <w:noProof/>
          <w:szCs w:val="24"/>
        </w:rPr>
        <w:t>wishing to establish</w:t>
      </w:r>
      <w:r w:rsidRPr="1BA702CF">
        <w:rPr>
          <w:rFonts w:eastAsia="Times New Roman"/>
          <w:noProof/>
          <w:szCs w:val="24"/>
        </w:rPr>
        <w:t xml:space="preserve"> </w:t>
      </w:r>
      <w:r w:rsidRPr="44E69FDC">
        <w:rPr>
          <w:rFonts w:eastAsia="Times New Roman"/>
          <w:noProof/>
          <w:szCs w:val="24"/>
        </w:rPr>
        <w:t>the coordinated</w:t>
      </w:r>
      <w:r>
        <w:rPr>
          <w:noProof/>
        </w:rPr>
        <w:t xml:space="preserve"> arrangement, </w:t>
      </w:r>
      <w:r w:rsidR="00786E81">
        <w:rPr>
          <w:noProof/>
        </w:rPr>
        <w:t>draw up</w:t>
      </w:r>
      <w:r>
        <w:rPr>
          <w:noProof/>
        </w:rPr>
        <w:t>, and communicate to the Commission</w:t>
      </w:r>
      <w:r w:rsidR="00AC5A2D">
        <w:rPr>
          <w:noProof/>
        </w:rPr>
        <w:t>, the following</w:t>
      </w:r>
      <w:r>
        <w:rPr>
          <w:noProof/>
        </w:rPr>
        <w:t>:</w:t>
      </w:r>
    </w:p>
    <w:p w:rsidR="00564E31" w:rsidRPr="005A5850" w:rsidRDefault="00564E31" w:rsidP="00DE4088">
      <w:pPr>
        <w:pStyle w:val="Point0"/>
        <w:tabs>
          <w:tab w:val="num" w:pos="1418"/>
        </w:tabs>
        <w:ind w:left="1418" w:hanging="567"/>
        <w:rPr>
          <w:noProof/>
        </w:rPr>
      </w:pPr>
      <w:r>
        <w:rPr>
          <w:noProof/>
        </w:rPr>
        <w:t>(a)</w:t>
      </w:r>
      <w:r>
        <w:rPr>
          <w:noProof/>
        </w:rPr>
        <w:tab/>
        <w:t xml:space="preserve">governance, decision-making rules and rules of participation of transmission system operators and distribution system operators, including those joining at a later stage, </w:t>
      </w:r>
      <w:r w:rsidR="005D4876">
        <w:rPr>
          <w:noProof/>
        </w:rPr>
        <w:t xml:space="preserve">the </w:t>
      </w:r>
      <w:r>
        <w:rPr>
          <w:noProof/>
        </w:rPr>
        <w:t xml:space="preserve">allocation of roles and responsibilities, intellectual property management and the </w:t>
      </w:r>
      <w:r w:rsidR="005D4876">
        <w:rPr>
          <w:noProof/>
        </w:rPr>
        <w:t>means of</w:t>
      </w:r>
      <w:r>
        <w:rPr>
          <w:noProof/>
        </w:rPr>
        <w:t xml:space="preserve"> access</w:t>
      </w:r>
      <w:r w:rsidR="001570B0">
        <w:rPr>
          <w:noProof/>
        </w:rPr>
        <w:t>ing</w:t>
      </w:r>
      <w:r>
        <w:rPr>
          <w:noProof/>
        </w:rPr>
        <w:t xml:space="preserve"> the developed </w:t>
      </w:r>
      <w:r w:rsidR="005B2DFF" w:rsidRPr="00730E4C">
        <w:rPr>
          <w:noProof/>
          <w:szCs w:val="24"/>
        </w:rPr>
        <w:t xml:space="preserve">state-of-the arts </w:t>
      </w:r>
      <w:r>
        <w:rPr>
          <w:noProof/>
        </w:rPr>
        <w:t>solutions;</w:t>
      </w:r>
    </w:p>
    <w:p w:rsidR="00564E31" w:rsidRDefault="00564E31" w:rsidP="008F381E">
      <w:pPr>
        <w:pStyle w:val="Point0"/>
        <w:tabs>
          <w:tab w:val="num" w:pos="1418"/>
        </w:tabs>
        <w:ind w:left="1418" w:hanging="567"/>
        <w:rPr>
          <w:noProof/>
        </w:rPr>
      </w:pPr>
      <w:r>
        <w:rPr>
          <w:noProof/>
        </w:rPr>
        <w:t>(b)</w:t>
      </w:r>
      <w:r>
        <w:rPr>
          <w:noProof/>
        </w:rPr>
        <w:tab/>
        <w:t xml:space="preserve">technical and operational measures to comply with </w:t>
      </w:r>
      <w:r w:rsidR="00775D54">
        <w:rPr>
          <w:noProof/>
        </w:rPr>
        <w:t xml:space="preserve">relevant </w:t>
      </w:r>
      <w:r w:rsidR="008C679F">
        <w:rPr>
          <w:noProof/>
        </w:rPr>
        <w:t>energy</w:t>
      </w:r>
      <w:r w:rsidR="00B15500">
        <w:rPr>
          <w:noProof/>
        </w:rPr>
        <w:t xml:space="preserve">, </w:t>
      </w:r>
      <w:r w:rsidR="009863C6">
        <w:rPr>
          <w:noProof/>
        </w:rPr>
        <w:t>cybersecurity</w:t>
      </w:r>
      <w:r w:rsidR="008C679F">
        <w:rPr>
          <w:noProof/>
        </w:rPr>
        <w:t xml:space="preserve"> and data legislation</w:t>
      </w:r>
      <w:r>
        <w:rPr>
          <w:noProof/>
        </w:rPr>
        <w:t>, in particular Regulation (EU) 2023/2854 , Regulation (EU) 2016/679</w:t>
      </w:r>
      <w:r w:rsidR="00CD6F77">
        <w:rPr>
          <w:noProof/>
        </w:rPr>
        <w:t xml:space="preserve"> and</w:t>
      </w:r>
      <w:r>
        <w:rPr>
          <w:noProof/>
        </w:rPr>
        <w:t xml:space="preserve"> Regulation (EU) 2024/1689 of the European Parliament and of the Counci</w:t>
      </w:r>
      <w:r w:rsidRPr="00D558EF">
        <w:rPr>
          <w:noProof/>
        </w:rPr>
        <w:t>l</w:t>
      </w:r>
      <w:r w:rsidRPr="00D558EF">
        <w:rPr>
          <w:noProof/>
          <w:vertAlign w:val="superscript"/>
        </w:rPr>
        <w:t>**</w:t>
      </w:r>
      <w:r w:rsidRPr="00D558EF">
        <w:rPr>
          <w:noProof/>
        </w:rPr>
        <w:t>;</w:t>
      </w:r>
    </w:p>
    <w:p w:rsidR="00564E31" w:rsidRPr="005A5850" w:rsidRDefault="00564E31" w:rsidP="008F381E">
      <w:pPr>
        <w:pStyle w:val="Point0"/>
        <w:ind w:left="1418" w:hanging="567"/>
        <w:rPr>
          <w:noProof/>
        </w:rPr>
      </w:pPr>
      <w:r>
        <w:rPr>
          <w:noProof/>
        </w:rPr>
        <w:t>(c)</w:t>
      </w:r>
      <w:r>
        <w:rPr>
          <w:noProof/>
        </w:rPr>
        <w:tab/>
        <w:t xml:space="preserve">safety and cybersecurity measures to ensure the safe integration of developed solutions within </w:t>
      </w:r>
      <w:r w:rsidR="00AB720A">
        <w:rPr>
          <w:noProof/>
        </w:rPr>
        <w:t xml:space="preserve">the internal processes and operations of </w:t>
      </w:r>
      <w:r>
        <w:rPr>
          <w:noProof/>
        </w:rPr>
        <w:t>transmission and distribution system operator</w:t>
      </w:r>
      <w:r w:rsidR="00CD6F77">
        <w:rPr>
          <w:noProof/>
        </w:rPr>
        <w:t>s</w:t>
      </w:r>
      <w:r>
        <w:rPr>
          <w:noProof/>
        </w:rPr>
        <w:t>;</w:t>
      </w:r>
    </w:p>
    <w:p w:rsidR="00564E31" w:rsidRPr="005A5850" w:rsidRDefault="00564E31" w:rsidP="008F381E">
      <w:pPr>
        <w:pStyle w:val="Point0"/>
        <w:ind w:left="1418" w:hanging="567"/>
        <w:rPr>
          <w:noProof/>
        </w:rPr>
      </w:pPr>
      <w:r>
        <w:rPr>
          <w:noProof/>
        </w:rPr>
        <w:t>(d)</w:t>
      </w:r>
      <w:r>
        <w:rPr>
          <w:noProof/>
        </w:rPr>
        <w:tab/>
        <w:t xml:space="preserve">technical and operational measures to ensure </w:t>
      </w:r>
      <w:r w:rsidR="000A207B">
        <w:rPr>
          <w:noProof/>
        </w:rPr>
        <w:t xml:space="preserve">the </w:t>
      </w:r>
      <w:r>
        <w:rPr>
          <w:noProof/>
        </w:rPr>
        <w:t xml:space="preserve">operation, maintenance and updates of the digital tools resulting from the data exchange framework throughout their overall lifecycles towards deployment and operational integration into </w:t>
      </w:r>
      <w:r w:rsidR="00520B23">
        <w:rPr>
          <w:noProof/>
        </w:rPr>
        <w:t xml:space="preserve">the </w:t>
      </w:r>
      <w:r>
        <w:rPr>
          <w:noProof/>
        </w:rPr>
        <w:t xml:space="preserve">grid; </w:t>
      </w:r>
    </w:p>
    <w:p w:rsidR="00564E31" w:rsidRPr="005A5850" w:rsidRDefault="00564E31" w:rsidP="008F381E">
      <w:pPr>
        <w:pStyle w:val="Point0"/>
        <w:tabs>
          <w:tab w:val="num" w:pos="1276"/>
        </w:tabs>
        <w:ind w:left="1418" w:hanging="567"/>
        <w:rPr>
          <w:noProof/>
        </w:rPr>
      </w:pPr>
      <w:r>
        <w:rPr>
          <w:noProof/>
        </w:rPr>
        <w:t>(e)</w:t>
      </w:r>
      <w:r>
        <w:rPr>
          <w:noProof/>
        </w:rPr>
        <w:tab/>
      </w:r>
      <w:r w:rsidRPr="005A5850">
        <w:rPr>
          <w:noProof/>
        </w:rPr>
        <w:t xml:space="preserve">common frameworks for testing, benchmarking and validation of outputs. </w:t>
      </w:r>
    </w:p>
    <w:p w:rsidR="00564E31" w:rsidRDefault="00564E31" w:rsidP="00F42C05">
      <w:pPr>
        <w:ind w:left="851"/>
        <w:rPr>
          <w:noProof/>
        </w:rPr>
      </w:pPr>
      <w:r>
        <w:rPr>
          <w:noProof/>
        </w:rPr>
        <w:t xml:space="preserve">The Commission shall deliver an opinion on the elements communicated pursuant to points </w:t>
      </w:r>
      <w:r w:rsidR="00FB01AC">
        <w:rPr>
          <w:noProof/>
        </w:rPr>
        <w:t>(a</w:t>
      </w:r>
      <w:r>
        <w:rPr>
          <w:noProof/>
        </w:rPr>
        <w:t xml:space="preserve">) to </w:t>
      </w:r>
      <w:r w:rsidR="00FB01AC">
        <w:rPr>
          <w:noProof/>
        </w:rPr>
        <w:t>(e</w:t>
      </w:r>
      <w:r>
        <w:rPr>
          <w:noProof/>
        </w:rPr>
        <w:t xml:space="preserve">) within </w:t>
      </w:r>
      <w:r w:rsidR="00C92E73">
        <w:rPr>
          <w:noProof/>
        </w:rPr>
        <w:t xml:space="preserve">six </w:t>
      </w:r>
      <w:r>
        <w:rPr>
          <w:noProof/>
        </w:rPr>
        <w:t>months from the day of the receipt of the information.</w:t>
      </w:r>
      <w:r w:rsidR="00513C0A">
        <w:rPr>
          <w:noProof/>
        </w:rPr>
        <w:t xml:space="preserve"> </w:t>
      </w:r>
      <w:r w:rsidR="00513C0A">
        <w:rPr>
          <w:noProof/>
          <w:szCs w:val="24"/>
        </w:rPr>
        <w:t>Where these elements concern processing of personal data, the Commission shall consult the European Data Protection Supervisor.</w:t>
      </w:r>
      <w:r>
        <w:rPr>
          <w:noProof/>
        </w:rPr>
        <w:t xml:space="preserve"> The ENTSO for Electricity, the EU DSO entity and the transmission system operators and distribution system operators concerned shall take utmost account of that opinion when establishing and implementing the coordinated arrangement. The ENTSO for Electricity and the EU DSO entity shall inform the Commission how that opinion has been taken into account.</w:t>
      </w:r>
    </w:p>
    <w:p w:rsidR="000324F9" w:rsidRDefault="00577773" w:rsidP="00F42C05">
      <w:pPr>
        <w:ind w:left="851"/>
        <w:rPr>
          <w:noProof/>
        </w:rPr>
      </w:pPr>
      <w:r>
        <w:rPr>
          <w:noProof/>
        </w:rPr>
        <w:t>A</w:t>
      </w:r>
      <w:r w:rsidR="00564E31">
        <w:rPr>
          <w:noProof/>
        </w:rPr>
        <w:t xml:space="preserve">ll transmission system operators and distribution system operators engaged in </w:t>
      </w:r>
      <w:r w:rsidR="006C35E7">
        <w:rPr>
          <w:noProof/>
        </w:rPr>
        <w:t>the coordinated arrangement</w:t>
      </w:r>
      <w:r w:rsidR="00564E31">
        <w:rPr>
          <w:noProof/>
        </w:rPr>
        <w:t xml:space="preserve"> shall, upon the adoption of implementing acts by the Commission pursuant to Article 61(5)</w:t>
      </w:r>
      <w:r w:rsidR="00FB01AC">
        <w:rPr>
          <w:noProof/>
        </w:rPr>
        <w:t>,</w:t>
      </w:r>
      <w:r w:rsidR="00564E31">
        <w:rPr>
          <w:noProof/>
        </w:rPr>
        <w:t xml:space="preserve"> point </w:t>
      </w:r>
      <w:r w:rsidR="00FB01AC">
        <w:rPr>
          <w:noProof/>
        </w:rPr>
        <w:t>(</w:t>
      </w:r>
      <w:r w:rsidR="00564E31">
        <w:rPr>
          <w:noProof/>
        </w:rPr>
        <w:t>b</w:t>
      </w:r>
      <w:r w:rsidR="00FB01AC">
        <w:rPr>
          <w:noProof/>
        </w:rPr>
        <w:t>)</w:t>
      </w:r>
      <w:r w:rsidR="00564E31">
        <w:rPr>
          <w:noProof/>
        </w:rPr>
        <w:t xml:space="preserve">, fully comply with the technical, operational, cybersecurity, and transparency requirements set </w:t>
      </w:r>
      <w:r w:rsidR="0062433F">
        <w:rPr>
          <w:noProof/>
        </w:rPr>
        <w:t xml:space="preserve">out </w:t>
      </w:r>
      <w:r w:rsidR="00564E31">
        <w:rPr>
          <w:noProof/>
        </w:rPr>
        <w:t>therein.</w:t>
      </w:r>
      <w:r w:rsidR="00045D68">
        <w:rPr>
          <w:noProof/>
        </w:rPr>
        <w:t xml:space="preserve"> </w:t>
      </w:r>
      <w:r w:rsidR="00045D68" w:rsidRPr="00045D68">
        <w:rPr>
          <w:noProof/>
        </w:rPr>
        <w:t>This requirement does not affect the voluntary nature of participation</w:t>
      </w:r>
      <w:r w:rsidR="00564E31">
        <w:rPr>
          <w:noProof/>
        </w:rPr>
        <w:t>.</w:t>
      </w:r>
    </w:p>
    <w:p w:rsidR="000324F9" w:rsidRDefault="000324F9">
      <w:pPr>
        <w:spacing w:before="0" w:after="200" w:line="276" w:lineRule="auto"/>
        <w:jc w:val="left"/>
        <w:rPr>
          <w:noProof/>
        </w:rPr>
      </w:pPr>
      <w:r>
        <w:rPr>
          <w:noProof/>
        </w:rPr>
        <w:br w:type="page"/>
      </w:r>
    </w:p>
    <w:p w:rsidR="00564E31" w:rsidRPr="005E38A1" w:rsidRDefault="00564E31" w:rsidP="008F381E">
      <w:pPr>
        <w:pStyle w:val="Titrearticle"/>
        <w:rPr>
          <w:noProof/>
          <w:lang w:val="en-US"/>
        </w:rPr>
      </w:pPr>
      <w:r w:rsidRPr="005E38A1">
        <w:rPr>
          <w:noProof/>
          <w:lang w:val="en-US"/>
        </w:rPr>
        <w:t>Article</w:t>
      </w:r>
      <w:r w:rsidR="009F6FBD" w:rsidRPr="005E38A1">
        <w:rPr>
          <w:noProof/>
        </w:rPr>
        <w:t> </w:t>
      </w:r>
      <w:r w:rsidRPr="005E38A1">
        <w:rPr>
          <w:noProof/>
          <w:lang w:val="en-US"/>
        </w:rPr>
        <w:t>18b</w:t>
      </w:r>
    </w:p>
    <w:p w:rsidR="00564E31" w:rsidRPr="008F381E" w:rsidRDefault="00564E31" w:rsidP="005E38A1">
      <w:pPr>
        <w:spacing w:after="160" w:line="257" w:lineRule="auto"/>
        <w:ind w:left="567"/>
        <w:jc w:val="center"/>
        <w:rPr>
          <w:b/>
          <w:bCs/>
          <w:noProof/>
          <w:color w:val="000000" w:themeColor="text1"/>
          <w:szCs w:val="24"/>
        </w:rPr>
      </w:pPr>
      <w:r w:rsidRPr="008F381E">
        <w:rPr>
          <w:b/>
          <w:bCs/>
          <w:noProof/>
          <w:color w:val="000000" w:themeColor="text1"/>
          <w:szCs w:val="24"/>
        </w:rPr>
        <w:t>Smart metering systems</w:t>
      </w:r>
    </w:p>
    <w:p w:rsidR="00564E31" w:rsidRPr="00992EEB" w:rsidRDefault="28B9C8C9" w:rsidP="00263AE0">
      <w:pPr>
        <w:pStyle w:val="ManualNumPar1"/>
        <w:ind w:hanging="283"/>
        <w:rPr>
          <w:noProof/>
        </w:rPr>
      </w:pPr>
      <w:r>
        <w:rPr>
          <w:noProof/>
        </w:rPr>
        <w:t>1.</w:t>
      </w:r>
      <w:r>
        <w:rPr>
          <w:noProof/>
        </w:rPr>
        <w:tab/>
      </w:r>
      <w:r w:rsidRPr="534DD438">
        <w:rPr>
          <w:noProof/>
        </w:rPr>
        <w:t>Member States shall ensure the deployment in their territories of smart metering systems covering at least 50</w:t>
      </w:r>
      <w:r w:rsidR="1B71C81F" w:rsidRPr="534DD438">
        <w:rPr>
          <w:rFonts w:eastAsia="Times New Roman"/>
          <w:noProof/>
        </w:rPr>
        <w:t> </w:t>
      </w:r>
      <w:r w:rsidRPr="534DD438">
        <w:rPr>
          <w:noProof/>
        </w:rPr>
        <w:t xml:space="preserve">% of all final customers by </w:t>
      </w:r>
      <w:r w:rsidR="1CA5E02B" w:rsidRPr="534DD438">
        <w:rPr>
          <w:noProof/>
        </w:rPr>
        <w:t>31</w:t>
      </w:r>
      <w:r w:rsidR="35EB41BF" w:rsidRPr="534DD438">
        <w:rPr>
          <w:rFonts w:eastAsia="Times New Roman"/>
          <w:noProof/>
        </w:rPr>
        <w:t> </w:t>
      </w:r>
      <w:r w:rsidR="1CA5E02B" w:rsidRPr="534DD438">
        <w:rPr>
          <w:noProof/>
        </w:rPr>
        <w:t>December</w:t>
      </w:r>
      <w:r w:rsidR="7924A82C" w:rsidRPr="534DD438">
        <w:rPr>
          <w:noProof/>
        </w:rPr>
        <w:t xml:space="preserve"> 2030 and </w:t>
      </w:r>
      <w:r w:rsidR="5476A893" w:rsidRPr="534DD438">
        <w:rPr>
          <w:noProof/>
        </w:rPr>
        <w:t>75</w:t>
      </w:r>
      <w:r w:rsidR="5476A893" w:rsidRPr="534DD438">
        <w:rPr>
          <w:rFonts w:eastAsia="Times New Roman"/>
          <w:noProof/>
        </w:rPr>
        <w:t> </w:t>
      </w:r>
      <w:r w:rsidR="7924A82C" w:rsidRPr="534DD438">
        <w:rPr>
          <w:noProof/>
        </w:rPr>
        <w:t xml:space="preserve">% </w:t>
      </w:r>
      <w:r w:rsidR="00CD6F77">
        <w:rPr>
          <w:noProof/>
        </w:rPr>
        <w:t xml:space="preserve">of all final customers </w:t>
      </w:r>
      <w:r w:rsidR="7924A82C" w:rsidRPr="534DD438">
        <w:rPr>
          <w:noProof/>
        </w:rPr>
        <w:t xml:space="preserve">by </w:t>
      </w:r>
      <w:r w:rsidR="1CA5E02B" w:rsidRPr="534DD438">
        <w:rPr>
          <w:noProof/>
        </w:rPr>
        <w:t>31</w:t>
      </w:r>
      <w:r w:rsidR="35EB41BF" w:rsidRPr="534DD438">
        <w:rPr>
          <w:rFonts w:eastAsia="Times New Roman"/>
          <w:noProof/>
        </w:rPr>
        <w:t> </w:t>
      </w:r>
      <w:r w:rsidR="1CA5E02B" w:rsidRPr="534DD438">
        <w:rPr>
          <w:noProof/>
        </w:rPr>
        <w:t>December</w:t>
      </w:r>
      <w:r w:rsidR="7924A82C" w:rsidRPr="534DD438">
        <w:rPr>
          <w:noProof/>
        </w:rPr>
        <w:t xml:space="preserve"> 2033</w:t>
      </w:r>
      <w:r w:rsidRPr="534DD438">
        <w:rPr>
          <w:noProof/>
        </w:rPr>
        <w:t>.</w:t>
      </w:r>
      <w:r>
        <w:rPr>
          <w:noProof/>
        </w:rPr>
        <w:t xml:space="preserve"> </w:t>
      </w:r>
      <w:r>
        <w:rPr>
          <w:rStyle w:val="Strong"/>
          <w:b w:val="0"/>
          <w:bCs w:val="0"/>
          <w:noProof/>
        </w:rPr>
        <w:t>Where a Member State’s deployment level is below 30</w:t>
      </w:r>
      <w:r>
        <w:rPr>
          <w:rFonts w:eastAsia="Times New Roman"/>
          <w:b/>
          <w:noProof/>
        </w:rPr>
        <w:t> </w:t>
      </w:r>
      <w:r>
        <w:rPr>
          <w:rStyle w:val="Strong"/>
          <w:b w:val="0"/>
          <w:bCs w:val="0"/>
          <w:noProof/>
        </w:rPr>
        <w:t>% at the date of entry into force of this Regulation, the deadline for the 50</w:t>
      </w:r>
      <w:r>
        <w:rPr>
          <w:rFonts w:eastAsia="Times New Roman"/>
          <w:b/>
          <w:noProof/>
        </w:rPr>
        <w:t> </w:t>
      </w:r>
      <w:r>
        <w:rPr>
          <w:rStyle w:val="Strong"/>
          <w:b w:val="0"/>
          <w:bCs w:val="0"/>
          <w:noProof/>
        </w:rPr>
        <w:t xml:space="preserve">% target shall be </w:t>
      </w:r>
      <w:r>
        <w:rPr>
          <w:bCs/>
          <w:noProof/>
          <w:color w:val="000000"/>
          <w:lang w:eastAsia="en-IE"/>
        </w:rPr>
        <w:t>31 December 2031 and the deadline for the 75% target shall be 31 December 2034</w:t>
      </w:r>
      <w:r>
        <w:rPr>
          <w:rStyle w:val="Strong"/>
          <w:b w:val="0"/>
          <w:bCs w:val="0"/>
          <w:noProof/>
        </w:rPr>
        <w:t>.</w:t>
      </w:r>
      <w:r w:rsidRPr="534DD438">
        <w:rPr>
          <w:noProof/>
        </w:rPr>
        <w:t xml:space="preserve"> The functionalities of these smart metering systems shall meet the requirements set out in Article</w:t>
      </w:r>
      <w:r w:rsidR="200FF64C" w:rsidRPr="534DD438">
        <w:rPr>
          <w:rFonts w:eastAsia="Times New Roman"/>
          <w:noProof/>
        </w:rPr>
        <w:t> </w:t>
      </w:r>
      <w:r w:rsidRPr="534DD438">
        <w:rPr>
          <w:noProof/>
        </w:rPr>
        <w:t xml:space="preserve">20 of Directive (EU) 2019/944. </w:t>
      </w:r>
    </w:p>
    <w:p w:rsidR="00564E31" w:rsidRPr="00E36877" w:rsidRDefault="00564E31" w:rsidP="00263AE0">
      <w:pPr>
        <w:pStyle w:val="ManualNumPar1"/>
        <w:ind w:hanging="283"/>
        <w:rPr>
          <w:noProof/>
        </w:rPr>
      </w:pPr>
      <w:r>
        <w:rPr>
          <w:noProof/>
        </w:rPr>
        <w:t>2.</w:t>
      </w:r>
      <w:r>
        <w:rPr>
          <w:noProof/>
        </w:rPr>
        <w:tab/>
      </w:r>
      <w:r w:rsidRPr="00D92D77">
        <w:rPr>
          <w:noProof/>
        </w:rPr>
        <w:t xml:space="preserve">For the purposes of Directive (EU) 2019/944, any reference to a cost-benefit assessment in relation to the deployment of smart metering systems shall be understood as applying exclusively to deployment beyond the </w:t>
      </w:r>
      <w:r w:rsidR="00501E1B">
        <w:rPr>
          <w:noProof/>
        </w:rPr>
        <w:t>75</w:t>
      </w:r>
      <w:r w:rsidR="00501E1B">
        <w:rPr>
          <w:rFonts w:eastAsia="Times New Roman"/>
          <w:noProof/>
        </w:rPr>
        <w:t> </w:t>
      </w:r>
      <w:r w:rsidR="00CA64E9">
        <w:rPr>
          <w:noProof/>
        </w:rPr>
        <w:t>%</w:t>
      </w:r>
      <w:r w:rsidRPr="00D92D77">
        <w:rPr>
          <w:noProof/>
        </w:rPr>
        <w:t xml:space="preserve"> coverage </w:t>
      </w:r>
      <w:r w:rsidR="00CA64E9">
        <w:rPr>
          <w:noProof/>
        </w:rPr>
        <w:t xml:space="preserve">level </w:t>
      </w:r>
      <w:r w:rsidR="00705851" w:rsidRPr="005F7E5C">
        <w:rPr>
          <w:noProof/>
        </w:rPr>
        <w:t>referred to</w:t>
      </w:r>
      <w:r w:rsidRPr="00D92D77">
        <w:rPr>
          <w:noProof/>
        </w:rPr>
        <w:t xml:space="preserve"> in paragraph 1 of this Article.</w:t>
      </w:r>
      <w:r w:rsidRPr="001C148E">
        <w:rPr>
          <w:noProof/>
        </w:rPr>
        <w:t xml:space="preserve"> </w:t>
      </w:r>
    </w:p>
    <w:p w:rsidR="00564E31" w:rsidRPr="005E38A1" w:rsidRDefault="00564E31" w:rsidP="008F381E">
      <w:pPr>
        <w:pStyle w:val="Titrearticle"/>
        <w:rPr>
          <w:iCs/>
          <w:noProof/>
        </w:rPr>
      </w:pPr>
      <w:r w:rsidRPr="008F381E">
        <w:rPr>
          <w:noProof/>
        </w:rPr>
        <w:t>Article</w:t>
      </w:r>
      <w:r w:rsidRPr="005E38A1">
        <w:rPr>
          <w:iCs/>
          <w:noProof/>
        </w:rPr>
        <w:t xml:space="preserve"> 18c</w:t>
      </w:r>
    </w:p>
    <w:p w:rsidR="00564E31" w:rsidRPr="008F381E" w:rsidRDefault="00564E31" w:rsidP="00F42C05">
      <w:pPr>
        <w:ind w:hanging="283"/>
        <w:jc w:val="center"/>
        <w:rPr>
          <w:b/>
          <w:bCs/>
          <w:noProof/>
        </w:rPr>
      </w:pPr>
      <w:r w:rsidRPr="008F381E">
        <w:rPr>
          <w:b/>
          <w:bCs/>
          <w:noProof/>
        </w:rPr>
        <w:t>Electricity taxation</w:t>
      </w:r>
    </w:p>
    <w:p w:rsidR="00564E31" w:rsidRPr="00992EEB" w:rsidRDefault="00564E31" w:rsidP="00263AE0">
      <w:pPr>
        <w:pStyle w:val="ManualNumPar1"/>
        <w:ind w:hanging="283"/>
        <w:rPr>
          <w:rFonts w:eastAsia="Aptos"/>
          <w:noProof/>
          <w:szCs w:val="24"/>
        </w:rPr>
      </w:pPr>
      <w:r>
        <w:rPr>
          <w:noProof/>
        </w:rPr>
        <w:t>1.</w:t>
      </w:r>
      <w:r>
        <w:rPr>
          <w:noProof/>
        </w:rPr>
        <w:tab/>
      </w:r>
      <w:r w:rsidRPr="00992EEB">
        <w:rPr>
          <w:noProof/>
          <w:color w:val="000000" w:themeColor="text1"/>
          <w:szCs w:val="24"/>
        </w:rPr>
        <w:t>Member</w:t>
      </w:r>
      <w:r w:rsidRPr="00992EEB">
        <w:rPr>
          <w:rFonts w:eastAsia="Aptos"/>
          <w:noProof/>
          <w:szCs w:val="24"/>
        </w:rPr>
        <w:t xml:space="preserve"> States shall promote the uptake of electricity as an energy source by adopting a supporting taxation framework.</w:t>
      </w:r>
    </w:p>
    <w:p w:rsidR="00564E31" w:rsidRPr="007227FE" w:rsidRDefault="00564E31" w:rsidP="00263AE0">
      <w:pPr>
        <w:pStyle w:val="ManualNumPar1"/>
        <w:ind w:hanging="283"/>
        <w:rPr>
          <w:noProof/>
          <w:color w:val="000000" w:themeColor="text1"/>
          <w:szCs w:val="24"/>
        </w:rPr>
      </w:pPr>
      <w:r>
        <w:rPr>
          <w:noProof/>
        </w:rPr>
        <w:t>2.</w:t>
      </w:r>
      <w:r>
        <w:rPr>
          <w:noProof/>
        </w:rPr>
        <w:tab/>
      </w:r>
      <w:r w:rsidRPr="2BFCC4C3">
        <w:rPr>
          <w:noProof/>
          <w:color w:val="000000" w:themeColor="text1"/>
        </w:rPr>
        <w:t>Member</w:t>
      </w:r>
      <w:r w:rsidRPr="007227FE">
        <w:rPr>
          <w:noProof/>
          <w:color w:val="000000" w:themeColor="text1"/>
          <w:szCs w:val="24"/>
        </w:rPr>
        <w:t xml:space="preserve"> States shall apply a tax differential on the excise duties regulated under Council Directive 2003/96/EC</w:t>
      </w:r>
      <w:r w:rsidR="006C7B31" w:rsidRPr="007227FE">
        <w:rPr>
          <w:noProof/>
          <w:color w:val="000000" w:themeColor="text1"/>
          <w:szCs w:val="24"/>
        </w:rPr>
        <w:t>***</w:t>
      </w:r>
      <w:r w:rsidRPr="007227FE">
        <w:rPr>
          <w:noProof/>
          <w:color w:val="000000" w:themeColor="text1"/>
          <w:szCs w:val="24"/>
        </w:rPr>
        <w:t xml:space="preserve"> between electricity and </w:t>
      </w:r>
      <w:r w:rsidR="00AA744A" w:rsidRPr="007227FE">
        <w:rPr>
          <w:noProof/>
          <w:color w:val="000000" w:themeColor="text1"/>
          <w:szCs w:val="24"/>
        </w:rPr>
        <w:t xml:space="preserve">natural </w:t>
      </w:r>
      <w:r w:rsidRPr="007227FE">
        <w:rPr>
          <w:noProof/>
          <w:color w:val="000000" w:themeColor="text1"/>
          <w:szCs w:val="24"/>
        </w:rPr>
        <w:t>gas, such that electricity is taxed at a rate that is not higher than the rate applied to natural gas, in accordance with the principle set forth in paragraph 1.</w:t>
      </w:r>
      <w:r>
        <w:rPr>
          <w:noProof/>
          <w:color w:val="000000" w:themeColor="text1"/>
          <w:szCs w:val="24"/>
        </w:rPr>
        <w:t xml:space="preserve"> The Commission may, upon a duly justified request from a Member State, based on specific national circumstances, including in view of the fiscal situation of the Member State, authorise that Member State, by means of an implementing act,  to defer the application of the first subparagraph until a point in time which strikes a balance between the specific national circumstances concerned and the need to reach the Union’s electrification objectives.</w:t>
      </w:r>
    </w:p>
    <w:p w:rsidR="00564E31" w:rsidRPr="007227FE" w:rsidRDefault="00564E31" w:rsidP="00263AE0">
      <w:pPr>
        <w:pStyle w:val="ManualNumPar1"/>
        <w:ind w:hanging="283"/>
        <w:rPr>
          <w:noProof/>
          <w:color w:val="000000" w:themeColor="text1"/>
          <w:szCs w:val="24"/>
        </w:rPr>
      </w:pPr>
      <w:r>
        <w:rPr>
          <w:noProof/>
        </w:rPr>
        <w:t>3.</w:t>
      </w:r>
      <w:r>
        <w:rPr>
          <w:noProof/>
        </w:rPr>
        <w:tab/>
      </w:r>
      <w:r w:rsidRPr="00992EEB">
        <w:rPr>
          <w:noProof/>
          <w:color w:val="000000" w:themeColor="text1"/>
          <w:szCs w:val="24"/>
        </w:rPr>
        <w:t>Electricity</w:t>
      </w:r>
      <w:r w:rsidRPr="007227FE">
        <w:rPr>
          <w:noProof/>
          <w:color w:val="000000" w:themeColor="text1"/>
          <w:szCs w:val="24"/>
        </w:rPr>
        <w:t xml:space="preserve"> supplied to energy intensive businesses as defined in Article 17</w:t>
      </w:r>
      <w:r w:rsidR="00CD6F77">
        <w:rPr>
          <w:noProof/>
          <w:color w:val="000000" w:themeColor="text1"/>
          <w:szCs w:val="24"/>
        </w:rPr>
        <w:t>)</w:t>
      </w:r>
      <w:r w:rsidRPr="007227FE">
        <w:rPr>
          <w:noProof/>
          <w:color w:val="000000" w:themeColor="text1"/>
          <w:szCs w:val="24"/>
        </w:rPr>
        <w:t>1</w:t>
      </w:r>
      <w:r w:rsidR="00CD6F77">
        <w:rPr>
          <w:noProof/>
          <w:color w:val="000000" w:themeColor="text1"/>
          <w:szCs w:val="24"/>
        </w:rPr>
        <w:t>)</w:t>
      </w:r>
      <w:r w:rsidR="00827EB5">
        <w:rPr>
          <w:noProof/>
          <w:color w:val="000000" w:themeColor="text1"/>
          <w:szCs w:val="24"/>
        </w:rPr>
        <w:t>, point (a),</w:t>
      </w:r>
      <w:r w:rsidRPr="007227FE">
        <w:rPr>
          <w:noProof/>
          <w:color w:val="000000" w:themeColor="text1"/>
          <w:szCs w:val="24"/>
        </w:rPr>
        <w:t xml:space="preserve"> of Directive 2003/96/EC shall be deemed to meet the requirements in paragraph 4 of </w:t>
      </w:r>
      <w:r w:rsidR="00CD6F77">
        <w:rPr>
          <w:noProof/>
          <w:color w:val="000000" w:themeColor="text1"/>
          <w:szCs w:val="24"/>
        </w:rPr>
        <w:t xml:space="preserve">that </w:t>
      </w:r>
      <w:r w:rsidRPr="007227FE">
        <w:rPr>
          <w:noProof/>
          <w:color w:val="000000" w:themeColor="text1"/>
          <w:szCs w:val="24"/>
        </w:rPr>
        <w:t>Article.</w:t>
      </w:r>
    </w:p>
    <w:p w:rsidR="00FB01AC" w:rsidRPr="008F381E" w:rsidRDefault="00FB01AC" w:rsidP="00FB01AC">
      <w:pPr>
        <w:ind w:left="851"/>
        <w:rPr>
          <w:noProof/>
          <w:u w:val="single"/>
        </w:rPr>
      </w:pPr>
      <w:r w:rsidRPr="00FB01AC">
        <w:rPr>
          <w:noProof/>
          <w:u w:val="single"/>
        </w:rPr>
        <w:tab/>
        <w:t xml:space="preserve">  </w:t>
      </w:r>
      <w:r w:rsidRPr="00FB01AC">
        <w:rPr>
          <w:noProof/>
          <w:u w:val="single"/>
        </w:rPr>
        <w:tab/>
      </w:r>
      <w:r w:rsidRPr="00FB01AC">
        <w:rPr>
          <w:noProof/>
          <w:u w:val="single"/>
        </w:rPr>
        <w:tab/>
      </w:r>
      <w:r w:rsidRPr="00FB01AC">
        <w:rPr>
          <w:noProof/>
          <w:u w:val="single"/>
        </w:rPr>
        <w:tab/>
      </w:r>
      <w:r w:rsidRPr="00FB01AC">
        <w:rPr>
          <w:noProof/>
          <w:u w:val="single"/>
        </w:rPr>
        <w:tab/>
      </w:r>
      <w:r w:rsidRPr="00FB01AC">
        <w:rPr>
          <w:noProof/>
          <w:u w:val="single"/>
        </w:rPr>
        <w:tab/>
      </w:r>
    </w:p>
    <w:p w:rsidR="00CD6F77" w:rsidRDefault="006C7B31" w:rsidP="00F42C05">
      <w:pPr>
        <w:ind w:left="851"/>
        <w:rPr>
          <w:noProof/>
        </w:rPr>
      </w:pPr>
      <w:r w:rsidRPr="24B3B294">
        <w:rPr>
          <w:noProof/>
        </w:rPr>
        <w:t xml:space="preserve">* </w:t>
      </w:r>
      <w:r w:rsidRPr="475A0323">
        <w:rPr>
          <w:noProof/>
        </w:rPr>
        <w:t xml:space="preserve">Regulation (EU) 2023/2854 of the European Parliament and of the Council of 13 December 2023 on harmonised rules on fair access to and use of data and amending Regulation (EU) 2017/2394 and Directive (EU) 2020/1828 (OJ L, 2023/2854, 22.12.2023, ELI: </w:t>
      </w:r>
      <w:hyperlink r:id="rId16" w:history="1">
        <w:r w:rsidR="00CD6F77" w:rsidRPr="00CB412A">
          <w:rPr>
            <w:rStyle w:val="Hyperlink"/>
            <w:noProof/>
          </w:rPr>
          <w:t>http://data.europa.eu/eli/reg/2023/2854/oj</w:t>
        </w:r>
      </w:hyperlink>
      <w:r w:rsidRPr="41F2E9CB">
        <w:rPr>
          <w:noProof/>
        </w:rPr>
        <w:t>)</w:t>
      </w:r>
      <w:r w:rsidR="00CD6F77">
        <w:rPr>
          <w:noProof/>
        </w:rPr>
        <w:t>.</w:t>
      </w:r>
    </w:p>
    <w:p w:rsidR="006C7B31" w:rsidRDefault="006C7B31" w:rsidP="00F42C05">
      <w:pPr>
        <w:ind w:left="851"/>
        <w:rPr>
          <w:noProof/>
        </w:rPr>
      </w:pPr>
      <w:r w:rsidRPr="50DF403E">
        <w:rPr>
          <w:noProof/>
        </w:rPr>
        <w:t>** 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(OJ L, 2024/1689, 12.7.2024, ELI: http://data.europa.eu/eli/reg/2024/1689/oj)</w:t>
      </w:r>
      <w:r w:rsidR="00CD6F77">
        <w:rPr>
          <w:noProof/>
        </w:rPr>
        <w:t>.</w:t>
      </w:r>
    </w:p>
    <w:p w:rsidR="000324F9" w:rsidRDefault="00A044E7" w:rsidP="00F42C05">
      <w:pPr>
        <w:ind w:left="851"/>
        <w:rPr>
          <w:noProof/>
        </w:rPr>
      </w:pPr>
      <w:r>
        <w:rPr>
          <w:noProof/>
        </w:rPr>
        <w:t>***Council Directive 2003/96/EC</w:t>
      </w:r>
      <w:r w:rsidR="00DB05DF">
        <w:rPr>
          <w:noProof/>
        </w:rPr>
        <w:t xml:space="preserve"> </w:t>
      </w:r>
      <w:r w:rsidR="00DB05DF" w:rsidRPr="00DB05DF">
        <w:rPr>
          <w:noProof/>
        </w:rPr>
        <w:t>of 27 October 2003 restructuring the Community framework for the taxation of energy products and electricity</w:t>
      </w:r>
      <w:r w:rsidR="00CD6F77">
        <w:rPr>
          <w:noProof/>
        </w:rPr>
        <w:t xml:space="preserve"> (</w:t>
      </w:r>
      <w:r w:rsidR="00CD6F77" w:rsidRPr="00CD6F77">
        <w:rPr>
          <w:noProof/>
        </w:rPr>
        <w:t>OJ L 283, 31.10.2003, p. 51</w:t>
      </w:r>
      <w:r w:rsidR="00CD6F77">
        <w:rPr>
          <w:noProof/>
        </w:rPr>
        <w:t>,</w:t>
      </w:r>
      <w:r w:rsidR="0075686E">
        <w:rPr>
          <w:noProof/>
        </w:rPr>
        <w:t xml:space="preserve"> </w:t>
      </w:r>
      <w:r w:rsidR="0075686E" w:rsidRPr="0075686E">
        <w:rPr>
          <w:noProof/>
        </w:rPr>
        <w:t xml:space="preserve">ELI: </w:t>
      </w:r>
      <w:hyperlink r:id="rId17" w:history="1">
        <w:r w:rsidR="00344114" w:rsidRPr="00D530CD">
          <w:rPr>
            <w:rStyle w:val="Hyperlink"/>
            <w:noProof/>
          </w:rPr>
          <w:t>http://data.europa.eu/eli/dir/2003/96/oj</w:t>
        </w:r>
      </w:hyperlink>
      <w:r w:rsidR="00CD6F77">
        <w:rPr>
          <w:noProof/>
        </w:rPr>
        <w:t>.</w:t>
      </w:r>
      <w:r w:rsidRPr="00851B85">
        <w:rPr>
          <w:noProof/>
        </w:rPr>
        <w:t>’</w:t>
      </w:r>
      <w:r>
        <w:rPr>
          <w:noProof/>
        </w:rPr>
        <w:t>;</w:t>
      </w:r>
    </w:p>
    <w:p w:rsidR="000324F9" w:rsidRDefault="000324F9">
      <w:pPr>
        <w:spacing w:before="0" w:after="200" w:line="276" w:lineRule="auto"/>
        <w:jc w:val="left"/>
        <w:rPr>
          <w:noProof/>
        </w:rPr>
      </w:pPr>
    </w:p>
    <w:p w:rsidR="009407CF" w:rsidRPr="008F381E" w:rsidRDefault="009407CF" w:rsidP="008F381E">
      <w:pPr>
        <w:pStyle w:val="Titrearticle"/>
        <w:rPr>
          <w:noProof/>
        </w:rPr>
      </w:pPr>
      <w:r w:rsidRPr="008F381E">
        <w:rPr>
          <w:noProof/>
        </w:rPr>
        <w:t>Article 18d</w:t>
      </w:r>
    </w:p>
    <w:p w:rsidR="009407CF" w:rsidRPr="008F381E" w:rsidRDefault="009407CF" w:rsidP="008F381E">
      <w:pPr>
        <w:ind w:left="851"/>
        <w:jc w:val="center"/>
        <w:rPr>
          <w:b/>
          <w:i/>
          <w:noProof/>
        </w:rPr>
      </w:pPr>
      <w:r w:rsidRPr="008F381E">
        <w:rPr>
          <w:b/>
          <w:i/>
          <w:noProof/>
        </w:rPr>
        <w:t>Grid connection measures in case of network congestion</w:t>
      </w:r>
    </w:p>
    <w:p w:rsidR="00263E8B" w:rsidRDefault="009407CF" w:rsidP="009C6948">
      <w:pPr>
        <w:pStyle w:val="ManualNumPar1"/>
        <w:ind w:hanging="283"/>
        <w:rPr>
          <w:noProof/>
        </w:rPr>
      </w:pPr>
      <w:r>
        <w:rPr>
          <w:noProof/>
        </w:rPr>
        <w:t>1.</w:t>
      </w:r>
      <w:r>
        <w:rPr>
          <w:noProof/>
        </w:rPr>
        <w:tab/>
        <w:t xml:space="preserve">In order to provide market participants with access to the transmission and distribution networks pursuant to Article 3, </w:t>
      </w:r>
      <w:r w:rsidR="003654EF">
        <w:rPr>
          <w:noProof/>
        </w:rPr>
        <w:t>point</w:t>
      </w:r>
      <w:r>
        <w:rPr>
          <w:noProof/>
        </w:rPr>
        <w:t xml:space="preserve"> </w:t>
      </w:r>
      <w:r w:rsidR="003654EF">
        <w:rPr>
          <w:noProof/>
        </w:rPr>
        <w:t>(</w:t>
      </w:r>
      <w:r>
        <w:rPr>
          <w:noProof/>
        </w:rPr>
        <w:t>q), in case of scarcity in the available grid capacity, regulatory authorities may approve measures to deter speculative requests for connection to the grid, ensure sufficient maturity of projects requesting grid connection and prioritise categories of system users such as public sector, social services, energy communities, households, small and medium enterprises, data centres, energy intensive industries or market participants in the transport sector as well as set conditions to allow prioritising users within a specific category as necessary, based on objective, transparent and non-discriminatory criteria. These criteria may consider the impact of potential projects on solving network congestion as well as economic, environmental and social benefits.</w:t>
      </w:r>
    </w:p>
    <w:p w:rsidR="00344114" w:rsidRDefault="009407CF" w:rsidP="000324F9">
      <w:pPr>
        <w:pStyle w:val="ManualNumPar1"/>
        <w:ind w:hanging="283"/>
        <w:rPr>
          <w:noProof/>
        </w:rPr>
      </w:pPr>
      <w:r>
        <w:rPr>
          <w:noProof/>
        </w:rPr>
        <w:t>2.</w:t>
      </w:r>
      <w:r>
        <w:rPr>
          <w:noProof/>
        </w:rPr>
        <w:tab/>
        <w:t xml:space="preserve">Member States and regulatory authorities shall ensure that other relevant measures to address insufficient grid capacity are applied, including use of non-wire, smart and digital </w:t>
      </w:r>
      <w:r w:rsidR="00A37D7D" w:rsidRPr="008F30B5">
        <w:rPr>
          <w:noProof/>
        </w:rPr>
        <w:t>solutions</w:t>
      </w:r>
      <w:r>
        <w:rPr>
          <w:noProof/>
        </w:rPr>
        <w:t xml:space="preserve"> pursuant to Article</w:t>
      </w:r>
      <w:r w:rsidR="00A37D7D">
        <w:rPr>
          <w:noProof/>
        </w:rPr>
        <w:t xml:space="preserve"> </w:t>
      </w:r>
      <w:r>
        <w:rPr>
          <w:noProof/>
        </w:rPr>
        <w:t>18a, flexible connection agreements pursuant to Article 6a of Directive (EU) 2019/944, and cross-sectorial network planning with involvement of stakeholders pursuant to Article 55 of Regulation (EU) 2024/1788 and Article 51 of Directive (EU) 2019/944.</w:t>
      </w:r>
      <w:r w:rsidR="003654EF">
        <w:rPr>
          <w:noProof/>
        </w:rPr>
        <w:t>’;</w:t>
      </w:r>
    </w:p>
    <w:p w:rsidR="00564E31" w:rsidRPr="001C148E" w:rsidRDefault="00564E31" w:rsidP="00564E31">
      <w:pPr>
        <w:spacing w:line="278" w:lineRule="auto"/>
        <w:rPr>
          <w:noProof/>
          <w:color w:val="000000" w:themeColor="text1"/>
          <w:szCs w:val="24"/>
          <w:lang w:val="en-IE"/>
        </w:rPr>
      </w:pPr>
      <w:r w:rsidRPr="001C148E">
        <w:rPr>
          <w:noProof/>
          <w:lang w:val="en-IE"/>
        </w:rPr>
        <w:t xml:space="preserve">(3) </w:t>
      </w:r>
      <w:r w:rsidRPr="00851B85">
        <w:rPr>
          <w:noProof/>
          <w:lang w:val="en-IE"/>
        </w:rPr>
        <w:t xml:space="preserve">Article </w:t>
      </w:r>
      <w:r>
        <w:rPr>
          <w:noProof/>
          <w:lang w:val="en-IE"/>
        </w:rPr>
        <w:t>61</w:t>
      </w:r>
      <w:r w:rsidRPr="00851B85">
        <w:rPr>
          <w:noProof/>
          <w:lang w:val="en-IE"/>
        </w:rPr>
        <w:t xml:space="preserve"> is amended as follows</w:t>
      </w:r>
      <w:r w:rsidRPr="00851B85">
        <w:rPr>
          <w:rFonts w:eastAsia="Times New Roman"/>
          <w:noProof/>
        </w:rPr>
        <w:t>:</w:t>
      </w:r>
    </w:p>
    <w:p w:rsidR="00564E31" w:rsidRDefault="00564E31" w:rsidP="00564E31">
      <w:pPr>
        <w:spacing w:line="360" w:lineRule="auto"/>
        <w:contextualSpacing/>
        <w:rPr>
          <w:rFonts w:eastAsia="Times New Roman"/>
          <w:noProof/>
        </w:rPr>
      </w:pPr>
      <w:r w:rsidRPr="00851B85">
        <w:rPr>
          <w:rFonts w:eastAsia="Times New Roman"/>
          <w:noProof/>
        </w:rPr>
        <w:t>(a) the following paragraph</w:t>
      </w:r>
      <w:r w:rsidR="001668F4">
        <w:rPr>
          <w:rFonts w:eastAsia="Times New Roman"/>
          <w:noProof/>
        </w:rPr>
        <w:t>s</w:t>
      </w:r>
      <w:r w:rsidRPr="00851B85">
        <w:rPr>
          <w:rFonts w:eastAsia="Times New Roman"/>
          <w:noProof/>
        </w:rPr>
        <w:t xml:space="preserve"> </w:t>
      </w:r>
      <w:r>
        <w:rPr>
          <w:rFonts w:eastAsia="Times New Roman"/>
          <w:noProof/>
        </w:rPr>
        <w:t>5</w:t>
      </w:r>
      <w:r w:rsidRPr="00851B85">
        <w:rPr>
          <w:rFonts w:eastAsia="Times New Roman"/>
          <w:noProof/>
        </w:rPr>
        <w:t xml:space="preserve">a </w:t>
      </w:r>
      <w:r w:rsidR="001668F4">
        <w:rPr>
          <w:rFonts w:eastAsia="Times New Roman"/>
          <w:noProof/>
        </w:rPr>
        <w:t>and 5b are</w:t>
      </w:r>
      <w:r w:rsidR="001668F4" w:rsidRPr="00851B85">
        <w:rPr>
          <w:rFonts w:eastAsia="Times New Roman"/>
          <w:noProof/>
        </w:rPr>
        <w:t xml:space="preserve"> </w:t>
      </w:r>
      <w:r w:rsidRPr="00851B85">
        <w:rPr>
          <w:rFonts w:eastAsia="Times New Roman"/>
          <w:noProof/>
        </w:rPr>
        <w:t>added:</w:t>
      </w:r>
    </w:p>
    <w:p w:rsidR="00564E31" w:rsidRDefault="00FC06A2" w:rsidP="00730E4C">
      <w:pPr>
        <w:tabs>
          <w:tab w:val="left" w:pos="709"/>
        </w:tabs>
        <w:ind w:left="567" w:hanging="567"/>
        <w:rPr>
          <w:rFonts w:eastAsia="Times New Roman"/>
          <w:noProof/>
          <w:szCs w:val="24"/>
        </w:rPr>
      </w:pPr>
      <w:r>
        <w:rPr>
          <w:rFonts w:eastAsia="Times New Roman"/>
          <w:noProof/>
        </w:rPr>
        <w:t>‘</w:t>
      </w:r>
      <w:r w:rsidR="00564E31">
        <w:rPr>
          <w:rFonts w:eastAsia="Times New Roman"/>
          <w:noProof/>
        </w:rPr>
        <w:t>5</w:t>
      </w:r>
      <w:r w:rsidR="00564E31" w:rsidRPr="00565890">
        <w:rPr>
          <w:rFonts w:eastAsia="Times New Roman"/>
          <w:noProof/>
        </w:rPr>
        <w:t>a.</w:t>
      </w:r>
      <w:r w:rsidR="00564E31">
        <w:rPr>
          <w:rFonts w:eastAsia="Times New Roman"/>
          <w:noProof/>
        </w:rPr>
        <w:t xml:space="preserve"> </w:t>
      </w:r>
      <w:r w:rsidR="00730E4C">
        <w:rPr>
          <w:rFonts w:eastAsia="Times New Roman"/>
          <w:noProof/>
        </w:rPr>
        <w:tab/>
      </w:r>
      <w:r w:rsidR="00564E31" w:rsidRPr="2199EFDD">
        <w:rPr>
          <w:noProof/>
          <w:szCs w:val="24"/>
        </w:rPr>
        <w:t xml:space="preserve">The Commission </w:t>
      </w:r>
      <w:r w:rsidR="002041EE">
        <w:rPr>
          <w:noProof/>
          <w:szCs w:val="24"/>
        </w:rPr>
        <w:t xml:space="preserve">is empowered to </w:t>
      </w:r>
      <w:r w:rsidR="00564E31" w:rsidRPr="2199EFDD">
        <w:rPr>
          <w:noProof/>
          <w:szCs w:val="24"/>
        </w:rPr>
        <w:t xml:space="preserve">adopt </w:t>
      </w:r>
      <w:r w:rsidR="00C63FAB">
        <w:rPr>
          <w:noProof/>
          <w:szCs w:val="24"/>
        </w:rPr>
        <w:t>delegated</w:t>
      </w:r>
      <w:r w:rsidR="00C63FAB" w:rsidRPr="2199EFDD">
        <w:rPr>
          <w:noProof/>
          <w:szCs w:val="24"/>
        </w:rPr>
        <w:t xml:space="preserve"> </w:t>
      </w:r>
      <w:r w:rsidR="00564E31" w:rsidRPr="2199EFDD">
        <w:rPr>
          <w:noProof/>
          <w:szCs w:val="24"/>
        </w:rPr>
        <w:t>act</w:t>
      </w:r>
      <w:r w:rsidR="002041EE">
        <w:rPr>
          <w:noProof/>
          <w:szCs w:val="24"/>
        </w:rPr>
        <w:t>s</w:t>
      </w:r>
      <w:r w:rsidR="00564E31" w:rsidRPr="2199EFDD">
        <w:rPr>
          <w:noProof/>
          <w:szCs w:val="24"/>
        </w:rPr>
        <w:t xml:space="preserve"> </w:t>
      </w:r>
      <w:r w:rsidR="00C21095">
        <w:rPr>
          <w:noProof/>
          <w:szCs w:val="24"/>
        </w:rPr>
        <w:t xml:space="preserve">in accordance with Article 68 supplementing this Regulation by </w:t>
      </w:r>
      <w:r w:rsidR="00564E31" w:rsidRPr="2199EFDD">
        <w:rPr>
          <w:noProof/>
          <w:szCs w:val="24"/>
        </w:rPr>
        <w:t xml:space="preserve">setting out guidelines on a </w:t>
      </w:r>
      <w:r w:rsidR="00564E31">
        <w:rPr>
          <w:noProof/>
          <w:szCs w:val="24"/>
        </w:rPr>
        <w:t xml:space="preserve">common structure and </w:t>
      </w:r>
      <w:r w:rsidR="00564E31" w:rsidRPr="2199EFDD">
        <w:rPr>
          <w:noProof/>
          <w:szCs w:val="24"/>
        </w:rPr>
        <w:t>harmonised methodology on tariffs pursuant to Article 18. Prior to the adoption of such act</w:t>
      </w:r>
      <w:r w:rsidR="00564E31">
        <w:rPr>
          <w:noProof/>
          <w:szCs w:val="24"/>
        </w:rPr>
        <w:t>s</w:t>
      </w:r>
      <w:r w:rsidR="00564E31" w:rsidRPr="2199EFDD">
        <w:rPr>
          <w:noProof/>
          <w:szCs w:val="24"/>
        </w:rPr>
        <w:t xml:space="preserve">, or any amendment thereof, </w:t>
      </w:r>
      <w:r w:rsidR="00D36996">
        <w:rPr>
          <w:noProof/>
          <w:szCs w:val="24"/>
        </w:rPr>
        <w:t xml:space="preserve">ACER shall, upon </w:t>
      </w:r>
      <w:r w:rsidR="004F510C">
        <w:rPr>
          <w:noProof/>
          <w:szCs w:val="24"/>
        </w:rPr>
        <w:t xml:space="preserve">request of </w:t>
      </w:r>
      <w:r w:rsidR="00564E31" w:rsidRPr="2199EFDD">
        <w:rPr>
          <w:noProof/>
          <w:szCs w:val="24"/>
        </w:rPr>
        <w:t xml:space="preserve">the Commission issue a recommendation </w:t>
      </w:r>
      <w:r w:rsidR="00ED40C8">
        <w:rPr>
          <w:noProof/>
          <w:szCs w:val="24"/>
        </w:rPr>
        <w:t>as referred to in</w:t>
      </w:r>
      <w:r w:rsidR="00606FB0">
        <w:rPr>
          <w:noProof/>
          <w:szCs w:val="24"/>
        </w:rPr>
        <w:t xml:space="preserve"> </w:t>
      </w:r>
      <w:r w:rsidR="000E06C2">
        <w:rPr>
          <w:noProof/>
          <w:szCs w:val="24"/>
        </w:rPr>
        <w:t>Article 2</w:t>
      </w:r>
      <w:r w:rsidR="00C21095">
        <w:rPr>
          <w:noProof/>
          <w:szCs w:val="24"/>
        </w:rPr>
        <w:t xml:space="preserve">, point </w:t>
      </w:r>
      <w:r w:rsidR="000E06C2">
        <w:rPr>
          <w:noProof/>
          <w:szCs w:val="24"/>
        </w:rPr>
        <w:t>(c)</w:t>
      </w:r>
      <w:r w:rsidR="00C21095">
        <w:rPr>
          <w:noProof/>
          <w:szCs w:val="24"/>
        </w:rPr>
        <w:t>,</w:t>
      </w:r>
      <w:r w:rsidR="000E06C2">
        <w:rPr>
          <w:noProof/>
          <w:szCs w:val="24"/>
        </w:rPr>
        <w:t xml:space="preserve"> of Regulation (EU) 2019/942 </w:t>
      </w:r>
      <w:r w:rsidR="002B37CA">
        <w:rPr>
          <w:noProof/>
          <w:szCs w:val="24"/>
        </w:rPr>
        <w:t>for</w:t>
      </w:r>
      <w:r w:rsidR="00564E31" w:rsidRPr="2199EFDD">
        <w:rPr>
          <w:noProof/>
          <w:szCs w:val="24"/>
        </w:rPr>
        <w:t xml:space="preserve"> a</w:t>
      </w:r>
      <w:r w:rsidR="00564E31">
        <w:rPr>
          <w:noProof/>
          <w:szCs w:val="24"/>
        </w:rPr>
        <w:t xml:space="preserve"> common structure and</w:t>
      </w:r>
      <w:r w:rsidR="00564E31" w:rsidRPr="2199EFDD">
        <w:rPr>
          <w:noProof/>
          <w:szCs w:val="24"/>
        </w:rPr>
        <w:t xml:space="preserve"> harmonised methodology on tariffs. </w:t>
      </w:r>
      <w:r w:rsidR="00564E31" w:rsidRPr="2199EFDD">
        <w:rPr>
          <w:rFonts w:eastAsia="Times New Roman"/>
          <w:noProof/>
          <w:szCs w:val="24"/>
        </w:rPr>
        <w:t>Th</w:t>
      </w:r>
      <w:r w:rsidR="00502579">
        <w:rPr>
          <w:rFonts w:eastAsia="Times New Roman"/>
          <w:noProof/>
          <w:szCs w:val="24"/>
        </w:rPr>
        <w:t>o</w:t>
      </w:r>
      <w:r w:rsidR="00564E31">
        <w:rPr>
          <w:rFonts w:eastAsia="Times New Roman"/>
          <w:noProof/>
          <w:szCs w:val="24"/>
        </w:rPr>
        <w:t>se</w:t>
      </w:r>
      <w:r w:rsidR="00564E31" w:rsidRPr="2199EFDD">
        <w:rPr>
          <w:rFonts w:eastAsia="Times New Roman"/>
          <w:noProof/>
          <w:szCs w:val="24"/>
        </w:rPr>
        <w:t xml:space="preserve"> guidelines shall set out the rules on harmonised tariff structures for electricity, including</w:t>
      </w:r>
      <w:r w:rsidR="00564E31">
        <w:rPr>
          <w:rFonts w:eastAsia="Times New Roman"/>
          <w:noProof/>
          <w:szCs w:val="24"/>
        </w:rPr>
        <w:t xml:space="preserve"> </w:t>
      </w:r>
      <w:r w:rsidR="00564E31" w:rsidRPr="0047306D">
        <w:rPr>
          <w:rFonts w:eastAsia="Times New Roman"/>
          <w:noProof/>
          <w:szCs w:val="24"/>
        </w:rPr>
        <w:t xml:space="preserve">detailed conditions under which regulatory authorities may introduce separate network charge regimes for </w:t>
      </w:r>
      <w:r w:rsidR="00564E31" w:rsidRPr="0047306D">
        <w:rPr>
          <w:noProof/>
          <w:szCs w:val="24"/>
        </w:rPr>
        <w:t>specific categories of system users as referred to in Article 18(3</w:t>
      </w:r>
      <w:r w:rsidR="00564E31" w:rsidRPr="001D59E6">
        <w:rPr>
          <w:noProof/>
          <w:szCs w:val="24"/>
        </w:rPr>
        <w:t>)</w:t>
      </w:r>
      <w:r w:rsidR="00564E31">
        <w:rPr>
          <w:noProof/>
          <w:szCs w:val="24"/>
        </w:rPr>
        <w:t xml:space="preserve"> and </w:t>
      </w:r>
      <w:r w:rsidR="00564E31" w:rsidRPr="0047306D">
        <w:rPr>
          <w:rFonts w:eastAsia="Times New Roman"/>
          <w:noProof/>
          <w:szCs w:val="24"/>
        </w:rPr>
        <w:t xml:space="preserve">harmonised rules on the procedural and substantive requirements </w:t>
      </w:r>
      <w:r w:rsidR="00564E31">
        <w:rPr>
          <w:rFonts w:eastAsia="Times New Roman"/>
          <w:noProof/>
          <w:szCs w:val="24"/>
        </w:rPr>
        <w:t>for</w:t>
      </w:r>
      <w:r w:rsidR="00564E31" w:rsidRPr="0047306D">
        <w:rPr>
          <w:rFonts w:eastAsia="Times New Roman"/>
          <w:noProof/>
          <w:szCs w:val="24"/>
        </w:rPr>
        <w:t xml:space="preserve"> the public consultations referred to in Article 18(6</w:t>
      </w:r>
      <w:r w:rsidR="00564E31" w:rsidRPr="001D59E6">
        <w:rPr>
          <w:rFonts w:eastAsia="Times New Roman"/>
          <w:noProof/>
          <w:szCs w:val="24"/>
        </w:rPr>
        <w:t>)</w:t>
      </w:r>
      <w:r w:rsidR="00564E31">
        <w:rPr>
          <w:rFonts w:eastAsia="Times New Roman"/>
          <w:noProof/>
          <w:szCs w:val="24"/>
        </w:rPr>
        <w:t>.</w:t>
      </w:r>
    </w:p>
    <w:p w:rsidR="00564E31" w:rsidRPr="001D59E6" w:rsidRDefault="00564E31" w:rsidP="005E38A1">
      <w:pPr>
        <w:ind w:left="567"/>
        <w:rPr>
          <w:noProof/>
          <w:szCs w:val="24"/>
        </w:rPr>
      </w:pPr>
      <w:r w:rsidRPr="2199EFDD">
        <w:rPr>
          <w:noProof/>
          <w:szCs w:val="24"/>
        </w:rPr>
        <w:t xml:space="preserve">The Commission </w:t>
      </w:r>
      <w:r w:rsidR="008B2E88">
        <w:rPr>
          <w:noProof/>
          <w:szCs w:val="24"/>
        </w:rPr>
        <w:t>is empowered to</w:t>
      </w:r>
      <w:r w:rsidR="008B2E88" w:rsidRPr="2199EFDD">
        <w:rPr>
          <w:noProof/>
          <w:szCs w:val="24"/>
        </w:rPr>
        <w:t xml:space="preserve"> </w:t>
      </w:r>
      <w:r w:rsidRPr="2199EFDD">
        <w:rPr>
          <w:noProof/>
          <w:szCs w:val="24"/>
        </w:rPr>
        <w:t xml:space="preserve">adopt </w:t>
      </w:r>
      <w:r w:rsidRPr="0022641A">
        <w:rPr>
          <w:noProof/>
          <w:szCs w:val="24"/>
        </w:rPr>
        <w:t>implementing act</w:t>
      </w:r>
      <w:r w:rsidR="002C00AB">
        <w:rPr>
          <w:noProof/>
          <w:szCs w:val="24"/>
        </w:rPr>
        <w:t>s</w:t>
      </w:r>
      <w:r w:rsidRPr="0022641A">
        <w:rPr>
          <w:noProof/>
          <w:szCs w:val="24"/>
        </w:rPr>
        <w:t xml:space="preserve"> </w:t>
      </w:r>
      <w:r w:rsidR="00C21095">
        <w:rPr>
          <w:noProof/>
          <w:szCs w:val="24"/>
        </w:rPr>
        <w:t xml:space="preserve">setting out, for the purpose of </w:t>
      </w:r>
      <w:r w:rsidRPr="0022641A">
        <w:rPr>
          <w:noProof/>
          <w:szCs w:val="24"/>
        </w:rPr>
        <w:t>Article 18a</w:t>
      </w:r>
      <w:r w:rsidR="00C21095">
        <w:rPr>
          <w:noProof/>
          <w:szCs w:val="24"/>
        </w:rPr>
        <w:t>,</w:t>
      </w:r>
      <w:r w:rsidR="00CF23A2">
        <w:rPr>
          <w:noProof/>
          <w:szCs w:val="24"/>
        </w:rPr>
        <w:t xml:space="preserve"> smart electricity grid indicators to measure the uptake and performance of smart and innovative grid technologies and digital solutions in transmission and distribution networks</w:t>
      </w:r>
      <w:r w:rsidRPr="0022641A">
        <w:rPr>
          <w:noProof/>
          <w:szCs w:val="24"/>
        </w:rPr>
        <w:t xml:space="preserve">. </w:t>
      </w:r>
      <w:r w:rsidR="00B30BBC">
        <w:rPr>
          <w:noProof/>
          <w:szCs w:val="24"/>
        </w:rPr>
        <w:t>T</w:t>
      </w:r>
      <w:r w:rsidRPr="2199EFDD">
        <w:rPr>
          <w:noProof/>
          <w:szCs w:val="24"/>
        </w:rPr>
        <w:t>he Commission</w:t>
      </w:r>
      <w:r>
        <w:rPr>
          <w:noProof/>
          <w:szCs w:val="24"/>
        </w:rPr>
        <w:t xml:space="preserve"> shall consider ACER’s recommendation</w:t>
      </w:r>
      <w:r w:rsidR="00340137">
        <w:rPr>
          <w:noProof/>
          <w:szCs w:val="24"/>
        </w:rPr>
        <w:t xml:space="preserve"> issued</w:t>
      </w:r>
      <w:r>
        <w:rPr>
          <w:noProof/>
          <w:szCs w:val="24"/>
        </w:rPr>
        <w:t xml:space="preserve"> pursuant to Article 18a</w:t>
      </w:r>
      <w:r w:rsidR="00340137">
        <w:rPr>
          <w:noProof/>
          <w:szCs w:val="24"/>
        </w:rPr>
        <w:t>(2)</w:t>
      </w:r>
      <w:r w:rsidR="00B30BBC">
        <w:rPr>
          <w:noProof/>
          <w:szCs w:val="24"/>
        </w:rPr>
        <w:t xml:space="preserve">, </w:t>
      </w:r>
      <w:r w:rsidR="00B30BBC" w:rsidRPr="00B30BBC">
        <w:rPr>
          <w:noProof/>
          <w:szCs w:val="24"/>
        </w:rPr>
        <w:t>when preparing, amending or adopting such implementing acts</w:t>
      </w:r>
      <w:r>
        <w:rPr>
          <w:noProof/>
          <w:szCs w:val="24"/>
        </w:rPr>
        <w:t>.</w:t>
      </w:r>
    </w:p>
    <w:p w:rsidR="00564E31" w:rsidRPr="005739C0" w:rsidRDefault="00564E31" w:rsidP="005E38A1">
      <w:pPr>
        <w:ind w:left="567"/>
        <w:rPr>
          <w:noProof/>
          <w:szCs w:val="24"/>
        </w:rPr>
      </w:pPr>
      <w:r w:rsidRPr="009D68D5">
        <w:rPr>
          <w:noProof/>
          <w:szCs w:val="24"/>
        </w:rPr>
        <w:t xml:space="preserve">Those implementing acts shall be adopted in accordance with the examination </w:t>
      </w:r>
      <w:r w:rsidRPr="005739C0">
        <w:rPr>
          <w:noProof/>
          <w:szCs w:val="24"/>
        </w:rPr>
        <w:t>procedure referred to in Article 67(2)</w:t>
      </w:r>
      <w:r w:rsidR="00AF5459">
        <w:rPr>
          <w:noProof/>
          <w:szCs w:val="24"/>
        </w:rPr>
        <w:t>.</w:t>
      </w:r>
      <w:r w:rsidR="00AF5459" w:rsidRPr="00EB6041">
        <w:rPr>
          <w:noProof/>
          <w:szCs w:val="24"/>
        </w:rPr>
        <w:t>’</w:t>
      </w:r>
    </w:p>
    <w:p w:rsidR="00564E31" w:rsidRDefault="00564E31" w:rsidP="00730E4C">
      <w:pPr>
        <w:tabs>
          <w:tab w:val="left" w:pos="709"/>
        </w:tabs>
        <w:ind w:left="567" w:hanging="567"/>
        <w:rPr>
          <w:rFonts w:eastAsia="Times New Roman"/>
          <w:noProof/>
        </w:rPr>
      </w:pPr>
      <w:r w:rsidRPr="51A47BE7">
        <w:rPr>
          <w:rFonts w:eastAsia="Times New Roman"/>
          <w:noProof/>
        </w:rPr>
        <w:t xml:space="preserve">5b. </w:t>
      </w:r>
      <w:r w:rsidRPr="00730E4C">
        <w:rPr>
          <w:noProof/>
          <w:szCs w:val="24"/>
        </w:rPr>
        <w:t>The</w:t>
      </w:r>
      <w:r w:rsidRPr="51A47BE7">
        <w:rPr>
          <w:rFonts w:eastAsia="Times New Roman"/>
          <w:noProof/>
        </w:rPr>
        <w:t xml:space="preserve"> Commission </w:t>
      </w:r>
      <w:r w:rsidR="00C21095">
        <w:rPr>
          <w:rFonts w:eastAsia="Times New Roman"/>
          <w:noProof/>
        </w:rPr>
        <w:t xml:space="preserve">is empowered to </w:t>
      </w:r>
      <w:r w:rsidRPr="0DE6C2DA">
        <w:rPr>
          <w:rFonts w:eastAsia="Times New Roman"/>
          <w:noProof/>
        </w:rPr>
        <w:t>adopt</w:t>
      </w:r>
      <w:r w:rsidRPr="51A47BE7">
        <w:rPr>
          <w:rFonts w:eastAsia="Times New Roman"/>
          <w:noProof/>
        </w:rPr>
        <w:t xml:space="preserve"> implementing acts </w:t>
      </w:r>
      <w:r w:rsidR="00C21095">
        <w:rPr>
          <w:rFonts w:eastAsia="Times New Roman"/>
          <w:noProof/>
        </w:rPr>
        <w:t xml:space="preserve">setting out </w:t>
      </w:r>
      <w:r w:rsidR="1E38E165" w:rsidRPr="1425AF5A">
        <w:rPr>
          <w:rFonts w:eastAsia="Times New Roman"/>
          <w:noProof/>
        </w:rPr>
        <w:t>detail</w:t>
      </w:r>
      <w:r w:rsidR="00C21095">
        <w:rPr>
          <w:rFonts w:eastAsia="Times New Roman"/>
          <w:noProof/>
        </w:rPr>
        <w:t xml:space="preserve">ed </w:t>
      </w:r>
      <w:r w:rsidR="1E38E165" w:rsidRPr="1425AF5A">
        <w:rPr>
          <w:rFonts w:eastAsia="Times New Roman"/>
          <w:noProof/>
        </w:rPr>
        <w:t>requirements</w:t>
      </w:r>
      <w:r w:rsidR="00C73161" w:rsidRPr="1425AF5A">
        <w:rPr>
          <w:rFonts w:eastAsia="Times New Roman"/>
          <w:noProof/>
        </w:rPr>
        <w:t xml:space="preserve"> </w:t>
      </w:r>
      <w:r w:rsidRPr="51A47BE7">
        <w:rPr>
          <w:rFonts w:eastAsia="Times New Roman"/>
          <w:noProof/>
        </w:rPr>
        <w:t xml:space="preserve">to enable the lawful, secure and controlled reuse of data for research and innovation -interest purposes </w:t>
      </w:r>
      <w:r w:rsidR="00C21095">
        <w:rPr>
          <w:rFonts w:eastAsia="Times New Roman"/>
          <w:noProof/>
        </w:rPr>
        <w:t xml:space="preserve">of public interest, </w:t>
      </w:r>
      <w:r w:rsidRPr="51A47BE7">
        <w:rPr>
          <w:rFonts w:eastAsia="Times New Roman"/>
          <w:noProof/>
        </w:rPr>
        <w:t>supporting the operation and optimisation of the electricity system pursuant to Article 18a. These</w:t>
      </w:r>
      <w:r w:rsidRPr="51A47BE7" w:rsidDel="00904D5D">
        <w:rPr>
          <w:rFonts w:eastAsia="Times New Roman"/>
          <w:noProof/>
        </w:rPr>
        <w:t xml:space="preserve"> </w:t>
      </w:r>
      <w:r w:rsidR="00904D5D">
        <w:rPr>
          <w:rFonts w:eastAsia="Times New Roman"/>
          <w:noProof/>
        </w:rPr>
        <w:t>requirements</w:t>
      </w:r>
      <w:r w:rsidR="00904D5D" w:rsidRPr="51A47BE7">
        <w:rPr>
          <w:rFonts w:eastAsia="Times New Roman"/>
          <w:noProof/>
        </w:rPr>
        <w:t xml:space="preserve"> </w:t>
      </w:r>
      <w:r w:rsidRPr="51A47BE7">
        <w:rPr>
          <w:rFonts w:eastAsia="Times New Roman"/>
          <w:noProof/>
        </w:rPr>
        <w:t>shall:</w:t>
      </w:r>
    </w:p>
    <w:p w:rsidR="00564E31" w:rsidRPr="001C148E" w:rsidRDefault="00564E31" w:rsidP="00263AE0">
      <w:pPr>
        <w:pStyle w:val="Point0"/>
        <w:ind w:left="993" w:hanging="425"/>
        <w:rPr>
          <w:noProof/>
        </w:rPr>
      </w:pPr>
      <w:r>
        <w:rPr>
          <w:noProof/>
        </w:rPr>
        <w:t>(a)</w:t>
      </w:r>
      <w:r>
        <w:rPr>
          <w:noProof/>
        </w:rPr>
        <w:tab/>
      </w:r>
      <w:r w:rsidRPr="00992EEB">
        <w:rPr>
          <w:noProof/>
          <w:szCs w:val="24"/>
        </w:rPr>
        <w:t>specify</w:t>
      </w:r>
      <w:r w:rsidRPr="001C148E">
        <w:rPr>
          <w:noProof/>
        </w:rPr>
        <w:t xml:space="preserve"> </w:t>
      </w:r>
      <w:r w:rsidRPr="70893A71">
        <w:rPr>
          <w:noProof/>
        </w:rPr>
        <w:t>and</w:t>
      </w:r>
      <w:r w:rsidRPr="001C148E">
        <w:rPr>
          <w:noProof/>
        </w:rPr>
        <w:t xml:space="preserve"> update </w:t>
      </w:r>
      <w:r w:rsidRPr="15056207">
        <w:rPr>
          <w:noProof/>
        </w:rPr>
        <w:t xml:space="preserve">technical </w:t>
      </w:r>
      <w:r w:rsidRPr="001C148E">
        <w:rPr>
          <w:noProof/>
        </w:rPr>
        <w:t>data models, formats, ontologies, interfaces</w:t>
      </w:r>
      <w:r w:rsidR="006F27C3">
        <w:rPr>
          <w:noProof/>
        </w:rPr>
        <w:t xml:space="preserve">, and </w:t>
      </w:r>
      <w:r w:rsidR="0082703E">
        <w:rPr>
          <w:noProof/>
        </w:rPr>
        <w:t>data interoperability</w:t>
      </w:r>
      <w:r w:rsidRPr="001C148E">
        <w:rPr>
          <w:noProof/>
        </w:rPr>
        <w:t xml:space="preserve">;   </w:t>
      </w:r>
    </w:p>
    <w:p w:rsidR="00564E31" w:rsidRPr="001C148E" w:rsidRDefault="00564E31" w:rsidP="00263AE0">
      <w:pPr>
        <w:pStyle w:val="Point0"/>
        <w:ind w:left="993" w:hanging="425"/>
        <w:rPr>
          <w:noProof/>
        </w:rPr>
      </w:pPr>
      <w:r>
        <w:rPr>
          <w:noProof/>
        </w:rPr>
        <w:t>(b)</w:t>
      </w:r>
      <w:r>
        <w:rPr>
          <w:noProof/>
        </w:rPr>
        <w:tab/>
      </w:r>
      <w:r w:rsidRPr="005E38A1">
        <w:rPr>
          <w:noProof/>
        </w:rPr>
        <w:t>specify</w:t>
      </w:r>
      <w:r w:rsidRPr="001C148E">
        <w:rPr>
          <w:noProof/>
        </w:rPr>
        <w:t xml:space="preserve"> conditions of transparent and accountable operations of secure processing environments enabling data exchange for  innovation purposes and requirements for </w:t>
      </w:r>
      <w:r w:rsidR="00AE4CBF">
        <w:rPr>
          <w:noProof/>
        </w:rPr>
        <w:t>publishing</w:t>
      </w:r>
      <w:r w:rsidRPr="001C148E">
        <w:rPr>
          <w:noProof/>
        </w:rPr>
        <w:t xml:space="preserve"> of periodic activit</w:t>
      </w:r>
      <w:r w:rsidR="0017750D">
        <w:rPr>
          <w:noProof/>
        </w:rPr>
        <w:t>y</w:t>
      </w:r>
      <w:r w:rsidRPr="001C148E">
        <w:rPr>
          <w:noProof/>
        </w:rPr>
        <w:t xml:space="preserve"> reports, including </w:t>
      </w:r>
      <w:r w:rsidRPr="78AF8254">
        <w:rPr>
          <w:noProof/>
        </w:rPr>
        <w:t>the</w:t>
      </w:r>
      <w:r w:rsidRPr="0A0C8EFD">
        <w:rPr>
          <w:noProof/>
        </w:rPr>
        <w:t xml:space="preserve"> </w:t>
      </w:r>
      <w:r w:rsidRPr="001C148E">
        <w:rPr>
          <w:noProof/>
        </w:rPr>
        <w:t>use cases supported and any identified barriers to data sharing;</w:t>
      </w:r>
    </w:p>
    <w:p w:rsidR="00564E31" w:rsidRPr="001C148E" w:rsidRDefault="00564E31" w:rsidP="00263AE0">
      <w:pPr>
        <w:pStyle w:val="Point0"/>
        <w:ind w:left="993" w:hanging="425"/>
        <w:rPr>
          <w:noProof/>
        </w:rPr>
      </w:pPr>
      <w:r>
        <w:rPr>
          <w:noProof/>
        </w:rPr>
        <w:t>(c)</w:t>
      </w:r>
      <w:r>
        <w:rPr>
          <w:noProof/>
        </w:rPr>
        <w:tab/>
      </w:r>
      <w:r w:rsidRPr="00992EEB">
        <w:rPr>
          <w:noProof/>
          <w:szCs w:val="24"/>
        </w:rPr>
        <w:t>specify</w:t>
      </w:r>
      <w:r w:rsidRPr="001C148E">
        <w:rPr>
          <w:noProof/>
        </w:rPr>
        <w:t xml:space="preserve"> </w:t>
      </w:r>
      <w:r w:rsidRPr="24BD1316">
        <w:rPr>
          <w:noProof/>
        </w:rPr>
        <w:t>liability</w:t>
      </w:r>
      <w:r w:rsidRPr="001C148E">
        <w:rPr>
          <w:noProof/>
        </w:rPr>
        <w:t>, cybersecurity, risk mitigation and incident reporting requirements, in accordance with existing Union legislation, in particular Regulation (EU) 2024/1689.</w:t>
      </w:r>
    </w:p>
    <w:p w:rsidR="00491A83" w:rsidRDefault="00564E31" w:rsidP="005E38A1">
      <w:pPr>
        <w:ind w:left="567"/>
        <w:rPr>
          <w:rFonts w:eastAsia="Times New Roman"/>
          <w:noProof/>
          <w:shd w:val="clear" w:color="auto" w:fill="E6E6E6"/>
        </w:rPr>
      </w:pPr>
      <w:r w:rsidRPr="001C148E">
        <w:rPr>
          <w:noProof/>
          <w:szCs w:val="24"/>
        </w:rPr>
        <w:t>Those implementing acts shall be adopted in accordance with the examination procedure referred to in Article 67(2)</w:t>
      </w:r>
      <w:r w:rsidR="00BB3DFA">
        <w:rPr>
          <w:noProof/>
          <w:szCs w:val="24"/>
        </w:rPr>
        <w:t>.</w:t>
      </w:r>
      <w:r w:rsidR="00882DA8" w:rsidRPr="00882DA8">
        <w:rPr>
          <w:noProof/>
        </w:rPr>
        <w:t xml:space="preserve"> </w:t>
      </w:r>
      <w:r w:rsidR="00882DA8" w:rsidRPr="00882DA8">
        <w:rPr>
          <w:noProof/>
          <w:szCs w:val="24"/>
        </w:rPr>
        <w:t xml:space="preserve">The Commission may request data, information and documentation generated or exchanged within the coordinated arrangement established </w:t>
      </w:r>
      <w:r w:rsidR="00C21095">
        <w:rPr>
          <w:noProof/>
          <w:szCs w:val="24"/>
        </w:rPr>
        <w:t>in accordance with A</w:t>
      </w:r>
      <w:r w:rsidR="00882DA8" w:rsidRPr="00882DA8">
        <w:rPr>
          <w:noProof/>
          <w:szCs w:val="24"/>
        </w:rPr>
        <w:t>rticle 18a(5) to the exten</w:t>
      </w:r>
      <w:r w:rsidR="00C21095">
        <w:rPr>
          <w:noProof/>
          <w:szCs w:val="24"/>
        </w:rPr>
        <w:t>t</w:t>
      </w:r>
      <w:r w:rsidR="00882DA8" w:rsidRPr="00882DA8">
        <w:rPr>
          <w:noProof/>
          <w:szCs w:val="24"/>
        </w:rPr>
        <w:t xml:space="preserve"> necessary and proportionate to prepare th</w:t>
      </w:r>
      <w:r w:rsidR="00C21095">
        <w:rPr>
          <w:noProof/>
          <w:szCs w:val="24"/>
        </w:rPr>
        <w:t>o</w:t>
      </w:r>
      <w:r w:rsidR="00882DA8" w:rsidRPr="00882DA8">
        <w:rPr>
          <w:noProof/>
          <w:szCs w:val="24"/>
        </w:rPr>
        <w:t>se implementing acts.</w:t>
      </w:r>
      <w:r w:rsidR="00BB3DFA" w:rsidRPr="00310969">
        <w:rPr>
          <w:noProof/>
          <w:szCs w:val="24"/>
        </w:rPr>
        <w:t>’</w:t>
      </w:r>
    </w:p>
    <w:p w:rsidR="00450CF9" w:rsidRDefault="00450CF9" w:rsidP="009D1462">
      <w:pPr>
        <w:pStyle w:val="Titrearticle"/>
        <w:spacing w:before="120" w:after="360" w:line="360" w:lineRule="auto"/>
        <w:rPr>
          <w:noProof/>
        </w:rPr>
      </w:pPr>
      <w:r>
        <w:rPr>
          <w:noProof/>
        </w:rPr>
        <w:t xml:space="preserve">Article </w:t>
      </w:r>
      <w:r w:rsidR="0022641A">
        <w:rPr>
          <w:noProof/>
        </w:rPr>
        <w:t>2</w:t>
      </w:r>
      <w:r>
        <w:rPr>
          <w:noProof/>
        </w:rPr>
        <w:br/>
      </w:r>
      <w:r w:rsidR="00AC0846">
        <w:rPr>
          <w:noProof/>
        </w:rPr>
        <w:t>Entry into force</w:t>
      </w:r>
    </w:p>
    <w:p w:rsidR="00450CF9" w:rsidRDefault="00450CF9" w:rsidP="00450CF9">
      <w:pPr>
        <w:pStyle w:val="Applicationdirecte"/>
        <w:spacing w:before="120"/>
        <w:rPr>
          <w:noProof/>
        </w:rPr>
      </w:pPr>
      <w:r>
        <w:rPr>
          <w:noProof/>
        </w:rPr>
        <w:t xml:space="preserve">This Regulation shall enter into force on the </w:t>
      </w:r>
      <w:r w:rsidRPr="00AC0846">
        <w:rPr>
          <w:noProof/>
        </w:rPr>
        <w:t>[</w:t>
      </w:r>
      <w:r w:rsidRPr="00AC0846">
        <w:rPr>
          <w:i/>
          <w:iCs/>
          <w:noProof/>
        </w:rPr>
        <w:t>xxx</w:t>
      </w:r>
      <w:r w:rsidRPr="00AC0846">
        <w:rPr>
          <w:noProof/>
        </w:rPr>
        <w:t>]</w:t>
      </w:r>
      <w:r>
        <w:rPr>
          <w:noProof/>
        </w:rPr>
        <w:t xml:space="preserve"> day following that of its publication in the </w:t>
      </w:r>
      <w:r w:rsidRPr="008F381E">
        <w:rPr>
          <w:i/>
          <w:iCs/>
          <w:noProof/>
        </w:rPr>
        <w:t>Official Journal of the European Union</w:t>
      </w:r>
      <w:r>
        <w:rPr>
          <w:noProof/>
        </w:rPr>
        <w:t>.</w:t>
      </w:r>
    </w:p>
    <w:p w:rsidR="00450CF9" w:rsidRDefault="00450CF9" w:rsidP="009D1462">
      <w:pPr>
        <w:pStyle w:val="Applicationdirecte"/>
        <w:spacing w:before="240"/>
        <w:rPr>
          <w:noProof/>
        </w:rPr>
      </w:pPr>
      <w:r>
        <w:rPr>
          <w:noProof/>
        </w:rPr>
        <w:t>This Regulation shall be binding in its entirety and directly applicable in all Member States.</w:t>
      </w:r>
    </w:p>
    <w:p w:rsidR="00443040" w:rsidRDefault="001F50CA" w:rsidP="00A13D2E">
      <w:pPr>
        <w:pStyle w:val="Fait"/>
        <w:rPr>
          <w:noProof/>
        </w:rPr>
      </w:pPr>
      <w:r>
        <w:rPr>
          <w:noProof/>
        </w:rPr>
        <w:t>Done at Brussels,</w:t>
      </w:r>
    </w:p>
    <w:p w:rsidR="00443040" w:rsidRDefault="00443040" w:rsidP="00A13D2E">
      <w:pPr>
        <w:pStyle w:val="Institutionquisigne"/>
        <w:rPr>
          <w:noProof/>
        </w:rPr>
      </w:pPr>
      <w:r w:rsidRPr="00443040">
        <w:rPr>
          <w:noProof/>
        </w:rPr>
        <w:t>For the European Parliament</w:t>
      </w:r>
      <w:r w:rsidRPr="00443040">
        <w:rPr>
          <w:noProof/>
        </w:rPr>
        <w:tab/>
        <w:t>For the Council</w:t>
      </w:r>
    </w:p>
    <w:p w:rsidR="00AC4B8B" w:rsidRDefault="00443040" w:rsidP="00AC4B8B">
      <w:pPr>
        <w:pStyle w:val="Personnequisigne"/>
        <w:rPr>
          <w:noProof/>
        </w:rPr>
        <w:sectPr w:rsidR="00AC4B8B" w:rsidSect="00423DBB">
          <w:footnotePr>
            <w:numRestart w:val="eachSect"/>
          </w:footnotePr>
          <w:pgSz w:w="11907" w:h="16839"/>
          <w:pgMar w:top="1134" w:right="1417" w:bottom="1134" w:left="1417" w:header="709" w:footer="709" w:gutter="0"/>
          <w:cols w:space="720"/>
          <w:docGrid w:linePitch="360"/>
        </w:sectPr>
      </w:pPr>
      <w:r w:rsidRPr="00443040">
        <w:rPr>
          <w:noProof/>
        </w:rPr>
        <w:t>The President</w:t>
      </w:r>
      <w:r w:rsidRPr="00443040">
        <w:rPr>
          <w:noProof/>
        </w:rPr>
        <w:tab/>
        <w:t>The President</w:t>
      </w:r>
    </w:p>
    <w:sdt>
      <w:sdtPr>
        <w:rPr>
          <w:b w:val="0"/>
          <w:noProof/>
          <w:u w:val="none"/>
        </w:rPr>
        <w:id w:val="-722060658"/>
        <w:docPartObj>
          <w:docPartGallery w:val="Table of Contents"/>
          <w:docPartUnique/>
        </w:docPartObj>
      </w:sdtPr>
      <w:sdtEndPr/>
      <w:sdtContent>
        <w:p w:rsidR="00BB1D84" w:rsidRPr="00921B75" w:rsidRDefault="00BB1D84" w:rsidP="00BB1D84">
          <w:pPr>
            <w:pStyle w:val="Fichefinanciretitre"/>
            <w:rPr>
              <w:noProof/>
            </w:rPr>
          </w:pPr>
          <w:r w:rsidRPr="00921B75">
            <w:rPr>
              <w:noProof/>
            </w:rPr>
            <w:t>LEGISLATIVE FINANCIAL AND DIGITAL STATEMENT</w:t>
          </w:r>
          <w:r>
            <w:rPr>
              <w:noProof/>
            </w:rPr>
            <w:t xml:space="preserve"> - AGENCIES</w:t>
          </w:r>
        </w:p>
        <w:p w:rsidR="007B26E6" w:rsidRDefault="00BB1D84">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4245494" w:history="1">
            <w:r w:rsidR="007B26E6" w:rsidRPr="007069BA">
              <w:rPr>
                <w:rStyle w:val="Hyperlink"/>
                <w:noProof/>
              </w:rPr>
              <w:t>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FRAMEWORK OF THE PROPOSAL</w:t>
            </w:r>
            <w:r w:rsidR="007B26E6">
              <w:rPr>
                <w:noProof/>
                <w:webHidden/>
              </w:rPr>
              <w:tab/>
            </w:r>
            <w:r w:rsidR="007B26E6">
              <w:rPr>
                <w:noProof/>
                <w:webHidden/>
              </w:rPr>
              <w:fldChar w:fldCharType="begin"/>
            </w:r>
            <w:r w:rsidR="007B26E6">
              <w:rPr>
                <w:noProof/>
                <w:webHidden/>
              </w:rPr>
              <w:instrText xml:space="preserve"> PAGEREF _Toc234245494 \h </w:instrText>
            </w:r>
            <w:r w:rsidR="007B26E6">
              <w:rPr>
                <w:noProof/>
                <w:webHidden/>
              </w:rPr>
            </w:r>
            <w:r w:rsidR="007B26E6">
              <w:rPr>
                <w:noProof/>
                <w:webHidden/>
              </w:rPr>
              <w:fldChar w:fldCharType="separate"/>
            </w:r>
            <w:r w:rsidR="008953DE">
              <w:rPr>
                <w:noProof/>
                <w:webHidden/>
              </w:rPr>
              <w:t>3</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495" w:history="1">
            <w:r w:rsidR="007B26E6" w:rsidRPr="007069BA">
              <w:rPr>
                <w:rStyle w:val="Hyperlink"/>
                <w:noProof/>
              </w:rPr>
              <w:t>1.1.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Title of the proposal</w:t>
            </w:r>
            <w:r w:rsidR="007B26E6">
              <w:rPr>
                <w:noProof/>
                <w:webHidden/>
              </w:rPr>
              <w:tab/>
            </w:r>
            <w:r w:rsidR="007B26E6">
              <w:rPr>
                <w:noProof/>
                <w:webHidden/>
              </w:rPr>
              <w:fldChar w:fldCharType="begin"/>
            </w:r>
            <w:r w:rsidR="007B26E6">
              <w:rPr>
                <w:noProof/>
                <w:webHidden/>
              </w:rPr>
              <w:instrText xml:space="preserve"> PAGEREF _Toc234245495 \h </w:instrText>
            </w:r>
            <w:r w:rsidR="007B26E6">
              <w:rPr>
                <w:noProof/>
                <w:webHidden/>
              </w:rPr>
            </w:r>
            <w:r w:rsidR="007B26E6">
              <w:rPr>
                <w:noProof/>
                <w:webHidden/>
              </w:rPr>
              <w:fldChar w:fldCharType="separate"/>
            </w:r>
            <w:r w:rsidR="008953DE">
              <w:rPr>
                <w:noProof/>
                <w:webHidden/>
              </w:rPr>
              <w:t>3</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496" w:history="1">
            <w:r w:rsidR="007B26E6" w:rsidRPr="007069BA">
              <w:rPr>
                <w:rStyle w:val="Hyperlink"/>
                <w:noProof/>
              </w:rPr>
              <w:t>1.2.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Policy area concerned</w:t>
            </w:r>
            <w:r w:rsidR="007B26E6">
              <w:rPr>
                <w:noProof/>
                <w:webHidden/>
              </w:rPr>
              <w:tab/>
            </w:r>
            <w:r w:rsidR="007B26E6">
              <w:rPr>
                <w:noProof/>
                <w:webHidden/>
              </w:rPr>
              <w:fldChar w:fldCharType="begin"/>
            </w:r>
            <w:r w:rsidR="007B26E6">
              <w:rPr>
                <w:noProof/>
                <w:webHidden/>
              </w:rPr>
              <w:instrText xml:space="preserve"> PAGEREF _Toc234245496 \h </w:instrText>
            </w:r>
            <w:r w:rsidR="007B26E6">
              <w:rPr>
                <w:noProof/>
                <w:webHidden/>
              </w:rPr>
            </w:r>
            <w:r w:rsidR="007B26E6">
              <w:rPr>
                <w:noProof/>
                <w:webHidden/>
              </w:rPr>
              <w:fldChar w:fldCharType="separate"/>
            </w:r>
            <w:r w:rsidR="008953DE">
              <w:rPr>
                <w:noProof/>
                <w:webHidden/>
              </w:rPr>
              <w:t>3</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497" w:history="1">
            <w:r w:rsidR="007B26E6" w:rsidRPr="007069BA">
              <w:rPr>
                <w:rStyle w:val="Hyperlink"/>
                <w:noProof/>
              </w:rPr>
              <w:t>1.3.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Objectives</w:t>
            </w:r>
            <w:r w:rsidR="007B26E6">
              <w:rPr>
                <w:noProof/>
                <w:webHidden/>
              </w:rPr>
              <w:tab/>
            </w:r>
            <w:r w:rsidR="007B26E6">
              <w:rPr>
                <w:noProof/>
                <w:webHidden/>
              </w:rPr>
              <w:fldChar w:fldCharType="begin"/>
            </w:r>
            <w:r w:rsidR="007B26E6">
              <w:rPr>
                <w:noProof/>
                <w:webHidden/>
              </w:rPr>
              <w:instrText xml:space="preserve"> PAGEREF _Toc234245497 \h </w:instrText>
            </w:r>
            <w:r w:rsidR="007B26E6">
              <w:rPr>
                <w:noProof/>
                <w:webHidden/>
              </w:rPr>
            </w:r>
            <w:r w:rsidR="007B26E6">
              <w:rPr>
                <w:noProof/>
                <w:webHidden/>
              </w:rPr>
              <w:fldChar w:fldCharType="separate"/>
            </w:r>
            <w:r w:rsidR="008953DE">
              <w:rPr>
                <w:noProof/>
                <w:webHidden/>
              </w:rPr>
              <w:t>3</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498" w:history="1">
            <w:r w:rsidR="007B26E6" w:rsidRPr="007069BA">
              <w:rPr>
                <w:rStyle w:val="Hyperlink"/>
                <w:noProof/>
              </w:rPr>
              <w:t>1.3.1.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General objectives</w:t>
            </w:r>
            <w:r w:rsidR="007B26E6">
              <w:rPr>
                <w:noProof/>
                <w:webHidden/>
              </w:rPr>
              <w:tab/>
            </w:r>
            <w:r w:rsidR="007B26E6">
              <w:rPr>
                <w:noProof/>
                <w:webHidden/>
              </w:rPr>
              <w:fldChar w:fldCharType="begin"/>
            </w:r>
            <w:r w:rsidR="007B26E6">
              <w:rPr>
                <w:noProof/>
                <w:webHidden/>
              </w:rPr>
              <w:instrText xml:space="preserve"> PAGEREF _Toc234245498 \h </w:instrText>
            </w:r>
            <w:r w:rsidR="007B26E6">
              <w:rPr>
                <w:noProof/>
                <w:webHidden/>
              </w:rPr>
            </w:r>
            <w:r w:rsidR="007B26E6">
              <w:rPr>
                <w:noProof/>
                <w:webHidden/>
              </w:rPr>
              <w:fldChar w:fldCharType="separate"/>
            </w:r>
            <w:r w:rsidR="008953DE">
              <w:rPr>
                <w:noProof/>
                <w:webHidden/>
              </w:rPr>
              <w:t>3</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499" w:history="1">
            <w:r w:rsidR="007B26E6" w:rsidRPr="007069BA">
              <w:rPr>
                <w:rStyle w:val="Hyperlink"/>
                <w:noProof/>
              </w:rPr>
              <w:t>1.3.2.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Specific objectives</w:t>
            </w:r>
            <w:r w:rsidR="007B26E6">
              <w:rPr>
                <w:noProof/>
                <w:webHidden/>
              </w:rPr>
              <w:tab/>
            </w:r>
            <w:r w:rsidR="007B26E6">
              <w:rPr>
                <w:noProof/>
                <w:webHidden/>
              </w:rPr>
              <w:fldChar w:fldCharType="begin"/>
            </w:r>
            <w:r w:rsidR="007B26E6">
              <w:rPr>
                <w:noProof/>
                <w:webHidden/>
              </w:rPr>
              <w:instrText xml:space="preserve"> PAGEREF _Toc234245499 \h </w:instrText>
            </w:r>
            <w:r w:rsidR="007B26E6">
              <w:rPr>
                <w:noProof/>
                <w:webHidden/>
              </w:rPr>
            </w:r>
            <w:r w:rsidR="007B26E6">
              <w:rPr>
                <w:noProof/>
                <w:webHidden/>
              </w:rPr>
              <w:fldChar w:fldCharType="separate"/>
            </w:r>
            <w:r w:rsidR="008953DE">
              <w:rPr>
                <w:noProof/>
                <w:webHidden/>
              </w:rPr>
              <w:t>4</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0" w:history="1">
            <w:r w:rsidR="007B26E6" w:rsidRPr="007069BA">
              <w:rPr>
                <w:rStyle w:val="Hyperlink"/>
                <w:noProof/>
              </w:rPr>
              <w:t>1.3.3.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Expected results and impact</w:t>
            </w:r>
            <w:r w:rsidR="007B26E6">
              <w:rPr>
                <w:noProof/>
                <w:webHidden/>
              </w:rPr>
              <w:tab/>
            </w:r>
            <w:r w:rsidR="007B26E6">
              <w:rPr>
                <w:noProof/>
                <w:webHidden/>
              </w:rPr>
              <w:fldChar w:fldCharType="begin"/>
            </w:r>
            <w:r w:rsidR="007B26E6">
              <w:rPr>
                <w:noProof/>
                <w:webHidden/>
              </w:rPr>
              <w:instrText xml:space="preserve"> PAGEREF _Toc234245500 \h </w:instrText>
            </w:r>
            <w:r w:rsidR="007B26E6">
              <w:rPr>
                <w:noProof/>
                <w:webHidden/>
              </w:rPr>
            </w:r>
            <w:r w:rsidR="007B26E6">
              <w:rPr>
                <w:noProof/>
                <w:webHidden/>
              </w:rPr>
              <w:fldChar w:fldCharType="separate"/>
            </w:r>
            <w:r w:rsidR="008953DE">
              <w:rPr>
                <w:noProof/>
                <w:webHidden/>
              </w:rPr>
              <w:t>6</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1" w:history="1">
            <w:r w:rsidR="007B26E6" w:rsidRPr="007069BA">
              <w:rPr>
                <w:rStyle w:val="Hyperlink"/>
                <w:noProof/>
              </w:rPr>
              <w:t>1.3.4.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Indicators of performance</w:t>
            </w:r>
            <w:r w:rsidR="007B26E6">
              <w:rPr>
                <w:noProof/>
                <w:webHidden/>
              </w:rPr>
              <w:tab/>
            </w:r>
            <w:r w:rsidR="007B26E6">
              <w:rPr>
                <w:noProof/>
                <w:webHidden/>
              </w:rPr>
              <w:fldChar w:fldCharType="begin"/>
            </w:r>
            <w:r w:rsidR="007B26E6">
              <w:rPr>
                <w:noProof/>
                <w:webHidden/>
              </w:rPr>
              <w:instrText xml:space="preserve"> PAGEREF _Toc234245501 \h </w:instrText>
            </w:r>
            <w:r w:rsidR="007B26E6">
              <w:rPr>
                <w:noProof/>
                <w:webHidden/>
              </w:rPr>
            </w:r>
            <w:r w:rsidR="007B26E6">
              <w:rPr>
                <w:noProof/>
                <w:webHidden/>
              </w:rPr>
              <w:fldChar w:fldCharType="separate"/>
            </w:r>
            <w:r w:rsidR="008953DE">
              <w:rPr>
                <w:noProof/>
                <w:webHidden/>
              </w:rPr>
              <w:t>8</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02" w:history="1">
            <w:r w:rsidR="007B26E6" w:rsidRPr="007069BA">
              <w:rPr>
                <w:rStyle w:val="Hyperlink"/>
                <w:noProof/>
              </w:rPr>
              <w:t>1.4.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The proposal relates to:</w:t>
            </w:r>
            <w:r w:rsidR="007B26E6">
              <w:rPr>
                <w:noProof/>
                <w:webHidden/>
              </w:rPr>
              <w:tab/>
            </w:r>
            <w:r w:rsidR="007B26E6">
              <w:rPr>
                <w:noProof/>
                <w:webHidden/>
              </w:rPr>
              <w:fldChar w:fldCharType="begin"/>
            </w:r>
            <w:r w:rsidR="007B26E6">
              <w:rPr>
                <w:noProof/>
                <w:webHidden/>
              </w:rPr>
              <w:instrText xml:space="preserve"> PAGEREF _Toc234245502 \h </w:instrText>
            </w:r>
            <w:r w:rsidR="007B26E6">
              <w:rPr>
                <w:noProof/>
                <w:webHidden/>
              </w:rPr>
            </w:r>
            <w:r w:rsidR="007B26E6">
              <w:rPr>
                <w:noProof/>
                <w:webHidden/>
              </w:rPr>
              <w:fldChar w:fldCharType="separate"/>
            </w:r>
            <w:r w:rsidR="008953DE">
              <w:rPr>
                <w:noProof/>
                <w:webHidden/>
              </w:rPr>
              <w:t>8</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03" w:history="1">
            <w:r w:rsidR="007B26E6" w:rsidRPr="007069BA">
              <w:rPr>
                <w:rStyle w:val="Hyperlink"/>
                <w:noProof/>
              </w:rPr>
              <w:t>1.5.</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Grounds for the proposal</w:t>
            </w:r>
            <w:r w:rsidR="007B26E6">
              <w:rPr>
                <w:noProof/>
                <w:webHidden/>
              </w:rPr>
              <w:tab/>
            </w:r>
            <w:r w:rsidR="007B26E6">
              <w:rPr>
                <w:noProof/>
                <w:webHidden/>
              </w:rPr>
              <w:fldChar w:fldCharType="begin"/>
            </w:r>
            <w:r w:rsidR="007B26E6">
              <w:rPr>
                <w:noProof/>
                <w:webHidden/>
              </w:rPr>
              <w:instrText xml:space="preserve"> PAGEREF _Toc234245503 \h </w:instrText>
            </w:r>
            <w:r w:rsidR="007B26E6">
              <w:rPr>
                <w:noProof/>
                <w:webHidden/>
              </w:rPr>
            </w:r>
            <w:r w:rsidR="007B26E6">
              <w:rPr>
                <w:noProof/>
                <w:webHidden/>
              </w:rPr>
              <w:fldChar w:fldCharType="separate"/>
            </w:r>
            <w:r w:rsidR="008953DE">
              <w:rPr>
                <w:noProof/>
                <w:webHidden/>
              </w:rPr>
              <w:t>8</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4" w:history="1">
            <w:r w:rsidR="007B26E6" w:rsidRPr="007069BA">
              <w:rPr>
                <w:rStyle w:val="Hyperlink"/>
                <w:noProof/>
              </w:rPr>
              <w:t>1.5.1.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Requirements to be met in the short or long term including a detailed timeline for roll-out of the implementation of the initiative</w:t>
            </w:r>
            <w:r w:rsidR="007B26E6">
              <w:rPr>
                <w:noProof/>
                <w:webHidden/>
              </w:rPr>
              <w:tab/>
            </w:r>
            <w:r w:rsidR="007B26E6">
              <w:rPr>
                <w:noProof/>
                <w:webHidden/>
              </w:rPr>
              <w:fldChar w:fldCharType="begin"/>
            </w:r>
            <w:r w:rsidR="007B26E6">
              <w:rPr>
                <w:noProof/>
                <w:webHidden/>
              </w:rPr>
              <w:instrText xml:space="preserve"> PAGEREF _Toc234245504 \h </w:instrText>
            </w:r>
            <w:r w:rsidR="007B26E6">
              <w:rPr>
                <w:noProof/>
                <w:webHidden/>
              </w:rPr>
            </w:r>
            <w:r w:rsidR="007B26E6">
              <w:rPr>
                <w:noProof/>
                <w:webHidden/>
              </w:rPr>
              <w:fldChar w:fldCharType="separate"/>
            </w:r>
            <w:r w:rsidR="008953DE">
              <w:rPr>
                <w:noProof/>
                <w:webHidden/>
              </w:rPr>
              <w:t>8</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5" w:history="1">
            <w:r w:rsidR="007B26E6" w:rsidRPr="007069BA">
              <w:rPr>
                <w:rStyle w:val="Hyperlink"/>
                <w:noProof/>
              </w:rPr>
              <w:t>1.5.2.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007B26E6">
              <w:rPr>
                <w:noProof/>
                <w:webHidden/>
              </w:rPr>
              <w:tab/>
            </w:r>
            <w:r w:rsidR="007B26E6">
              <w:rPr>
                <w:noProof/>
                <w:webHidden/>
              </w:rPr>
              <w:fldChar w:fldCharType="begin"/>
            </w:r>
            <w:r w:rsidR="007B26E6">
              <w:rPr>
                <w:noProof/>
                <w:webHidden/>
              </w:rPr>
              <w:instrText xml:space="preserve"> PAGEREF _Toc234245505 \h </w:instrText>
            </w:r>
            <w:r w:rsidR="007B26E6">
              <w:rPr>
                <w:noProof/>
                <w:webHidden/>
              </w:rPr>
            </w:r>
            <w:r w:rsidR="007B26E6">
              <w:rPr>
                <w:noProof/>
                <w:webHidden/>
              </w:rPr>
              <w:fldChar w:fldCharType="separate"/>
            </w:r>
            <w:r w:rsidR="008953DE">
              <w:rPr>
                <w:noProof/>
                <w:webHidden/>
              </w:rPr>
              <w:t>10</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6" w:history="1">
            <w:r w:rsidR="007B26E6" w:rsidRPr="007069BA">
              <w:rPr>
                <w:rStyle w:val="Hyperlink"/>
                <w:noProof/>
              </w:rPr>
              <w:t>1.5.3.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Lessons learned from similar experiences in the past</w:t>
            </w:r>
            <w:r w:rsidR="007B26E6">
              <w:rPr>
                <w:noProof/>
                <w:webHidden/>
              </w:rPr>
              <w:tab/>
            </w:r>
            <w:r w:rsidR="007B26E6">
              <w:rPr>
                <w:noProof/>
                <w:webHidden/>
              </w:rPr>
              <w:fldChar w:fldCharType="begin"/>
            </w:r>
            <w:r w:rsidR="007B26E6">
              <w:rPr>
                <w:noProof/>
                <w:webHidden/>
              </w:rPr>
              <w:instrText xml:space="preserve"> PAGEREF _Toc234245506 \h </w:instrText>
            </w:r>
            <w:r w:rsidR="007B26E6">
              <w:rPr>
                <w:noProof/>
                <w:webHidden/>
              </w:rPr>
            </w:r>
            <w:r w:rsidR="007B26E6">
              <w:rPr>
                <w:noProof/>
                <w:webHidden/>
              </w:rPr>
              <w:fldChar w:fldCharType="separate"/>
            </w:r>
            <w:r w:rsidR="008953DE">
              <w:rPr>
                <w:noProof/>
                <w:webHidden/>
              </w:rPr>
              <w:t>10</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7" w:history="1">
            <w:r w:rsidR="007B26E6" w:rsidRPr="007069BA">
              <w:rPr>
                <w:rStyle w:val="Hyperlink"/>
                <w:noProof/>
              </w:rPr>
              <w:t>1.5.4.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Compatibility with the multiannual financial framework and possible synergies with other appropriate instruments</w:t>
            </w:r>
            <w:r w:rsidR="007B26E6">
              <w:rPr>
                <w:noProof/>
                <w:webHidden/>
              </w:rPr>
              <w:tab/>
            </w:r>
            <w:r w:rsidR="007B26E6">
              <w:rPr>
                <w:noProof/>
                <w:webHidden/>
              </w:rPr>
              <w:fldChar w:fldCharType="begin"/>
            </w:r>
            <w:r w:rsidR="007B26E6">
              <w:rPr>
                <w:noProof/>
                <w:webHidden/>
              </w:rPr>
              <w:instrText xml:space="preserve"> PAGEREF _Toc234245507 \h </w:instrText>
            </w:r>
            <w:r w:rsidR="007B26E6">
              <w:rPr>
                <w:noProof/>
                <w:webHidden/>
              </w:rPr>
            </w:r>
            <w:r w:rsidR="007B26E6">
              <w:rPr>
                <w:noProof/>
                <w:webHidden/>
              </w:rPr>
              <w:fldChar w:fldCharType="separate"/>
            </w:r>
            <w:r w:rsidR="008953DE">
              <w:rPr>
                <w:noProof/>
                <w:webHidden/>
              </w:rPr>
              <w:t>11</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08" w:history="1">
            <w:r w:rsidR="007B26E6" w:rsidRPr="007069BA">
              <w:rPr>
                <w:rStyle w:val="Hyperlink"/>
                <w:noProof/>
              </w:rPr>
              <w:t>1.5.5.</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Assessment of the different available financing options, including scope for redeployment</w:t>
            </w:r>
            <w:r w:rsidR="007B26E6">
              <w:rPr>
                <w:noProof/>
                <w:webHidden/>
              </w:rPr>
              <w:tab/>
            </w:r>
            <w:r w:rsidR="007B26E6">
              <w:rPr>
                <w:noProof/>
                <w:webHidden/>
              </w:rPr>
              <w:fldChar w:fldCharType="begin"/>
            </w:r>
            <w:r w:rsidR="007B26E6">
              <w:rPr>
                <w:noProof/>
                <w:webHidden/>
              </w:rPr>
              <w:instrText xml:space="preserve"> PAGEREF _Toc234245508 \h </w:instrText>
            </w:r>
            <w:r w:rsidR="007B26E6">
              <w:rPr>
                <w:noProof/>
                <w:webHidden/>
              </w:rPr>
            </w:r>
            <w:r w:rsidR="007B26E6">
              <w:rPr>
                <w:noProof/>
                <w:webHidden/>
              </w:rPr>
              <w:fldChar w:fldCharType="separate"/>
            </w:r>
            <w:r w:rsidR="008953DE">
              <w:rPr>
                <w:noProof/>
                <w:webHidden/>
              </w:rPr>
              <w:t>11</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09" w:history="1">
            <w:r w:rsidR="007B26E6" w:rsidRPr="007069BA">
              <w:rPr>
                <w:rStyle w:val="Hyperlink"/>
                <w:noProof/>
              </w:rPr>
              <w:t>1.6.</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Duration of the proposal and of its financial impact</w:t>
            </w:r>
            <w:r w:rsidR="007B26E6">
              <w:rPr>
                <w:noProof/>
                <w:webHidden/>
              </w:rPr>
              <w:tab/>
            </w:r>
            <w:r w:rsidR="007B26E6">
              <w:rPr>
                <w:noProof/>
                <w:webHidden/>
              </w:rPr>
              <w:fldChar w:fldCharType="begin"/>
            </w:r>
            <w:r w:rsidR="007B26E6">
              <w:rPr>
                <w:noProof/>
                <w:webHidden/>
              </w:rPr>
              <w:instrText xml:space="preserve"> PAGEREF _Toc234245509 \h </w:instrText>
            </w:r>
            <w:r w:rsidR="007B26E6">
              <w:rPr>
                <w:noProof/>
                <w:webHidden/>
              </w:rPr>
            </w:r>
            <w:r w:rsidR="007B26E6">
              <w:rPr>
                <w:noProof/>
                <w:webHidden/>
              </w:rPr>
              <w:fldChar w:fldCharType="separate"/>
            </w:r>
            <w:r w:rsidR="008953DE">
              <w:rPr>
                <w:noProof/>
                <w:webHidden/>
              </w:rPr>
              <w:t>12</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10" w:history="1">
            <w:r w:rsidR="007B26E6" w:rsidRPr="007069BA">
              <w:rPr>
                <w:rStyle w:val="Hyperlink"/>
                <w:noProof/>
              </w:rPr>
              <w:t>1.7.</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Method(s) of budget implementation planned</w:t>
            </w:r>
            <w:r w:rsidR="007B26E6">
              <w:rPr>
                <w:noProof/>
                <w:webHidden/>
              </w:rPr>
              <w:tab/>
            </w:r>
            <w:r w:rsidR="007B26E6">
              <w:rPr>
                <w:noProof/>
                <w:webHidden/>
              </w:rPr>
              <w:fldChar w:fldCharType="begin"/>
            </w:r>
            <w:r w:rsidR="007B26E6">
              <w:rPr>
                <w:noProof/>
                <w:webHidden/>
              </w:rPr>
              <w:instrText xml:space="preserve"> PAGEREF _Toc234245510 \h </w:instrText>
            </w:r>
            <w:r w:rsidR="007B26E6">
              <w:rPr>
                <w:noProof/>
                <w:webHidden/>
              </w:rPr>
            </w:r>
            <w:r w:rsidR="007B26E6">
              <w:rPr>
                <w:noProof/>
                <w:webHidden/>
              </w:rPr>
              <w:fldChar w:fldCharType="separate"/>
            </w:r>
            <w:r w:rsidR="008953DE">
              <w:rPr>
                <w:noProof/>
                <w:webHidden/>
              </w:rPr>
              <w:t>12</w:t>
            </w:r>
            <w:r w:rsidR="007B26E6">
              <w:rPr>
                <w:noProof/>
                <w:webHidden/>
              </w:rPr>
              <w:fldChar w:fldCharType="end"/>
            </w:r>
          </w:hyperlink>
        </w:p>
        <w:p w:rsidR="007B26E6" w:rsidRDefault="00A13D2E">
          <w:pPr>
            <w:pStyle w:val="TOC1"/>
            <w:rPr>
              <w:rFonts w:asciiTheme="minorHAnsi" w:eastAsiaTheme="minorEastAsia" w:hAnsiTheme="minorHAnsi" w:cstheme="minorBidi"/>
              <w:noProof/>
              <w:kern w:val="2"/>
              <w:szCs w:val="24"/>
              <w:lang w:val="en-IE" w:eastAsia="en-IE"/>
              <w14:ligatures w14:val="standardContextual"/>
            </w:rPr>
          </w:pPr>
          <w:hyperlink w:anchor="_Toc234245511" w:history="1">
            <w:r w:rsidR="007B26E6" w:rsidRPr="007069BA">
              <w:rPr>
                <w:rStyle w:val="Hyperlink"/>
                <w:noProof/>
              </w:rPr>
              <w:t>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MANAGEMENT MEASURES</w:t>
            </w:r>
            <w:r w:rsidR="007B26E6">
              <w:rPr>
                <w:noProof/>
                <w:webHidden/>
              </w:rPr>
              <w:tab/>
            </w:r>
            <w:r w:rsidR="007B26E6">
              <w:rPr>
                <w:noProof/>
                <w:webHidden/>
              </w:rPr>
              <w:fldChar w:fldCharType="begin"/>
            </w:r>
            <w:r w:rsidR="007B26E6">
              <w:rPr>
                <w:noProof/>
                <w:webHidden/>
              </w:rPr>
              <w:instrText xml:space="preserve"> PAGEREF _Toc234245511 \h </w:instrText>
            </w:r>
            <w:r w:rsidR="007B26E6">
              <w:rPr>
                <w:noProof/>
                <w:webHidden/>
              </w:rPr>
            </w:r>
            <w:r w:rsidR="007B26E6">
              <w:rPr>
                <w:noProof/>
                <w:webHidden/>
              </w:rPr>
              <w:fldChar w:fldCharType="separate"/>
            </w:r>
            <w:r w:rsidR="008953DE">
              <w:rPr>
                <w:noProof/>
                <w:webHidden/>
              </w:rPr>
              <w:t>13</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12" w:history="1">
            <w:r w:rsidR="007B26E6" w:rsidRPr="007069BA">
              <w:rPr>
                <w:rStyle w:val="Hyperlink"/>
                <w:noProof/>
              </w:rPr>
              <w:t>2.1.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Monitoring and reporting rules</w:t>
            </w:r>
            <w:r w:rsidR="007B26E6">
              <w:rPr>
                <w:noProof/>
                <w:webHidden/>
              </w:rPr>
              <w:tab/>
            </w:r>
            <w:r w:rsidR="007B26E6">
              <w:rPr>
                <w:noProof/>
                <w:webHidden/>
              </w:rPr>
              <w:fldChar w:fldCharType="begin"/>
            </w:r>
            <w:r w:rsidR="007B26E6">
              <w:rPr>
                <w:noProof/>
                <w:webHidden/>
              </w:rPr>
              <w:instrText xml:space="preserve"> PAGEREF _Toc234245512 \h </w:instrText>
            </w:r>
            <w:r w:rsidR="007B26E6">
              <w:rPr>
                <w:noProof/>
                <w:webHidden/>
              </w:rPr>
            </w:r>
            <w:r w:rsidR="007B26E6">
              <w:rPr>
                <w:noProof/>
                <w:webHidden/>
              </w:rPr>
              <w:fldChar w:fldCharType="separate"/>
            </w:r>
            <w:r w:rsidR="008953DE">
              <w:rPr>
                <w:noProof/>
                <w:webHidden/>
              </w:rPr>
              <w:t>13</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13" w:history="1">
            <w:r w:rsidR="007B26E6" w:rsidRPr="007069BA">
              <w:rPr>
                <w:rStyle w:val="Hyperlink"/>
                <w:noProof/>
              </w:rPr>
              <w:t>2.2.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Management and control systems</w:t>
            </w:r>
            <w:r w:rsidR="007B26E6">
              <w:rPr>
                <w:noProof/>
                <w:webHidden/>
              </w:rPr>
              <w:tab/>
            </w:r>
            <w:r w:rsidR="007B26E6">
              <w:rPr>
                <w:noProof/>
                <w:webHidden/>
              </w:rPr>
              <w:fldChar w:fldCharType="begin"/>
            </w:r>
            <w:r w:rsidR="007B26E6">
              <w:rPr>
                <w:noProof/>
                <w:webHidden/>
              </w:rPr>
              <w:instrText xml:space="preserve"> PAGEREF _Toc234245513 \h </w:instrText>
            </w:r>
            <w:r w:rsidR="007B26E6">
              <w:rPr>
                <w:noProof/>
                <w:webHidden/>
              </w:rPr>
            </w:r>
            <w:r w:rsidR="007B26E6">
              <w:rPr>
                <w:noProof/>
                <w:webHidden/>
              </w:rPr>
              <w:fldChar w:fldCharType="separate"/>
            </w:r>
            <w:r w:rsidR="008953DE">
              <w:rPr>
                <w:noProof/>
                <w:webHidden/>
              </w:rPr>
              <w:t>13</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14" w:history="1">
            <w:r w:rsidR="007B26E6" w:rsidRPr="007069BA">
              <w:rPr>
                <w:rStyle w:val="Hyperlink"/>
                <w:noProof/>
              </w:rPr>
              <w:t>2.2.1.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Justification of the budget implementation method(s), the funding implementation mechanism(s), the payment modalities and the control strategy proposed</w:t>
            </w:r>
            <w:r w:rsidR="007B26E6">
              <w:rPr>
                <w:noProof/>
                <w:webHidden/>
              </w:rPr>
              <w:tab/>
            </w:r>
            <w:r w:rsidR="007B26E6">
              <w:rPr>
                <w:noProof/>
                <w:webHidden/>
              </w:rPr>
              <w:fldChar w:fldCharType="begin"/>
            </w:r>
            <w:r w:rsidR="007B26E6">
              <w:rPr>
                <w:noProof/>
                <w:webHidden/>
              </w:rPr>
              <w:instrText xml:space="preserve"> PAGEREF _Toc234245514 \h </w:instrText>
            </w:r>
            <w:r w:rsidR="007B26E6">
              <w:rPr>
                <w:noProof/>
                <w:webHidden/>
              </w:rPr>
            </w:r>
            <w:r w:rsidR="007B26E6">
              <w:rPr>
                <w:noProof/>
                <w:webHidden/>
              </w:rPr>
              <w:fldChar w:fldCharType="separate"/>
            </w:r>
            <w:r w:rsidR="008953DE">
              <w:rPr>
                <w:noProof/>
                <w:webHidden/>
              </w:rPr>
              <w:t>13</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15" w:history="1">
            <w:r w:rsidR="007B26E6" w:rsidRPr="007069BA">
              <w:rPr>
                <w:rStyle w:val="Hyperlink"/>
                <w:noProof/>
              </w:rPr>
              <w:t>2.2.2.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Information concerning the risks identified and the internal control system(s) set up to mitigate them</w:t>
            </w:r>
            <w:r w:rsidR="007B26E6">
              <w:rPr>
                <w:noProof/>
                <w:webHidden/>
              </w:rPr>
              <w:tab/>
            </w:r>
            <w:r w:rsidR="007B26E6">
              <w:rPr>
                <w:noProof/>
                <w:webHidden/>
              </w:rPr>
              <w:fldChar w:fldCharType="begin"/>
            </w:r>
            <w:r w:rsidR="007B26E6">
              <w:rPr>
                <w:noProof/>
                <w:webHidden/>
              </w:rPr>
              <w:instrText xml:space="preserve"> PAGEREF _Toc234245515 \h </w:instrText>
            </w:r>
            <w:r w:rsidR="007B26E6">
              <w:rPr>
                <w:noProof/>
                <w:webHidden/>
              </w:rPr>
            </w:r>
            <w:r w:rsidR="007B26E6">
              <w:rPr>
                <w:noProof/>
                <w:webHidden/>
              </w:rPr>
              <w:fldChar w:fldCharType="separate"/>
            </w:r>
            <w:r w:rsidR="008953DE">
              <w:rPr>
                <w:noProof/>
                <w:webHidden/>
              </w:rPr>
              <w:t>13</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16" w:history="1">
            <w:r w:rsidR="007B26E6" w:rsidRPr="007069BA">
              <w:rPr>
                <w:rStyle w:val="Hyperlink"/>
                <w:noProof/>
              </w:rPr>
              <w:t>2.2.3.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Estimation and justification of the cost-effectiveness of the controls (ratio between the control costs and the value of the related funds managed), and assessment of the expected levels of risk of error (at payment &amp; at closure)</w:t>
            </w:r>
            <w:r w:rsidR="007B26E6">
              <w:rPr>
                <w:noProof/>
                <w:webHidden/>
              </w:rPr>
              <w:tab/>
            </w:r>
            <w:r w:rsidR="007B26E6">
              <w:rPr>
                <w:noProof/>
                <w:webHidden/>
              </w:rPr>
              <w:fldChar w:fldCharType="begin"/>
            </w:r>
            <w:r w:rsidR="007B26E6">
              <w:rPr>
                <w:noProof/>
                <w:webHidden/>
              </w:rPr>
              <w:instrText xml:space="preserve"> PAGEREF _Toc234245516 \h </w:instrText>
            </w:r>
            <w:r w:rsidR="007B26E6">
              <w:rPr>
                <w:noProof/>
                <w:webHidden/>
              </w:rPr>
            </w:r>
            <w:r w:rsidR="007B26E6">
              <w:rPr>
                <w:noProof/>
                <w:webHidden/>
              </w:rPr>
              <w:fldChar w:fldCharType="separate"/>
            </w:r>
            <w:r w:rsidR="008953DE">
              <w:rPr>
                <w:noProof/>
                <w:webHidden/>
              </w:rPr>
              <w:t>14</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17" w:history="1">
            <w:r w:rsidR="007B26E6" w:rsidRPr="007069BA">
              <w:rPr>
                <w:rStyle w:val="Hyperlink"/>
                <w:noProof/>
              </w:rPr>
              <w:t>2.3.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Measures to prevent fraud and irregularities</w:t>
            </w:r>
            <w:r w:rsidR="007B26E6">
              <w:rPr>
                <w:noProof/>
                <w:webHidden/>
              </w:rPr>
              <w:tab/>
            </w:r>
            <w:r w:rsidR="007B26E6">
              <w:rPr>
                <w:noProof/>
                <w:webHidden/>
              </w:rPr>
              <w:fldChar w:fldCharType="begin"/>
            </w:r>
            <w:r w:rsidR="007B26E6">
              <w:rPr>
                <w:noProof/>
                <w:webHidden/>
              </w:rPr>
              <w:instrText xml:space="preserve"> PAGEREF _Toc234245517 \h </w:instrText>
            </w:r>
            <w:r w:rsidR="007B26E6">
              <w:rPr>
                <w:noProof/>
                <w:webHidden/>
              </w:rPr>
            </w:r>
            <w:r w:rsidR="007B26E6">
              <w:rPr>
                <w:noProof/>
                <w:webHidden/>
              </w:rPr>
              <w:fldChar w:fldCharType="separate"/>
            </w:r>
            <w:r w:rsidR="008953DE">
              <w:rPr>
                <w:noProof/>
                <w:webHidden/>
              </w:rPr>
              <w:t>14</w:t>
            </w:r>
            <w:r w:rsidR="007B26E6">
              <w:rPr>
                <w:noProof/>
                <w:webHidden/>
              </w:rPr>
              <w:fldChar w:fldCharType="end"/>
            </w:r>
          </w:hyperlink>
        </w:p>
        <w:p w:rsidR="007B26E6" w:rsidRDefault="00A13D2E">
          <w:pPr>
            <w:pStyle w:val="TOC1"/>
            <w:rPr>
              <w:rFonts w:asciiTheme="minorHAnsi" w:eastAsiaTheme="minorEastAsia" w:hAnsiTheme="minorHAnsi" w:cstheme="minorBidi"/>
              <w:noProof/>
              <w:kern w:val="2"/>
              <w:szCs w:val="24"/>
              <w:lang w:val="en-IE" w:eastAsia="en-IE"/>
              <w14:ligatures w14:val="standardContextual"/>
            </w:rPr>
          </w:pPr>
          <w:hyperlink w:anchor="_Toc234245518" w:history="1">
            <w:r w:rsidR="007B26E6" w:rsidRPr="007069BA">
              <w:rPr>
                <w:rStyle w:val="Hyperlink"/>
                <w:noProof/>
              </w:rPr>
              <w:t>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ESTIMATED FINANCIAL IMPACT OF THE PROPOSAL</w:t>
            </w:r>
            <w:r w:rsidR="007B26E6">
              <w:rPr>
                <w:noProof/>
                <w:webHidden/>
              </w:rPr>
              <w:tab/>
            </w:r>
            <w:r w:rsidR="007B26E6">
              <w:rPr>
                <w:noProof/>
                <w:webHidden/>
              </w:rPr>
              <w:fldChar w:fldCharType="begin"/>
            </w:r>
            <w:r w:rsidR="007B26E6">
              <w:rPr>
                <w:noProof/>
                <w:webHidden/>
              </w:rPr>
              <w:instrText xml:space="preserve"> PAGEREF _Toc234245518 \h </w:instrText>
            </w:r>
            <w:r w:rsidR="007B26E6">
              <w:rPr>
                <w:noProof/>
                <w:webHidden/>
              </w:rPr>
            </w:r>
            <w:r w:rsidR="007B26E6">
              <w:rPr>
                <w:noProof/>
                <w:webHidden/>
              </w:rPr>
              <w:fldChar w:fldCharType="separate"/>
            </w:r>
            <w:r w:rsidR="008953DE">
              <w:rPr>
                <w:noProof/>
                <w:webHidden/>
              </w:rPr>
              <w:t>16</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19" w:history="1">
            <w:r w:rsidR="007B26E6" w:rsidRPr="007069BA">
              <w:rPr>
                <w:rStyle w:val="Hyperlink"/>
                <w:noProof/>
              </w:rPr>
              <w:t>3.1.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Heading(s) of the multiannual financial framework and expenditure budget line(s) affected</w:t>
            </w:r>
            <w:r w:rsidR="007B26E6">
              <w:rPr>
                <w:noProof/>
                <w:webHidden/>
              </w:rPr>
              <w:tab/>
            </w:r>
            <w:r w:rsidR="007B26E6">
              <w:rPr>
                <w:noProof/>
                <w:webHidden/>
              </w:rPr>
              <w:fldChar w:fldCharType="begin"/>
            </w:r>
            <w:r w:rsidR="007B26E6">
              <w:rPr>
                <w:noProof/>
                <w:webHidden/>
              </w:rPr>
              <w:instrText xml:space="preserve"> PAGEREF _Toc234245519 \h </w:instrText>
            </w:r>
            <w:r w:rsidR="007B26E6">
              <w:rPr>
                <w:noProof/>
                <w:webHidden/>
              </w:rPr>
            </w:r>
            <w:r w:rsidR="007B26E6">
              <w:rPr>
                <w:noProof/>
                <w:webHidden/>
              </w:rPr>
              <w:fldChar w:fldCharType="separate"/>
            </w:r>
            <w:r w:rsidR="008953DE">
              <w:rPr>
                <w:noProof/>
                <w:webHidden/>
              </w:rPr>
              <w:t>16</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20" w:history="1">
            <w:r w:rsidR="007B26E6" w:rsidRPr="007069BA">
              <w:rPr>
                <w:rStyle w:val="Hyperlink"/>
                <w:noProof/>
              </w:rPr>
              <w:t>3.2.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Estimated financial impact of the proposal on appropriations</w:t>
            </w:r>
            <w:r w:rsidR="007B26E6">
              <w:rPr>
                <w:noProof/>
                <w:webHidden/>
              </w:rPr>
              <w:tab/>
            </w:r>
            <w:r w:rsidR="007B26E6">
              <w:rPr>
                <w:noProof/>
                <w:webHidden/>
              </w:rPr>
              <w:fldChar w:fldCharType="begin"/>
            </w:r>
            <w:r w:rsidR="007B26E6">
              <w:rPr>
                <w:noProof/>
                <w:webHidden/>
              </w:rPr>
              <w:instrText xml:space="preserve"> PAGEREF _Toc234245520 \h </w:instrText>
            </w:r>
            <w:r w:rsidR="007B26E6">
              <w:rPr>
                <w:noProof/>
                <w:webHidden/>
              </w:rPr>
            </w:r>
            <w:r w:rsidR="007B26E6">
              <w:rPr>
                <w:noProof/>
                <w:webHidden/>
              </w:rPr>
              <w:fldChar w:fldCharType="separate"/>
            </w:r>
            <w:r w:rsidR="008953DE">
              <w:rPr>
                <w:noProof/>
                <w:webHidden/>
              </w:rPr>
              <w:t>17</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1" w:history="1">
            <w:r w:rsidR="007B26E6" w:rsidRPr="007069BA">
              <w:rPr>
                <w:rStyle w:val="Hyperlink"/>
                <w:noProof/>
              </w:rPr>
              <w:t>3.2.1.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Summary of estimated impact on operational appropriations</w:t>
            </w:r>
            <w:r w:rsidR="007B26E6">
              <w:rPr>
                <w:noProof/>
                <w:webHidden/>
              </w:rPr>
              <w:tab/>
            </w:r>
            <w:r w:rsidR="007B26E6">
              <w:rPr>
                <w:noProof/>
                <w:webHidden/>
              </w:rPr>
              <w:fldChar w:fldCharType="begin"/>
            </w:r>
            <w:r w:rsidR="007B26E6">
              <w:rPr>
                <w:noProof/>
                <w:webHidden/>
              </w:rPr>
              <w:instrText xml:space="preserve"> PAGEREF _Toc234245521 \h </w:instrText>
            </w:r>
            <w:r w:rsidR="007B26E6">
              <w:rPr>
                <w:noProof/>
                <w:webHidden/>
              </w:rPr>
            </w:r>
            <w:r w:rsidR="007B26E6">
              <w:rPr>
                <w:noProof/>
                <w:webHidden/>
              </w:rPr>
              <w:fldChar w:fldCharType="separate"/>
            </w:r>
            <w:r w:rsidR="008953DE">
              <w:rPr>
                <w:noProof/>
                <w:webHidden/>
              </w:rPr>
              <w:t>17</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2" w:history="1">
            <w:r w:rsidR="007B26E6" w:rsidRPr="007069BA">
              <w:rPr>
                <w:rStyle w:val="Hyperlink"/>
                <w:noProof/>
              </w:rPr>
              <w:t>3.2.2.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Estimated output funded from operational appropriations</w:t>
            </w:r>
            <w:r w:rsidR="007B26E6">
              <w:rPr>
                <w:noProof/>
                <w:webHidden/>
              </w:rPr>
              <w:tab/>
            </w:r>
            <w:r w:rsidR="007B26E6">
              <w:rPr>
                <w:noProof/>
                <w:webHidden/>
              </w:rPr>
              <w:fldChar w:fldCharType="begin"/>
            </w:r>
            <w:r w:rsidR="007B26E6">
              <w:rPr>
                <w:noProof/>
                <w:webHidden/>
              </w:rPr>
              <w:instrText xml:space="preserve"> PAGEREF _Toc234245522 \h </w:instrText>
            </w:r>
            <w:r w:rsidR="007B26E6">
              <w:rPr>
                <w:noProof/>
                <w:webHidden/>
              </w:rPr>
            </w:r>
            <w:r w:rsidR="007B26E6">
              <w:rPr>
                <w:noProof/>
                <w:webHidden/>
              </w:rPr>
              <w:fldChar w:fldCharType="separate"/>
            </w:r>
            <w:r w:rsidR="008953DE">
              <w:rPr>
                <w:noProof/>
                <w:webHidden/>
              </w:rPr>
              <w:t>20</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3" w:history="1">
            <w:r w:rsidR="007B26E6" w:rsidRPr="007069BA">
              <w:rPr>
                <w:rStyle w:val="Hyperlink"/>
                <w:noProof/>
              </w:rPr>
              <w:t>3.2.3.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Summary of estimated impact on administrative appropriations</w:t>
            </w:r>
            <w:r w:rsidR="007B26E6">
              <w:rPr>
                <w:noProof/>
                <w:webHidden/>
              </w:rPr>
              <w:tab/>
            </w:r>
            <w:r w:rsidR="007B26E6">
              <w:rPr>
                <w:noProof/>
                <w:webHidden/>
              </w:rPr>
              <w:fldChar w:fldCharType="begin"/>
            </w:r>
            <w:r w:rsidR="007B26E6">
              <w:rPr>
                <w:noProof/>
                <w:webHidden/>
              </w:rPr>
              <w:instrText xml:space="preserve"> PAGEREF _Toc234245523 \h </w:instrText>
            </w:r>
            <w:r w:rsidR="007B26E6">
              <w:rPr>
                <w:noProof/>
                <w:webHidden/>
              </w:rPr>
            </w:r>
            <w:r w:rsidR="007B26E6">
              <w:rPr>
                <w:noProof/>
                <w:webHidden/>
              </w:rPr>
              <w:fldChar w:fldCharType="separate"/>
            </w:r>
            <w:r w:rsidR="008953DE">
              <w:rPr>
                <w:noProof/>
                <w:webHidden/>
              </w:rPr>
              <w:t>21</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4" w:history="1">
            <w:r w:rsidR="007B26E6" w:rsidRPr="007069BA">
              <w:rPr>
                <w:rStyle w:val="Hyperlink"/>
                <w:noProof/>
              </w:rPr>
              <w:t>3.2.4.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Estimated requirements of human resources</w:t>
            </w:r>
            <w:r w:rsidR="007B26E6">
              <w:rPr>
                <w:noProof/>
                <w:webHidden/>
              </w:rPr>
              <w:tab/>
            </w:r>
            <w:r w:rsidR="007B26E6">
              <w:rPr>
                <w:noProof/>
                <w:webHidden/>
              </w:rPr>
              <w:fldChar w:fldCharType="begin"/>
            </w:r>
            <w:r w:rsidR="007B26E6">
              <w:rPr>
                <w:noProof/>
                <w:webHidden/>
              </w:rPr>
              <w:instrText xml:space="preserve"> PAGEREF _Toc234245524 \h </w:instrText>
            </w:r>
            <w:r w:rsidR="007B26E6">
              <w:rPr>
                <w:noProof/>
                <w:webHidden/>
              </w:rPr>
            </w:r>
            <w:r w:rsidR="007B26E6">
              <w:rPr>
                <w:noProof/>
                <w:webHidden/>
              </w:rPr>
              <w:fldChar w:fldCharType="separate"/>
            </w:r>
            <w:r w:rsidR="008953DE">
              <w:rPr>
                <w:noProof/>
                <w:webHidden/>
              </w:rPr>
              <w:t>21</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5" w:history="1">
            <w:r w:rsidR="007B26E6" w:rsidRPr="007069BA">
              <w:rPr>
                <w:rStyle w:val="Hyperlink"/>
                <w:noProof/>
              </w:rPr>
              <w:t>3.2.5.</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Overview of estimated impact on digital technology-related investments</w:t>
            </w:r>
            <w:r w:rsidR="007B26E6">
              <w:rPr>
                <w:noProof/>
                <w:webHidden/>
              </w:rPr>
              <w:tab/>
            </w:r>
            <w:r w:rsidR="007B26E6">
              <w:rPr>
                <w:noProof/>
                <w:webHidden/>
              </w:rPr>
              <w:fldChar w:fldCharType="begin"/>
            </w:r>
            <w:r w:rsidR="007B26E6">
              <w:rPr>
                <w:noProof/>
                <w:webHidden/>
              </w:rPr>
              <w:instrText xml:space="preserve"> PAGEREF _Toc234245525 \h </w:instrText>
            </w:r>
            <w:r w:rsidR="007B26E6">
              <w:rPr>
                <w:noProof/>
                <w:webHidden/>
              </w:rPr>
            </w:r>
            <w:r w:rsidR="007B26E6">
              <w:rPr>
                <w:noProof/>
                <w:webHidden/>
              </w:rPr>
              <w:fldChar w:fldCharType="separate"/>
            </w:r>
            <w:r w:rsidR="008953DE">
              <w:rPr>
                <w:noProof/>
                <w:webHidden/>
              </w:rPr>
              <w:t>25</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6" w:history="1">
            <w:r w:rsidR="007B26E6" w:rsidRPr="007069BA">
              <w:rPr>
                <w:rStyle w:val="Hyperlink"/>
                <w:noProof/>
              </w:rPr>
              <w:t>3.2.6.</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Compatibility with the current multiannual financial framework</w:t>
            </w:r>
            <w:r w:rsidR="007B26E6">
              <w:rPr>
                <w:noProof/>
                <w:webHidden/>
              </w:rPr>
              <w:tab/>
            </w:r>
            <w:r w:rsidR="007B26E6">
              <w:rPr>
                <w:noProof/>
                <w:webHidden/>
              </w:rPr>
              <w:fldChar w:fldCharType="begin"/>
            </w:r>
            <w:r w:rsidR="007B26E6">
              <w:rPr>
                <w:noProof/>
                <w:webHidden/>
              </w:rPr>
              <w:instrText xml:space="preserve"> PAGEREF _Toc234245526 \h </w:instrText>
            </w:r>
            <w:r w:rsidR="007B26E6">
              <w:rPr>
                <w:noProof/>
                <w:webHidden/>
              </w:rPr>
            </w:r>
            <w:r w:rsidR="007B26E6">
              <w:rPr>
                <w:noProof/>
                <w:webHidden/>
              </w:rPr>
              <w:fldChar w:fldCharType="separate"/>
            </w:r>
            <w:r w:rsidR="008953DE">
              <w:rPr>
                <w:noProof/>
                <w:webHidden/>
              </w:rPr>
              <w:t>26</w:t>
            </w:r>
            <w:r w:rsidR="007B26E6">
              <w:rPr>
                <w:noProof/>
                <w:webHidden/>
              </w:rPr>
              <w:fldChar w:fldCharType="end"/>
            </w:r>
          </w:hyperlink>
        </w:p>
        <w:p w:rsidR="007B26E6" w:rsidRDefault="00A13D2E">
          <w:pPr>
            <w:pStyle w:val="TOC3"/>
            <w:rPr>
              <w:rFonts w:asciiTheme="minorHAnsi" w:eastAsiaTheme="minorEastAsia" w:hAnsiTheme="minorHAnsi" w:cstheme="minorBidi"/>
              <w:noProof/>
              <w:kern w:val="2"/>
              <w:szCs w:val="24"/>
              <w:lang w:val="en-IE" w:eastAsia="en-IE"/>
              <w14:ligatures w14:val="standardContextual"/>
            </w:rPr>
          </w:pPr>
          <w:hyperlink w:anchor="_Toc234245527" w:history="1">
            <w:r w:rsidR="007B26E6" w:rsidRPr="007069BA">
              <w:rPr>
                <w:rStyle w:val="Hyperlink"/>
                <w:noProof/>
              </w:rPr>
              <w:t>3.2.7.</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Third-party contributions</w:t>
            </w:r>
            <w:r w:rsidR="007B26E6">
              <w:rPr>
                <w:noProof/>
                <w:webHidden/>
              </w:rPr>
              <w:tab/>
            </w:r>
            <w:r w:rsidR="007B26E6">
              <w:rPr>
                <w:noProof/>
                <w:webHidden/>
              </w:rPr>
              <w:fldChar w:fldCharType="begin"/>
            </w:r>
            <w:r w:rsidR="007B26E6">
              <w:rPr>
                <w:noProof/>
                <w:webHidden/>
              </w:rPr>
              <w:instrText xml:space="preserve"> PAGEREF _Toc234245527 \h </w:instrText>
            </w:r>
            <w:r w:rsidR="007B26E6">
              <w:rPr>
                <w:noProof/>
                <w:webHidden/>
              </w:rPr>
            </w:r>
            <w:r w:rsidR="007B26E6">
              <w:rPr>
                <w:noProof/>
                <w:webHidden/>
              </w:rPr>
              <w:fldChar w:fldCharType="separate"/>
            </w:r>
            <w:r w:rsidR="008953DE">
              <w:rPr>
                <w:noProof/>
                <w:webHidden/>
              </w:rPr>
              <w:t>26</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28" w:history="1">
            <w:r w:rsidR="007B26E6" w:rsidRPr="007069BA">
              <w:rPr>
                <w:rStyle w:val="Hyperlink"/>
                <w:noProof/>
              </w:rPr>
              <w:t>3.3.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Estimated impact on revenue</w:t>
            </w:r>
            <w:r w:rsidR="007B26E6">
              <w:rPr>
                <w:noProof/>
                <w:webHidden/>
              </w:rPr>
              <w:tab/>
            </w:r>
            <w:r w:rsidR="007B26E6">
              <w:rPr>
                <w:noProof/>
                <w:webHidden/>
              </w:rPr>
              <w:fldChar w:fldCharType="begin"/>
            </w:r>
            <w:r w:rsidR="007B26E6">
              <w:rPr>
                <w:noProof/>
                <w:webHidden/>
              </w:rPr>
              <w:instrText xml:space="preserve"> PAGEREF _Toc234245528 \h </w:instrText>
            </w:r>
            <w:r w:rsidR="007B26E6">
              <w:rPr>
                <w:noProof/>
                <w:webHidden/>
              </w:rPr>
            </w:r>
            <w:r w:rsidR="007B26E6">
              <w:rPr>
                <w:noProof/>
                <w:webHidden/>
              </w:rPr>
              <w:fldChar w:fldCharType="separate"/>
            </w:r>
            <w:r w:rsidR="008953DE">
              <w:rPr>
                <w:noProof/>
                <w:webHidden/>
              </w:rPr>
              <w:t>29</w:t>
            </w:r>
            <w:r w:rsidR="007B26E6">
              <w:rPr>
                <w:noProof/>
                <w:webHidden/>
              </w:rPr>
              <w:fldChar w:fldCharType="end"/>
            </w:r>
          </w:hyperlink>
        </w:p>
        <w:p w:rsidR="007B26E6" w:rsidRDefault="00A13D2E">
          <w:pPr>
            <w:pStyle w:val="TOC1"/>
            <w:rPr>
              <w:rFonts w:asciiTheme="minorHAnsi" w:eastAsiaTheme="minorEastAsia" w:hAnsiTheme="minorHAnsi" w:cstheme="minorBidi"/>
              <w:noProof/>
              <w:kern w:val="2"/>
              <w:szCs w:val="24"/>
              <w:lang w:val="en-IE" w:eastAsia="en-IE"/>
              <w14:ligatures w14:val="standardContextual"/>
            </w:rPr>
          </w:pPr>
          <w:hyperlink w:anchor="_Toc234245529" w:history="1">
            <w:r w:rsidR="007B26E6" w:rsidRPr="007069BA">
              <w:rPr>
                <w:rStyle w:val="Hyperlink"/>
                <w:noProof/>
              </w:rPr>
              <w:t>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Digital dimensions</w:t>
            </w:r>
            <w:r w:rsidR="007B26E6">
              <w:rPr>
                <w:noProof/>
                <w:webHidden/>
              </w:rPr>
              <w:tab/>
            </w:r>
            <w:r w:rsidR="007B26E6">
              <w:rPr>
                <w:noProof/>
                <w:webHidden/>
              </w:rPr>
              <w:fldChar w:fldCharType="begin"/>
            </w:r>
            <w:r w:rsidR="007B26E6">
              <w:rPr>
                <w:noProof/>
                <w:webHidden/>
              </w:rPr>
              <w:instrText xml:space="preserve"> PAGEREF _Toc234245529 \h </w:instrText>
            </w:r>
            <w:r w:rsidR="007B26E6">
              <w:rPr>
                <w:noProof/>
                <w:webHidden/>
              </w:rPr>
            </w:r>
            <w:r w:rsidR="007B26E6">
              <w:rPr>
                <w:noProof/>
                <w:webHidden/>
              </w:rPr>
              <w:fldChar w:fldCharType="separate"/>
            </w:r>
            <w:r w:rsidR="008953DE">
              <w:rPr>
                <w:noProof/>
                <w:webHidden/>
              </w:rPr>
              <w:t>30</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30" w:history="1">
            <w:r w:rsidR="007B26E6" w:rsidRPr="007069BA">
              <w:rPr>
                <w:rStyle w:val="Hyperlink"/>
                <w:noProof/>
              </w:rPr>
              <w:t>4.1.</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Requirements of digital relevance</w:t>
            </w:r>
            <w:r w:rsidR="007B26E6">
              <w:rPr>
                <w:noProof/>
                <w:webHidden/>
              </w:rPr>
              <w:tab/>
            </w:r>
            <w:r w:rsidR="007B26E6">
              <w:rPr>
                <w:noProof/>
                <w:webHidden/>
              </w:rPr>
              <w:fldChar w:fldCharType="begin"/>
            </w:r>
            <w:r w:rsidR="007B26E6">
              <w:rPr>
                <w:noProof/>
                <w:webHidden/>
              </w:rPr>
              <w:instrText xml:space="preserve"> PAGEREF _Toc234245530 \h </w:instrText>
            </w:r>
            <w:r w:rsidR="007B26E6">
              <w:rPr>
                <w:noProof/>
                <w:webHidden/>
              </w:rPr>
            </w:r>
            <w:r w:rsidR="007B26E6">
              <w:rPr>
                <w:noProof/>
                <w:webHidden/>
              </w:rPr>
              <w:fldChar w:fldCharType="separate"/>
            </w:r>
            <w:r w:rsidR="008953DE">
              <w:rPr>
                <w:noProof/>
                <w:webHidden/>
              </w:rPr>
              <w:t>30</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31" w:history="1">
            <w:r w:rsidR="007B26E6" w:rsidRPr="007069BA">
              <w:rPr>
                <w:rStyle w:val="Hyperlink"/>
                <w:noProof/>
              </w:rPr>
              <w:t>4.2.</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Data</w:t>
            </w:r>
            <w:r w:rsidR="007B26E6">
              <w:rPr>
                <w:noProof/>
                <w:webHidden/>
              </w:rPr>
              <w:tab/>
            </w:r>
            <w:r w:rsidR="007B26E6">
              <w:rPr>
                <w:noProof/>
                <w:webHidden/>
              </w:rPr>
              <w:fldChar w:fldCharType="begin"/>
            </w:r>
            <w:r w:rsidR="007B26E6">
              <w:rPr>
                <w:noProof/>
                <w:webHidden/>
              </w:rPr>
              <w:instrText xml:space="preserve"> PAGEREF _Toc234245531 \h </w:instrText>
            </w:r>
            <w:r w:rsidR="007B26E6">
              <w:rPr>
                <w:noProof/>
                <w:webHidden/>
              </w:rPr>
            </w:r>
            <w:r w:rsidR="007B26E6">
              <w:rPr>
                <w:noProof/>
                <w:webHidden/>
              </w:rPr>
              <w:fldChar w:fldCharType="separate"/>
            </w:r>
            <w:r w:rsidR="008953DE">
              <w:rPr>
                <w:noProof/>
                <w:webHidden/>
              </w:rPr>
              <w:t>32</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32" w:history="1">
            <w:r w:rsidR="007B26E6" w:rsidRPr="007069BA">
              <w:rPr>
                <w:rStyle w:val="Hyperlink"/>
                <w:noProof/>
              </w:rPr>
              <w:t>4.3.</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Digital solutions</w:t>
            </w:r>
            <w:r w:rsidR="007B26E6">
              <w:rPr>
                <w:noProof/>
                <w:webHidden/>
              </w:rPr>
              <w:tab/>
            </w:r>
            <w:r w:rsidR="007B26E6">
              <w:rPr>
                <w:noProof/>
                <w:webHidden/>
              </w:rPr>
              <w:fldChar w:fldCharType="begin"/>
            </w:r>
            <w:r w:rsidR="007B26E6">
              <w:rPr>
                <w:noProof/>
                <w:webHidden/>
              </w:rPr>
              <w:instrText xml:space="preserve"> PAGEREF _Toc234245532 \h </w:instrText>
            </w:r>
            <w:r w:rsidR="007B26E6">
              <w:rPr>
                <w:noProof/>
                <w:webHidden/>
              </w:rPr>
            </w:r>
            <w:r w:rsidR="007B26E6">
              <w:rPr>
                <w:noProof/>
                <w:webHidden/>
              </w:rPr>
              <w:fldChar w:fldCharType="separate"/>
            </w:r>
            <w:r w:rsidR="008953DE">
              <w:rPr>
                <w:noProof/>
                <w:webHidden/>
              </w:rPr>
              <w:t>36</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33" w:history="1">
            <w:r w:rsidR="007B26E6" w:rsidRPr="007069BA">
              <w:rPr>
                <w:rStyle w:val="Hyperlink"/>
                <w:bCs/>
                <w:noProof/>
              </w:rPr>
              <w:t>4.4.</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bCs/>
                <w:noProof/>
              </w:rPr>
              <w:t>Interoperability assessment</w:t>
            </w:r>
            <w:r w:rsidR="007B26E6">
              <w:rPr>
                <w:noProof/>
                <w:webHidden/>
              </w:rPr>
              <w:tab/>
            </w:r>
            <w:r w:rsidR="007B26E6">
              <w:rPr>
                <w:noProof/>
                <w:webHidden/>
              </w:rPr>
              <w:fldChar w:fldCharType="begin"/>
            </w:r>
            <w:r w:rsidR="007B26E6">
              <w:rPr>
                <w:noProof/>
                <w:webHidden/>
              </w:rPr>
              <w:instrText xml:space="preserve"> PAGEREF _Toc234245533 \h </w:instrText>
            </w:r>
            <w:r w:rsidR="007B26E6">
              <w:rPr>
                <w:noProof/>
                <w:webHidden/>
              </w:rPr>
            </w:r>
            <w:r w:rsidR="007B26E6">
              <w:rPr>
                <w:noProof/>
                <w:webHidden/>
              </w:rPr>
              <w:fldChar w:fldCharType="separate"/>
            </w:r>
            <w:r w:rsidR="008953DE">
              <w:rPr>
                <w:noProof/>
                <w:webHidden/>
              </w:rPr>
              <w:t>40</w:t>
            </w:r>
            <w:r w:rsidR="007B26E6">
              <w:rPr>
                <w:noProof/>
                <w:webHidden/>
              </w:rPr>
              <w:fldChar w:fldCharType="end"/>
            </w:r>
          </w:hyperlink>
        </w:p>
        <w:p w:rsidR="007B26E6" w:rsidRDefault="00A13D2E">
          <w:pPr>
            <w:pStyle w:val="TOC2"/>
            <w:rPr>
              <w:rFonts w:asciiTheme="minorHAnsi" w:eastAsiaTheme="minorEastAsia" w:hAnsiTheme="minorHAnsi" w:cstheme="minorBidi"/>
              <w:noProof/>
              <w:kern w:val="2"/>
              <w:szCs w:val="24"/>
              <w:lang w:val="en-IE" w:eastAsia="en-IE"/>
              <w14:ligatures w14:val="standardContextual"/>
            </w:rPr>
          </w:pPr>
          <w:hyperlink w:anchor="_Toc234245534" w:history="1">
            <w:r w:rsidR="007B26E6" w:rsidRPr="007069BA">
              <w:rPr>
                <w:rStyle w:val="Hyperlink"/>
                <w:noProof/>
              </w:rPr>
              <w:t>4.5.</w:t>
            </w:r>
            <w:r w:rsidR="007B26E6">
              <w:rPr>
                <w:rFonts w:asciiTheme="minorHAnsi" w:eastAsiaTheme="minorEastAsia" w:hAnsiTheme="minorHAnsi" w:cstheme="minorBidi"/>
                <w:noProof/>
                <w:kern w:val="2"/>
                <w:szCs w:val="24"/>
                <w:lang w:val="en-IE" w:eastAsia="en-IE"/>
                <w14:ligatures w14:val="standardContextual"/>
              </w:rPr>
              <w:tab/>
            </w:r>
            <w:r w:rsidR="007B26E6" w:rsidRPr="007069BA">
              <w:rPr>
                <w:rStyle w:val="Hyperlink"/>
                <w:noProof/>
              </w:rPr>
              <w:t>Measures to support digital implementation</w:t>
            </w:r>
            <w:r w:rsidR="007B26E6">
              <w:rPr>
                <w:noProof/>
                <w:webHidden/>
              </w:rPr>
              <w:tab/>
            </w:r>
            <w:r w:rsidR="007B26E6">
              <w:rPr>
                <w:noProof/>
                <w:webHidden/>
              </w:rPr>
              <w:fldChar w:fldCharType="begin"/>
            </w:r>
            <w:r w:rsidR="007B26E6">
              <w:rPr>
                <w:noProof/>
                <w:webHidden/>
              </w:rPr>
              <w:instrText xml:space="preserve"> PAGEREF _Toc234245534 \h </w:instrText>
            </w:r>
            <w:r w:rsidR="007B26E6">
              <w:rPr>
                <w:noProof/>
                <w:webHidden/>
              </w:rPr>
            </w:r>
            <w:r w:rsidR="007B26E6">
              <w:rPr>
                <w:noProof/>
                <w:webHidden/>
              </w:rPr>
              <w:fldChar w:fldCharType="separate"/>
            </w:r>
            <w:r w:rsidR="008953DE">
              <w:rPr>
                <w:noProof/>
                <w:webHidden/>
              </w:rPr>
              <w:t>41</w:t>
            </w:r>
            <w:r w:rsidR="007B26E6">
              <w:rPr>
                <w:noProof/>
                <w:webHidden/>
              </w:rPr>
              <w:fldChar w:fldCharType="end"/>
            </w:r>
          </w:hyperlink>
        </w:p>
        <w:p w:rsidR="00BB1D84" w:rsidRDefault="00BB1D84" w:rsidP="00BB1D84">
          <w:pPr>
            <w:rPr>
              <w:noProof/>
            </w:rPr>
          </w:pPr>
          <w:r>
            <w:rPr>
              <w:b/>
              <w:bCs/>
              <w:noProof/>
            </w:rPr>
            <w:fldChar w:fldCharType="end"/>
          </w:r>
        </w:p>
      </w:sdtContent>
    </w:sdt>
    <w:p w:rsidR="00BB1D84" w:rsidRPr="00A7624D" w:rsidRDefault="00BB1D84" w:rsidP="00BB1D84">
      <w:pPr>
        <w:rPr>
          <w:noProof/>
        </w:rPr>
      </w:pPr>
    </w:p>
    <w:p w:rsidR="00BB1D84" w:rsidRDefault="00BB1D84" w:rsidP="00BB1D84">
      <w:pPr>
        <w:rPr>
          <w:noProof/>
        </w:rPr>
        <w:sectPr w:rsidR="00BB1D84" w:rsidSect="00423DBB">
          <w:pgSz w:w="11907" w:h="16840" w:code="9"/>
          <w:pgMar w:top="1134" w:right="1418" w:bottom="1134" w:left="1418" w:header="709" w:footer="709" w:gutter="0"/>
          <w:pgNumType w:start="1"/>
          <w:cols w:space="720"/>
          <w:docGrid w:linePitch="360"/>
        </w:sectPr>
      </w:pPr>
    </w:p>
    <w:p w:rsidR="00BB1D84" w:rsidRDefault="00BB1D84" w:rsidP="00BB1D84">
      <w:pPr>
        <w:pStyle w:val="ManualHeading1"/>
        <w:rPr>
          <w:noProof/>
        </w:rPr>
      </w:pPr>
      <w:bookmarkStart w:id="40" w:name="_Toc514938007"/>
      <w:bookmarkStart w:id="41" w:name="_Toc520485025"/>
      <w:bookmarkStart w:id="42" w:name="_Toc160804567"/>
      <w:bookmarkStart w:id="43" w:name="_Toc234245494"/>
      <w:r w:rsidRPr="0021790A">
        <w:rPr>
          <w:noProof/>
        </w:rPr>
        <w:t>1.</w:t>
      </w:r>
      <w:r w:rsidRPr="0021790A">
        <w:rPr>
          <w:noProof/>
        </w:rPr>
        <w:tab/>
      </w:r>
      <w:r>
        <w:rPr>
          <w:noProof/>
        </w:rPr>
        <w:t>FRAMEWORK OF THE PROPOSAL</w:t>
      </w:r>
      <w:bookmarkEnd w:id="40"/>
      <w:bookmarkEnd w:id="41"/>
      <w:bookmarkEnd w:id="42"/>
      <w:bookmarkEnd w:id="43"/>
      <w:r>
        <w:rPr>
          <w:noProof/>
        </w:rPr>
        <w:t xml:space="preserve"> </w:t>
      </w:r>
    </w:p>
    <w:p w:rsidR="00BB1D84" w:rsidRDefault="00BB1D84" w:rsidP="00BB1D84">
      <w:pPr>
        <w:pStyle w:val="ManualHeading2"/>
        <w:rPr>
          <w:noProof/>
        </w:rPr>
      </w:pPr>
      <w:bookmarkStart w:id="44" w:name="_Toc514938008"/>
      <w:bookmarkStart w:id="45" w:name="_Toc520485026"/>
      <w:bookmarkStart w:id="46" w:name="_Toc160804568"/>
      <w:bookmarkStart w:id="47" w:name="_Toc234245495"/>
      <w:r w:rsidRPr="0021790A">
        <w:rPr>
          <w:noProof/>
        </w:rPr>
        <w:t>1.1.</w:t>
      </w:r>
      <w:r w:rsidRPr="0021790A">
        <w:rPr>
          <w:noProof/>
        </w:rPr>
        <w:tab/>
      </w:r>
      <w:r>
        <w:rPr>
          <w:noProof/>
        </w:rPr>
        <w:t>Title of the proposal</w:t>
      </w:r>
      <w:bookmarkEnd w:id="44"/>
      <w:bookmarkEnd w:id="45"/>
      <w:bookmarkEnd w:id="46"/>
      <w:bookmarkEnd w:id="47"/>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Legislative proposal on amending Regulation (EU) 2019/943 to future-proof electricity bills in the European Union</w:t>
      </w:r>
    </w:p>
    <w:p w:rsidR="00BB1D84" w:rsidRPr="00BB1D84" w:rsidRDefault="00BB1D84" w:rsidP="00BB1D84">
      <w:pPr>
        <w:pStyle w:val="ManualHeading2"/>
        <w:rPr>
          <w:i/>
          <w:noProof/>
        </w:rPr>
      </w:pPr>
      <w:bookmarkStart w:id="48" w:name="_Toc514938011"/>
      <w:bookmarkStart w:id="49" w:name="_Toc520485027"/>
      <w:bookmarkStart w:id="50" w:name="_Toc160804569"/>
      <w:bookmarkStart w:id="51" w:name="_Toc234245496"/>
      <w:r w:rsidRPr="00BB1D84">
        <w:rPr>
          <w:noProof/>
        </w:rPr>
        <w:t>1.2.</w:t>
      </w:r>
      <w:r w:rsidRPr="00BB1D84">
        <w:rPr>
          <w:noProof/>
        </w:rPr>
        <w:tab/>
        <w:t>Policy area concerned</w:t>
      </w:r>
      <w:bookmarkEnd w:id="48"/>
      <w:bookmarkEnd w:id="49"/>
      <w:bookmarkEnd w:id="50"/>
      <w:bookmarkEnd w:id="51"/>
      <w:r w:rsidRPr="00BB1D84">
        <w:rPr>
          <w:i/>
          <w:noProof/>
        </w:rPr>
        <w:t xml:space="preserv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Policy area: Energy</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Activity: Action Plan for Affordable Energy</w:t>
      </w:r>
    </w:p>
    <w:p w:rsidR="00BB1D84" w:rsidRPr="00BB1D84" w:rsidRDefault="00BB1D84" w:rsidP="00BB1D84">
      <w:pPr>
        <w:pStyle w:val="ManualHeading2"/>
        <w:rPr>
          <w:noProof/>
        </w:rPr>
      </w:pPr>
      <w:bookmarkStart w:id="52" w:name="_Toc514938014"/>
      <w:bookmarkStart w:id="53" w:name="_Toc520485028"/>
      <w:bookmarkStart w:id="54" w:name="_Toc160804570"/>
      <w:bookmarkStart w:id="55" w:name="_Toc514938015"/>
      <w:bookmarkStart w:id="56" w:name="_Toc520485029"/>
      <w:bookmarkStart w:id="57" w:name="_Toc160804571"/>
      <w:bookmarkStart w:id="58" w:name="_Toc234245497"/>
      <w:bookmarkEnd w:id="52"/>
      <w:bookmarkEnd w:id="53"/>
      <w:bookmarkEnd w:id="54"/>
      <w:r w:rsidRPr="00BB1D84">
        <w:rPr>
          <w:noProof/>
        </w:rPr>
        <w:t>1.3.</w:t>
      </w:r>
      <w:r w:rsidRPr="00BB1D84">
        <w:rPr>
          <w:noProof/>
        </w:rPr>
        <w:tab/>
        <w:t>Objectives</w:t>
      </w:r>
      <w:bookmarkEnd w:id="55"/>
      <w:bookmarkEnd w:id="56"/>
      <w:bookmarkEnd w:id="57"/>
      <w:bookmarkEnd w:id="58"/>
    </w:p>
    <w:p w:rsidR="00BB1D84" w:rsidRPr="00BB1D84" w:rsidRDefault="00BB1D84" w:rsidP="00BB1D84">
      <w:pPr>
        <w:pStyle w:val="ManualHeading3"/>
        <w:rPr>
          <w:noProof/>
        </w:rPr>
      </w:pPr>
      <w:bookmarkStart w:id="59" w:name="_Toc514938016"/>
      <w:bookmarkStart w:id="60" w:name="_Toc520485030"/>
      <w:bookmarkStart w:id="61" w:name="_Toc160804572"/>
      <w:bookmarkStart w:id="62" w:name="_Toc234245498"/>
      <w:r w:rsidRPr="00BB1D84">
        <w:rPr>
          <w:noProof/>
        </w:rPr>
        <w:t>1.3.1.</w:t>
      </w:r>
      <w:r w:rsidRPr="00BB1D84">
        <w:rPr>
          <w:noProof/>
        </w:rPr>
        <w:tab/>
        <w:t>General objectives</w:t>
      </w:r>
      <w:bookmarkEnd w:id="59"/>
      <w:bookmarkEnd w:id="60"/>
      <w:bookmarkEnd w:id="61"/>
      <w:bookmarkEnd w:id="62"/>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main aim of the legal proposal in the area of network charges is to make the transition towards a more system-friendly network charge design and network operation mandatory for national regulatory authorities</w:t>
      </w:r>
      <w:r w:rsidR="7210A3B7">
        <w:rPr>
          <w:noProof/>
        </w:rPr>
        <w:t>, while supporting the broader Union objective of accelerating electrification and ensuring that the regulatory cost structure of electricity consumption is aligned with EU energy, climate and competitiveness objectives.</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This would include stronger incentives for system operators to increase cost-effectiveness as well as to enable timely grid access, incentives for grid users to adapt their consumption behaviour, enhanced transparency and an obligation on regulatory authorities to set performance indicators in order to increase efficiency in the use of the grid and increase system efficiency. All these proposals should help ensure that network charges reflect the true costs imposed on the system and support further an efficient use of the grid.</w:t>
      </w:r>
      <w:r w:rsidR="5DE87CE6">
        <w:rPr>
          <w:noProof/>
        </w:rPr>
        <w:t xml:space="preserve"> In parallel, the proposal seeks to ensure that the combined effect of network charges and electricity taxation supports electrification, contributes to lower electricity costs for consumers and industry, and strengthens the competitiveness of the Union economy.</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BB1D84">
        <w:rPr>
          <w:noProof/>
        </w:rPr>
        <w:t>The legal proposal introduces targeted supporting measures to accelerate smart meter deployment, require system operators to exchange grid data for smart grid purposes, and establish a voluntary EU-level framework for the secure reuse of electricity data to develop and test innovative digital tools for grid optimisation — all aimed at improving the productivity of existing grid infrastructure and reducing overall system costs.</w:t>
      </w:r>
      <w:r w:rsidR="25CF55FE" w:rsidRPr="2BFCC4C3">
        <w:rPr>
          <w:noProof/>
        </w:rPr>
        <w:t xml:space="preserve"> These measures are complemented by targeted principles on electricity taxation, aimed at ensuring that taxation frameworks do not discourage electrification and that electricity is taxed more favourably than competing fossil fuels, notably natural gas, in line with the objectives of AccelerateEU, the Affordable Energy Action Plan and the Union’s decarbonisation objectives.</w:t>
      </w:r>
    </w:p>
    <w:p w:rsidR="25CF55FE" w:rsidRDefault="25CF55FE" w:rsidP="2BFCC4C3">
      <w:pPr>
        <w:pStyle w:val="Text1"/>
        <w:pBdr>
          <w:top w:val="single" w:sz="4" w:space="1" w:color="auto"/>
          <w:left w:val="single" w:sz="4" w:space="4" w:color="auto"/>
          <w:bottom w:val="single" w:sz="4" w:space="1" w:color="auto"/>
          <w:right w:val="single" w:sz="4" w:space="4" w:color="auto"/>
        </w:pBdr>
        <w:rPr>
          <w:noProof/>
        </w:rPr>
      </w:pPr>
      <w:r w:rsidRPr="2BFCC4C3">
        <w:rPr>
          <w:noProof/>
        </w:rPr>
        <w:t>The proposal also seeks to contribute to reducing final electricity costs for consumers and energy-intensive industries by enabling a more coherent interaction between network charge design and the incentives embedded in Member States’ electricity taxation frameworks, while fully respecting the competences of Member States under Council Directive 2003/96/EC.</w:t>
      </w:r>
    </w:p>
    <w:p w:rsidR="00AD645E" w:rsidRDefault="00AD645E" w:rsidP="2BFCC4C3">
      <w:pPr>
        <w:pStyle w:val="Text1"/>
        <w:pBdr>
          <w:top w:val="single" w:sz="4" w:space="1" w:color="auto"/>
          <w:left w:val="single" w:sz="4" w:space="4" w:color="auto"/>
          <w:bottom w:val="single" w:sz="4" w:space="1" w:color="auto"/>
          <w:right w:val="single" w:sz="4" w:space="4" w:color="auto"/>
        </w:pBdr>
        <w:rPr>
          <w:noProof/>
        </w:rPr>
      </w:pPr>
      <w:r w:rsidRPr="000C10B3">
        <w:rPr>
          <w:noProof/>
        </w:rPr>
        <w:t>Finally,</w:t>
      </w:r>
      <w:r w:rsidR="00D558EF">
        <w:rPr>
          <w:noProof/>
        </w:rPr>
        <w:t xml:space="preserve"> </w:t>
      </w:r>
      <w:r w:rsidR="009672FE" w:rsidRPr="008F30B5">
        <w:rPr>
          <w:noProof/>
        </w:rPr>
        <w:t xml:space="preserve">the proposal </w:t>
      </w:r>
      <w:r w:rsidR="003854C5" w:rsidRPr="008F30B5">
        <w:rPr>
          <w:noProof/>
        </w:rPr>
        <w:t xml:space="preserve">provides a clarification concerning </w:t>
      </w:r>
      <w:r w:rsidR="009672FE" w:rsidRPr="008F30B5">
        <w:rPr>
          <w:noProof/>
        </w:rPr>
        <w:t xml:space="preserve">right of regulatory authorities </w:t>
      </w:r>
      <w:r w:rsidR="00DB4592" w:rsidRPr="008F30B5">
        <w:rPr>
          <w:noProof/>
        </w:rPr>
        <w:t>to adopt</w:t>
      </w:r>
      <w:r w:rsidR="009672FE" w:rsidRPr="008F30B5">
        <w:rPr>
          <w:noProof/>
        </w:rPr>
        <w:t xml:space="preserve"> grid connection measures in case of  network congestion, by a way of adopting measures and setting conditions for non-discriminatory, objective and transparent third-party access </w:t>
      </w:r>
      <w:r w:rsidR="00686DA5" w:rsidRPr="008F30B5">
        <w:rPr>
          <w:noProof/>
        </w:rPr>
        <w:t xml:space="preserve">with possible consideration of </w:t>
      </w:r>
      <w:r w:rsidR="009672FE" w:rsidRPr="008F30B5">
        <w:rPr>
          <w:noProof/>
        </w:rPr>
        <w:t>impacts of grid connection requests on network congestion, economic, social or environmental considerations</w:t>
      </w:r>
      <w:r w:rsidR="00FB66AD" w:rsidRPr="008F30B5">
        <w:rPr>
          <w:noProof/>
        </w:rPr>
        <w:t>,</w:t>
      </w:r>
      <w:r w:rsidR="009672FE" w:rsidRPr="008F30B5">
        <w:rPr>
          <w:noProof/>
        </w:rPr>
        <w:t xml:space="preserve"> and </w:t>
      </w:r>
      <w:r w:rsidR="00A65112" w:rsidRPr="008F30B5">
        <w:rPr>
          <w:noProof/>
        </w:rPr>
        <w:t>taking into account</w:t>
      </w:r>
      <w:r w:rsidR="00FB66AD" w:rsidRPr="008F30B5">
        <w:rPr>
          <w:noProof/>
        </w:rPr>
        <w:t xml:space="preserve"> </w:t>
      </w:r>
      <w:r w:rsidR="009672FE" w:rsidRPr="008F30B5">
        <w:rPr>
          <w:noProof/>
        </w:rPr>
        <w:t xml:space="preserve">their </w:t>
      </w:r>
      <w:r w:rsidR="00FB66AD" w:rsidRPr="008F30B5">
        <w:rPr>
          <w:noProof/>
        </w:rPr>
        <w:t xml:space="preserve">maturity and </w:t>
      </w:r>
      <w:r w:rsidR="009672FE" w:rsidRPr="008F30B5">
        <w:rPr>
          <w:noProof/>
        </w:rPr>
        <w:t>progress. Regulatory authorities may also adopt conditions to prioritise economic sectors or group of users, as well as set conditions for treatment of users within the sectors or group of users</w:t>
      </w:r>
      <w:r w:rsidR="00686DA5" w:rsidRPr="008F30B5">
        <w:rPr>
          <w:noProof/>
        </w:rPr>
        <w:t xml:space="preserve"> while ensuring </w:t>
      </w:r>
      <w:r w:rsidR="009672FE" w:rsidRPr="008F30B5">
        <w:rPr>
          <w:noProof/>
        </w:rPr>
        <w:t>that other measures addressing grid congestion are duly implemented</w:t>
      </w:r>
      <w:r w:rsidR="00686DA5" w:rsidRPr="008F30B5">
        <w:rPr>
          <w:noProof/>
        </w:rPr>
        <w:t>.</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For further information see Explanatory Memorandum. </w:t>
      </w:r>
    </w:p>
    <w:p w:rsidR="00BB1D84" w:rsidRPr="00BB1D84" w:rsidRDefault="00BB1D84" w:rsidP="00BB1D84">
      <w:pPr>
        <w:pStyle w:val="ManualHeading3"/>
        <w:rPr>
          <w:noProof/>
        </w:rPr>
      </w:pPr>
      <w:bookmarkStart w:id="63" w:name="_Toc514938018"/>
      <w:bookmarkStart w:id="64" w:name="_Toc520485031"/>
      <w:bookmarkStart w:id="65" w:name="_Toc160804573"/>
      <w:bookmarkStart w:id="66" w:name="_Toc234245499"/>
      <w:r w:rsidRPr="00BB1D84">
        <w:rPr>
          <w:noProof/>
        </w:rPr>
        <w:t>1.3.2.</w:t>
      </w:r>
      <w:r w:rsidRPr="00BB1D84">
        <w:rPr>
          <w:noProof/>
        </w:rPr>
        <w:tab/>
        <w:t>Specific objectives</w:t>
      </w:r>
      <w:bookmarkEnd w:id="63"/>
      <w:bookmarkEnd w:id="64"/>
      <w:bookmarkEnd w:id="65"/>
      <w:bookmarkEnd w:id="66"/>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following specific objectives (SOs) focus on those which are addressed by provisions which require additional resources for the Commission (DG ENER and DG JRC):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SO1: Improve the efficiency, security and flexibility of electricity system operation by establishing a purpose-driven legal obligation for transmission and distribution system operators to exchange grid data in a harmonised manner, enabling the development, deployment and effective use of </w:t>
      </w:r>
      <w:r w:rsidR="0044498A">
        <w:rPr>
          <w:noProof/>
        </w:rPr>
        <w:t>smart electricity grids</w:t>
      </w:r>
      <w:r w:rsidRPr="00725495">
        <w:rPr>
          <w:noProof/>
        </w:rPr>
        <w:t xml:space="preserve"> and innovative data-driven solutions for network monitoring, optimisation and coordination.</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SO2: Enable the development, testing and deployment of innovative digital tools for grid operation and optimisation by requiring grid operators to establish a voluntary Union-level framework for the secure and controlled reuse of electricity grid data for research and innovation purposes, providing the legal certainty, framework and common technical requirements. Enable the Commission to adopt implementing acts setting out guidelines to enable the lawful, secure and controlled reuse of electricity grid data for research and innovation public-interest purposes.</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rFonts w:ascii="Times" w:eastAsia="Times" w:hAnsi="Times" w:cs="Times"/>
          <w:noProof/>
          <w:lang w:val="en-IE"/>
        </w:rPr>
      </w:pPr>
      <w:r w:rsidRPr="00725495">
        <w:rPr>
          <w:noProof/>
        </w:rPr>
        <w:t xml:space="preserve">SO3: Enable the Commission to adopt an implementing act setting out guidelines on a harmonised methodology on tariffs, thereby contributing to more coherent regulatory approaches across the Union.  </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rFonts w:ascii="Times" w:eastAsia="Times" w:hAnsi="Times" w:cs="Times"/>
          <w:noProof/>
          <w:lang w:val="en-IE"/>
        </w:rPr>
      </w:pPr>
      <w:r w:rsidRPr="00725495">
        <w:rPr>
          <w:noProof/>
        </w:rPr>
        <w:t>SO4: Enable the Commission to adopt an implementing act on smart grid indicators, thereby contributing to more coherent regulatory approaches across the Union.</w:t>
      </w:r>
    </w:p>
    <w:p w:rsid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SO5: The proposal introduces a limited new task for the Commission related to Article</w:t>
      </w:r>
      <w:r w:rsidR="00126532">
        <w:rPr>
          <w:rFonts w:eastAsia="Times New Roman"/>
          <w:noProof/>
        </w:rPr>
        <w:t> </w:t>
      </w:r>
      <w:r w:rsidRPr="00725495">
        <w:rPr>
          <w:noProof/>
        </w:rPr>
        <w:t>18b on smart metering systems. This task consists essentially in following up the implementation by Member States of the minimum deployment requirement for smart metering systems and monitoring the application of the clarification that cost-benefit assessments may only apply beyond the minimum level of coverage.</w:t>
      </w:r>
    </w:p>
    <w:p w:rsidR="00B00754" w:rsidRPr="00725495" w:rsidRDefault="00A05432" w:rsidP="00BB1D84">
      <w:pPr>
        <w:pStyle w:val="Text1"/>
        <w:pBdr>
          <w:top w:val="single" w:sz="4" w:space="1" w:color="auto"/>
          <w:left w:val="single" w:sz="4" w:space="4" w:color="auto"/>
          <w:bottom w:val="single" w:sz="4" w:space="1" w:color="auto"/>
          <w:right w:val="single" w:sz="4" w:space="4" w:color="auto"/>
        </w:pBdr>
        <w:rPr>
          <w:noProof/>
        </w:rPr>
      </w:pPr>
      <w:r w:rsidRPr="005D6477">
        <w:rPr>
          <w:noProof/>
        </w:rPr>
        <w:t>SO6</w:t>
      </w:r>
      <w:r w:rsidR="00FE1AB6" w:rsidRPr="005D6477">
        <w:rPr>
          <w:noProof/>
        </w:rPr>
        <w:t>:</w:t>
      </w:r>
      <w:r w:rsidR="00B00754" w:rsidRPr="005D6477">
        <w:rPr>
          <w:noProof/>
        </w:rPr>
        <w:t xml:space="preserve"> </w:t>
      </w:r>
      <w:r w:rsidR="00FB66AD" w:rsidRPr="005D6477">
        <w:rPr>
          <w:noProof/>
        </w:rPr>
        <w:t xml:space="preserve">Proposal clarifies </w:t>
      </w:r>
      <w:r w:rsidR="008D43B1" w:rsidRPr="005D6477">
        <w:rPr>
          <w:noProof/>
        </w:rPr>
        <w:t>rights of regulatory authorities concerning adoption of</w:t>
      </w:r>
      <w:r w:rsidR="00FB66AD" w:rsidRPr="005D6477">
        <w:rPr>
          <w:noProof/>
        </w:rPr>
        <w:t xml:space="preserve"> </w:t>
      </w:r>
      <w:r w:rsidR="00B00754" w:rsidRPr="005D6477">
        <w:rPr>
          <w:noProof/>
        </w:rPr>
        <w:t>grid connection measures in case of congestion</w:t>
      </w:r>
      <w:r w:rsidR="008D43B1" w:rsidRPr="005D6477">
        <w:rPr>
          <w:noProof/>
        </w:rPr>
        <w:t xml:space="preserve">, </w:t>
      </w:r>
      <w:r w:rsidR="00896FC7" w:rsidRPr="005D6477">
        <w:rPr>
          <w:noProof/>
        </w:rPr>
        <w:t>to ensure grid connection procedures are timely and efficient and support electrification. There is no requirement for the Commission or ACER in this relation, hence there are n</w:t>
      </w:r>
      <w:r w:rsidR="00B00754" w:rsidRPr="005D6477">
        <w:rPr>
          <w:noProof/>
        </w:rPr>
        <w:t>o</w:t>
      </w:r>
      <w:r w:rsidR="00AD645E" w:rsidRPr="005D6477">
        <w:rPr>
          <w:noProof/>
        </w:rPr>
        <w:t xml:space="preserve"> financial</w:t>
      </w:r>
      <w:r w:rsidR="00B00754" w:rsidRPr="005D6477">
        <w:rPr>
          <w:noProof/>
        </w:rPr>
        <w:t xml:space="preserve"> impacts on the Commission or ACER</w:t>
      </w:r>
      <w:r w:rsidR="00896FC7" w:rsidRPr="005D6477">
        <w:rPr>
          <w:noProof/>
        </w:rPr>
        <w:t>. To this end</w:t>
      </w:r>
      <w:r w:rsidR="00FE1AB6" w:rsidRPr="005D6477">
        <w:rPr>
          <w:noProof/>
        </w:rPr>
        <w:t xml:space="preserve">, </w:t>
      </w:r>
      <w:r w:rsidR="00E20E61" w:rsidRPr="008F30B5">
        <w:rPr>
          <w:noProof/>
        </w:rPr>
        <w:t xml:space="preserve">financial </w:t>
      </w:r>
      <w:r w:rsidR="00FE1AB6" w:rsidRPr="005D6477">
        <w:rPr>
          <w:noProof/>
        </w:rPr>
        <w:t>impacts</w:t>
      </w:r>
      <w:r w:rsidR="00E20E61" w:rsidRPr="008F30B5">
        <w:rPr>
          <w:noProof/>
        </w:rPr>
        <w:t xml:space="preserve"> on EU institutions</w:t>
      </w:r>
      <w:r w:rsidR="00FE1AB6" w:rsidRPr="005D6477">
        <w:rPr>
          <w:noProof/>
        </w:rPr>
        <w:t xml:space="preserve"> are not further assessed as fulfilment of this </w:t>
      </w:r>
      <w:r w:rsidR="00B00754" w:rsidRPr="005D6477">
        <w:rPr>
          <w:noProof/>
        </w:rPr>
        <w:t xml:space="preserve">SO remain fully in hands of </w:t>
      </w:r>
      <w:r w:rsidR="00FE1AB6" w:rsidRPr="005D6477">
        <w:rPr>
          <w:noProof/>
        </w:rPr>
        <w:t>national regulatory authorities.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proposal entails new requirements for the Commission (DG ENER and DG JRC, which are linked to the achievement of SO1 and SO2: </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1 (linked to SO1 and SO2): To support the grid operators in </w:t>
      </w:r>
      <w:r w:rsidR="007D59CA">
        <w:rPr>
          <w:noProof/>
        </w:rPr>
        <w:t>their</w:t>
      </w:r>
      <w:r w:rsidR="007D59CA" w:rsidRPr="00725495">
        <w:rPr>
          <w:noProof/>
        </w:rPr>
        <w:t xml:space="preserve"> </w:t>
      </w:r>
      <w:r w:rsidRPr="00725495">
        <w:rPr>
          <w:noProof/>
        </w:rPr>
        <w:t>data exchange activities, the Commission will, on the one hand, develop adequate energy data exchange provisions in the relevant instruments such as, for example, the Demand Response Network Code (</w:t>
      </w:r>
      <w:r w:rsidR="00AA744A">
        <w:rPr>
          <w:noProof/>
        </w:rPr>
        <w:t>A</w:t>
      </w:r>
      <w:r w:rsidR="00AA744A" w:rsidRPr="00725495">
        <w:rPr>
          <w:noProof/>
        </w:rPr>
        <w:t>rticle</w:t>
      </w:r>
      <w:r w:rsidRPr="00725495">
        <w:rPr>
          <w:noProof/>
        </w:rPr>
        <w:t xml:space="preserve"> 18a(4)), and, on the other hand, overseeing the implementation of the new framework for electricity grid data exchange for innovation purposes, under which ENTSO for Electricity, the EU DSO Entity, and participating TSOs and DSOs are required to establish and communicate the governance, participation rules, technical and operational measures, cybersecurity safeguards, lifecycle management arrangements, and testing and validation frameworks of the coordinated arrangement (Article 18a(5)). The Commission is required to assess those elements, deliver an opinion within three months, and monitor how that opinion has been taken into account. The JRC provides technical and scientific support for the development of the voluntary secure electricity data exchange framework under Article 18a(5). This includes the provision of guidelines on testing and validation approaches, and essential cybersecurity requirements.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2 (linked to SO2): The Commission is empowered to adopt implementing acts setting out guidelines to enable the lawful, secure and controlled reuse of electricity grid data for research and innovation public-interest purposes supporting the operation and optimisation of the electricity system (Article 61(5b)). This includes technical and legal preparation, stakeholder consultation, drafting and implementation follow-up. The JRC will be involved in providing technical input for the preparation of these implementing acts including on data models, ontologies, interfaces, interoperability architectures and technical specifications.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3 (SO3): The Commission is empowered to adopt an implementing act setting out guidelines on a harmonised methodology on tariffs pursuant to Article 18. This task supports the development of a more coherent and harmonised regulatory framework across Member States.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noProof/>
        </w:rPr>
        <w:t>Requirement 4 (SO4): The Commission is empowered to adopt an implementing act on smart grid indicators pursuant to Article 18a. For that purpose, the Commission will need to assess ACER’s recommendation on smart grid indicators, prepare and manage stakeholder consultations and interservice coordination, draft the implementing act where appropriate, and support its adoption and subsequent review.</w:t>
      </w:r>
      <w:r w:rsidRPr="00BB1D84">
        <w:rPr>
          <w:rFonts w:ascii="Times" w:eastAsia="Times" w:hAnsi="Times" w:cs="Times"/>
          <w:noProof/>
          <w:sz w:val="22"/>
        </w:rPr>
        <w:t xml:space="preserve"> </w:t>
      </w:r>
      <w:r w:rsidRPr="00725495">
        <w:rPr>
          <w:noProof/>
        </w:rPr>
        <w:t>These tasks support the development of a more coherent and harmonised regulatory framework across Member States.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5 (linked to SO5): The related follow-up task would fall to DG ENER only and is expected to remain limited, given that progress on smart metering deployment is already covered through existing monitoring exercises.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following specific objectives (SOs) focus on those which are addressed by provisions which require additional resources for ACER:</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SO6: Promote the uptake of smart and innovative grid technologies and digital solutions in transmission and distribution networks by establishing smart grid indicators, thereby supporting the digitalisation and modernisation of electricity infrastructure.</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SO7: Strengthen Union-level monitoring of the development and uptake of smart grid solutions and the efficient use of electricity infrastructure by publishing regular progress reports, thereby improving regulatory oversight and evidence-based decision-making.</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SO8: Further </w:t>
      </w:r>
      <w:r w:rsidR="00AA744A" w:rsidRPr="00725495">
        <w:rPr>
          <w:noProof/>
        </w:rPr>
        <w:t>strengthen</w:t>
      </w:r>
      <w:r w:rsidRPr="00725495">
        <w:rPr>
          <w:noProof/>
        </w:rPr>
        <w:t xml:space="preserve"> the objective of increasing efficiency in the use of the grid and increase system efficiency, through assisting regulatory authorities in setting performance indicators as regards the efficient operation and development of the network.</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SO9: Further </w:t>
      </w:r>
      <w:r w:rsidR="00AA744A" w:rsidRPr="00725495">
        <w:rPr>
          <w:noProof/>
        </w:rPr>
        <w:t>strengthen</w:t>
      </w:r>
      <w:r w:rsidRPr="00725495">
        <w:rPr>
          <w:noProof/>
        </w:rPr>
        <w:t xml:space="preserve"> the </w:t>
      </w:r>
      <w:r w:rsidR="00AA744A" w:rsidRPr="00725495">
        <w:rPr>
          <w:noProof/>
        </w:rPr>
        <w:t>objective</w:t>
      </w:r>
      <w:r w:rsidRPr="00725495">
        <w:rPr>
          <w:noProof/>
        </w:rPr>
        <w:t xml:space="preserve"> of increasing efficiency in the use of the grid and increase system efficiency, through carrying out efficiency comparisons among transmission system operators. </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S10: Contributing to the objective of achieving harmonisation in tariff-setting methodologies, through developing a recommendation addressed to the Commission on a proposal for a harmonised methodology on tariffs, prior to the Commission adopting an implementing act on the topic.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proposal entails new requirements for ACER, which are linked to the achievement of SO6, SO7, SO8, SO8 and S10:</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6 (linked to SO6): ACER is required, in close cooperation with the ENTSO for Electricity, the EU DSO Entity and relevant stakeholders, to issue a recommendation addressed to regulatory authorities on smart grid indicators to measure the uptake of smart and innovative grid technologies and digital solutions in transmission and distribution networks (Article 18a(2)).</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7 (linked to SO7): ACER is required to publish a Union-level progress report assessing the development and uptake of smart grid solutions and the efficient use of electricity infrastructure (Article 18a(3)). This report is to be published at least every three years following the publication of ACER’s recommendation on smart grid indicators.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8 (linked to SO8): ACER is tasked with assisting regulatory authorities in determining performance indicators (Article 18(7)).</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9 (linked to SO9): ACER is tasked with publishing a report on the efficiency comparison among transmission system operators and their costs, by the first day of the month following 12 months after the date of entry into force of the Regulation and every four years thereafter (Article 18(7)).</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10 (linked to S10): ACER is tasked with issuing a recommendation addressed to the Commission on a proposal for a harmonised methodology on tariffs (Article 61(5a)).</w:t>
      </w:r>
    </w:p>
    <w:p w:rsidR="00BB1D84" w:rsidRPr="00BB1D84" w:rsidRDefault="00BB1D84" w:rsidP="00BB1D84">
      <w:pPr>
        <w:pStyle w:val="ManualHeading3"/>
        <w:rPr>
          <w:noProof/>
        </w:rPr>
      </w:pPr>
      <w:bookmarkStart w:id="67" w:name="_Toc514938019"/>
      <w:bookmarkStart w:id="68" w:name="_Toc520485032"/>
      <w:bookmarkStart w:id="69" w:name="_Toc160804574"/>
      <w:bookmarkStart w:id="70" w:name="_Toc234245500"/>
      <w:r w:rsidRPr="00BB1D84">
        <w:rPr>
          <w:noProof/>
        </w:rPr>
        <w:t>1.3.3.</w:t>
      </w:r>
      <w:r w:rsidRPr="00BB1D84">
        <w:rPr>
          <w:noProof/>
        </w:rPr>
        <w:tab/>
        <w:t>Expected results and impact</w:t>
      </w:r>
      <w:bookmarkEnd w:id="67"/>
      <w:bookmarkEnd w:id="68"/>
      <w:bookmarkEnd w:id="69"/>
      <w:bookmarkEnd w:id="70"/>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resources will allow the Commission (DG ENER and DG JRC) and ACER to carry out the tasks necessary to fulfil their mandate under EU legislation as per the requirements under this proposal.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proposal is expected to strengthen the cost-efficient, secure and digital operation of the electricity system by improving the regulatory framework for </w:t>
      </w:r>
      <w:r w:rsidR="0044498A">
        <w:rPr>
          <w:noProof/>
        </w:rPr>
        <w:t>smart electricity grids</w:t>
      </w:r>
      <w:r w:rsidRPr="00725495">
        <w:rPr>
          <w:noProof/>
        </w:rPr>
        <w:t xml:space="preserve">, electricity grid data exchange and smart metering systems. The resources linked to the proposal are intended to ensure effective implementation of these new elements and to deliver tangible benefits for regulatory authorities, system operators, market participants and electricity users.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Commission (DG ENER</w:t>
      </w:r>
      <w:r w:rsidRPr="00725495" w:rsidDel="003353D4">
        <w:rPr>
          <w:noProof/>
        </w:rPr>
        <w:t xml:space="preserve"> </w:t>
      </w:r>
      <w:r w:rsidRPr="00725495">
        <w:rPr>
          <w:noProof/>
        </w:rPr>
        <w:t>and JRC)</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1 and 2: </w:t>
      </w:r>
      <w:r w:rsidRPr="00BB1D84">
        <w:rPr>
          <w:noProof/>
        </w:rPr>
        <w:t>Tasking the Commission with responsibilities related to the implementation of the provisions on electricity grid data exchange is expected to deliver a more coherent Union-wide framework for the uptake of smart and digital grid solutions. This should support more consistent monitoring of progress across Member States, better identification of best practices, and a stronger basis for regulatory incentives encouraging efficient grid operation and development. In particular it is expected to facilitate the development, testing and scaling of innovative digital and AI-based solutions for grid operation and optimisation, thereby improving grid observability, system efficiency and the integration of renewable energy sources, demand response and non-fossil flexibility.</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noProof/>
        </w:rPr>
        <w:t xml:space="preserve">Requirement 3: </w:t>
      </w:r>
      <w:r w:rsidRPr="00BB1D84">
        <w:rPr>
          <w:noProof/>
        </w:rPr>
        <w:t xml:space="preserve">Tasking the Commission with the preparation and adoption of an implementing act on harmonised methodology on tariffs to support a more harmonised and predictable framework for national regulatory implementation. This should reduce fragmentation in national approaches, improve legal certainty for regulatory authorities and system operators, and strengthen the effectiveness of the broader reform in lowering system costs.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bCs/>
          <w:noProof/>
        </w:rPr>
        <w:t>Requirement 4:</w:t>
      </w:r>
      <w:r w:rsidRPr="00BB1D84">
        <w:rPr>
          <w:b/>
          <w:noProof/>
        </w:rPr>
        <w:t xml:space="preserve"> </w:t>
      </w:r>
      <w:r w:rsidRPr="00BB1D84">
        <w:rPr>
          <w:noProof/>
        </w:rPr>
        <w:t>Tasking the Commission with the preparation and adoption of an implementing act on smart grid indicators is expected to support a more harmonised and predictable framework for national regulatory implementation. This should reduce fragmentation in national approaches, improve legal certainty for regulatory authorities and system operators, and strengthen the effectiveness of the broader reform in lowering system costs. In addition, common implementing rules on grid data reuse are expected to support secure and interoperable innovation across the Union, to the benefit of electricity system operators and users.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5: Tasking the Commission (DG ENER) with following up the implementation of Article</w:t>
      </w:r>
      <w:r w:rsidR="00126532">
        <w:rPr>
          <w:rFonts w:eastAsia="Times New Roman"/>
          <w:noProof/>
        </w:rPr>
        <w:t> </w:t>
      </w:r>
      <w:r w:rsidRPr="00725495">
        <w:rPr>
          <w:noProof/>
        </w:rPr>
        <w:t>18b on smart metering systems is expected to support a more consistent application of the minimum deployment requirement for smart metering systems across Member States. This includes monitoring Member States’ compliance with the minimum level of deployment and the application of the clarification that cost-benefit assessments may only apply beyond that minimum level of coverage. This should contribute to greater legal certainty, improve the rollout of smart metering systems, and support a more effective and harmonised framework for consumer participation and system efficiency, to the benefit of consumers, system operators and regulatory authorities.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ACER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6: Entrusting ACER with the development of a recommendation on smart grid indicators is expected to promote a more coherent approach to measuring digitalisation and innovation in electricity networks across the Union. This should improve the monitoring of progress, support the wider deployment of smart and innovative grid technologies and digital solutions, and contribute to a more efficient and modern use of electricity infrastructure, to the benefit of transmission and distribution system operators, regulatory authorities and network users.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7: Tasking ACER with reporting on progress in the development and uptake of smart grid solutions and the efficient use of electricity infrastructure is expected to strengthen Union-level monitoring of smart grid deployment and infrastructure efficiency. This should support better-informed regulatory oversight and contribute to a more efficient and modern use of electricity infrastructure, to the benefit of transmission and distribution system operators, regulatory authorities and network users.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8: Tasking ACER with assisting regulatory authorities in determining performance indicators is expected to improve the transparency, consistency and evidence base of regulatory oversight across the Union. This should support better-informed regulatory decisions and strengthen incentives for efficient network operation and investment, to the benefit of regulatory authorities, system operators and electricity users.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9: Tasking ACER with carrying out and publishing an efficiency comparison among transmission system operators and their costs is expected to help identify good practices and inefficiencies across transmission system operators. This should strengthen benchmarking across the Union and support more efficient network operation and investment decisions, to the benefit of regulatory authorities, system operators and electricity users.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10: Tasking ACER with issuing a recommendation to the Commission on a proposal for a harmonised methodology on tariffs is expected to support greater consistency and predictability in tariff-setting approaches across Member States. This should contribute to a more harmonised regulatory framework, reduce fragmentation in national approaches, and support a clearer and more coherent basis for network tariff design, to the benefit of regulatory authorities, system operators and market participants.</w:t>
      </w:r>
    </w:p>
    <w:p w:rsidR="00BB1D84" w:rsidRPr="00BB1D84" w:rsidRDefault="00BB1D84" w:rsidP="00BB1D84">
      <w:pPr>
        <w:pStyle w:val="ManualHeading3"/>
        <w:rPr>
          <w:noProof/>
        </w:rPr>
      </w:pPr>
      <w:bookmarkStart w:id="71" w:name="_Toc514938023"/>
      <w:bookmarkStart w:id="72" w:name="_Toc520485033"/>
      <w:bookmarkStart w:id="73" w:name="_Toc160804575"/>
      <w:bookmarkStart w:id="74" w:name="_Toc234245501"/>
      <w:r w:rsidRPr="00BB1D84">
        <w:rPr>
          <w:noProof/>
        </w:rPr>
        <w:t>1.3.4.</w:t>
      </w:r>
      <w:r w:rsidRPr="00BB1D84">
        <w:rPr>
          <w:noProof/>
        </w:rPr>
        <w:tab/>
        <w:t>Indicators of performance</w:t>
      </w:r>
      <w:bookmarkEnd w:id="71"/>
      <w:bookmarkEnd w:id="72"/>
      <w:bookmarkEnd w:id="73"/>
      <w:bookmarkEnd w:id="74"/>
    </w:p>
    <w:p w:rsidR="00BB1D84" w:rsidRPr="00725495" w:rsidRDefault="00BB1D84" w:rsidP="00BB1D84">
      <w:pPr>
        <w:pStyle w:val="Text1"/>
        <w:pBdr>
          <w:top w:val="single" w:sz="4" w:space="1" w:color="000000"/>
          <w:left w:val="single" w:sz="4" w:space="4" w:color="000000"/>
          <w:bottom w:val="single" w:sz="4" w:space="1" w:color="000000"/>
          <w:right w:val="single" w:sz="4" w:space="4" w:color="000000"/>
        </w:pBdr>
        <w:rPr>
          <w:noProof/>
        </w:rPr>
      </w:pPr>
      <w:r w:rsidRPr="00725495">
        <w:rPr>
          <w:noProof/>
        </w:rPr>
        <w:t>Please see Explanatory Memorandum as regards monitoring progress and achievements of the initiative.</w:t>
      </w:r>
    </w:p>
    <w:p w:rsidR="00BB1D84" w:rsidRPr="00BB1D84" w:rsidRDefault="00BB1D84" w:rsidP="00AD2819">
      <w:pPr>
        <w:pStyle w:val="ManualHeading2"/>
        <w:rPr>
          <w:noProof/>
        </w:rPr>
      </w:pPr>
      <w:bookmarkStart w:id="75" w:name="_Toc234245502"/>
      <w:r w:rsidRPr="00BB1D84">
        <w:rPr>
          <w:noProof/>
        </w:rPr>
        <w:t>1.4.</w:t>
      </w:r>
      <w:r w:rsidRPr="00BB1D84">
        <w:rPr>
          <w:noProof/>
        </w:rPr>
        <w:tab/>
        <w:t>The proposal relates to:</w:t>
      </w:r>
      <w:bookmarkEnd w:id="75"/>
      <w:r w:rsidRPr="00BB1D84">
        <w:rPr>
          <w:noProof/>
        </w:rPr>
        <w:t xml:space="preserve"> </w:t>
      </w:r>
    </w:p>
    <w:p w:rsidR="00BB1D84" w:rsidRPr="00BB1D84" w:rsidRDefault="00BB1D84" w:rsidP="00BB1D84">
      <w:pPr>
        <w:pStyle w:val="Text1"/>
        <w:rPr>
          <w:noProof/>
          <w:sz w:val="22"/>
        </w:rPr>
      </w:pPr>
      <w:r w:rsidRPr="00BB1D84">
        <w:rPr>
          <w:rFonts w:ascii="Wingdings" w:eastAsia="Wingdings" w:hAnsi="Wingdings" w:cs="Wingdings"/>
          <w:noProof/>
          <w:sz w:val="22"/>
        </w:rPr>
        <w:t></w:t>
      </w:r>
      <w:r w:rsidRPr="00BB1D84">
        <w:rPr>
          <w:b/>
          <w:bCs/>
          <w:i/>
          <w:iCs/>
          <w:noProof/>
          <w:sz w:val="22"/>
        </w:rPr>
        <w:t xml:space="preserve"> </w:t>
      </w:r>
      <w:r w:rsidRPr="00BB1D84">
        <w:rPr>
          <w:noProof/>
        </w:rPr>
        <w:t>a new action</w:t>
      </w:r>
      <w:r w:rsidRPr="00BB1D84">
        <w:rPr>
          <w:noProof/>
          <w:sz w:val="22"/>
        </w:rPr>
        <w:t xml:space="preserve"> </w:t>
      </w:r>
    </w:p>
    <w:p w:rsidR="00BB1D84" w:rsidRPr="00BB1D84" w:rsidRDefault="00BB1D84" w:rsidP="00BB1D84">
      <w:pPr>
        <w:pStyle w:val="Text1"/>
        <w:rPr>
          <w:noProof/>
          <w:sz w:val="22"/>
        </w:rPr>
      </w:pPr>
      <w:r w:rsidRPr="00BB1D84">
        <w:rPr>
          <w:rFonts w:ascii="Wingdings" w:eastAsia="Wingdings" w:hAnsi="Wingdings" w:cs="Wingdings"/>
          <w:noProof/>
          <w:sz w:val="22"/>
        </w:rPr>
        <w:t></w:t>
      </w:r>
      <w:r w:rsidRPr="00BB1D84">
        <w:rPr>
          <w:i/>
          <w:iCs/>
          <w:noProof/>
          <w:sz w:val="22"/>
        </w:rPr>
        <w:t xml:space="preserve"> </w:t>
      </w:r>
      <w:r w:rsidRPr="00BB1D84">
        <w:rPr>
          <w:noProof/>
        </w:rPr>
        <w:t>a new action following a pilot project / preparatory action</w:t>
      </w:r>
      <w:r w:rsidRPr="00BB1D84">
        <w:rPr>
          <w:rStyle w:val="FootnoteReference"/>
          <w:noProof/>
        </w:rPr>
        <w:footnoteReference w:id="44"/>
      </w:r>
      <w:r w:rsidRPr="00BB1D84">
        <w:rPr>
          <w:noProof/>
          <w:sz w:val="22"/>
        </w:rPr>
        <w:t xml:space="preserve"> </w:t>
      </w:r>
    </w:p>
    <w:p w:rsidR="00BB1D84" w:rsidRPr="00BB1D84" w:rsidRDefault="00BB1D84" w:rsidP="00BB1D84">
      <w:pPr>
        <w:pStyle w:val="Text1"/>
        <w:rPr>
          <w:noProof/>
          <w:sz w:val="22"/>
        </w:rPr>
      </w:pPr>
      <w:r w:rsidRPr="00BB1D84">
        <w:rPr>
          <w:rFonts w:ascii="Wingdings" w:eastAsia="Wingdings" w:hAnsi="Wingdings" w:cs="Wingdings"/>
          <w:noProof/>
          <w:sz w:val="22"/>
        </w:rPr>
        <w:t></w:t>
      </w:r>
      <w:r w:rsidRPr="00BB1D84">
        <w:rPr>
          <w:i/>
          <w:iCs/>
          <w:noProof/>
          <w:sz w:val="22"/>
        </w:rPr>
        <w:t xml:space="preserve"> </w:t>
      </w:r>
      <w:r w:rsidRPr="00BB1D84">
        <w:rPr>
          <w:noProof/>
        </w:rPr>
        <w:t>the extension of an existing action</w:t>
      </w:r>
      <w:r w:rsidRPr="00BB1D84">
        <w:rPr>
          <w:noProof/>
          <w:sz w:val="22"/>
        </w:rPr>
        <w:t xml:space="preserve"> </w:t>
      </w:r>
    </w:p>
    <w:p w:rsidR="00BB1D84" w:rsidRPr="00BB1D84" w:rsidRDefault="00BB1D84" w:rsidP="00BB1D84">
      <w:pPr>
        <w:pStyle w:val="Text1"/>
        <w:rPr>
          <w:noProof/>
        </w:rPr>
      </w:pPr>
      <w:r w:rsidRPr="00BB1D84">
        <w:rPr>
          <w:rFonts w:ascii="Wingdings" w:eastAsia="Wingdings" w:hAnsi="Wingdings" w:cs="Wingdings"/>
          <w:noProof/>
          <w:sz w:val="22"/>
        </w:rPr>
        <w:t></w:t>
      </w:r>
      <w:r w:rsidRPr="00BB1D84">
        <w:rPr>
          <w:i/>
          <w:iCs/>
          <w:noProof/>
          <w:sz w:val="22"/>
        </w:rPr>
        <w:t xml:space="preserve"> </w:t>
      </w:r>
      <w:r w:rsidRPr="00BB1D84">
        <w:rPr>
          <w:noProof/>
        </w:rPr>
        <w:t>a merger or redirection of one or more actions towards another/a new action</w:t>
      </w:r>
    </w:p>
    <w:p w:rsidR="00BB1D84" w:rsidRPr="00BB1D84" w:rsidRDefault="00BB1D84" w:rsidP="00BB1D84">
      <w:pPr>
        <w:pStyle w:val="ManualHeading2"/>
        <w:rPr>
          <w:bCs/>
          <w:noProof/>
          <w:szCs w:val="24"/>
        </w:rPr>
      </w:pPr>
      <w:bookmarkStart w:id="76" w:name="_Toc514938025"/>
      <w:bookmarkStart w:id="77" w:name="_Toc520485034"/>
      <w:bookmarkStart w:id="78" w:name="_Toc160804576"/>
      <w:bookmarkStart w:id="79" w:name="_Toc234245503"/>
      <w:r w:rsidRPr="00BB1D84">
        <w:rPr>
          <w:noProof/>
        </w:rPr>
        <w:t>1.5.</w:t>
      </w:r>
      <w:r w:rsidRPr="00BB1D84">
        <w:rPr>
          <w:noProof/>
        </w:rPr>
        <w:tab/>
        <w:t>Grounds for the proposal</w:t>
      </w:r>
      <w:bookmarkEnd w:id="76"/>
      <w:bookmarkEnd w:id="77"/>
      <w:bookmarkEnd w:id="78"/>
      <w:bookmarkEnd w:id="79"/>
      <w:r w:rsidRPr="00BB1D84">
        <w:rPr>
          <w:noProof/>
        </w:rPr>
        <w:t xml:space="preserve"> </w:t>
      </w:r>
    </w:p>
    <w:p w:rsidR="00BB1D84" w:rsidRPr="00BB1D84" w:rsidRDefault="00BB1D84" w:rsidP="00BB1D84">
      <w:pPr>
        <w:pStyle w:val="ManualHeading3"/>
        <w:rPr>
          <w:noProof/>
        </w:rPr>
      </w:pPr>
      <w:bookmarkStart w:id="80" w:name="_Toc514938026"/>
      <w:bookmarkStart w:id="81" w:name="_Toc520485035"/>
      <w:bookmarkStart w:id="82" w:name="_Toc160804577"/>
      <w:bookmarkStart w:id="83" w:name="_Toc234245504"/>
      <w:r w:rsidRPr="00BB1D84">
        <w:rPr>
          <w:noProof/>
        </w:rPr>
        <w:t>1.5.1.</w:t>
      </w:r>
      <w:r w:rsidRPr="00BB1D84">
        <w:rPr>
          <w:noProof/>
        </w:rPr>
        <w:tab/>
        <w:t>Requireme</w:t>
      </w:r>
      <w:r w:rsidRPr="00C51644">
        <w:rPr>
          <w:noProof/>
        </w:rPr>
        <w:t>nts</w:t>
      </w:r>
      <w:r w:rsidRPr="00BB1D84">
        <w:rPr>
          <w:noProof/>
        </w:rPr>
        <w:t xml:space="preserve"> to be met in the short or long term including a detailed timeline for roll-out of the implementation of the initiative</w:t>
      </w:r>
      <w:bookmarkEnd w:id="80"/>
      <w:bookmarkEnd w:id="81"/>
      <w:bookmarkEnd w:id="82"/>
      <w:bookmarkEnd w:id="83"/>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Commission (DG ENER and DG JRC)</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1: DG ENER is tasked with overseeing the implementation of the electricity grid data exchange framework for innovation purposes, including coordinating the overall implementation process with ACER, ENTSO for Electricity, the EU DSO Entity, TSOs, DSOs, Member States and other relevant stakeholders, and ensuring coherence with the broader Union framework (Article 18a(5)). In addition, the Commission is required to receive, assess and follow up on the elements communicated by ENTSO for Electricity, the EU DSO Entity and participating TSOs and DSOs concerning governance, participation rules, technical and operational measures, cybersecurity safeguards, lifecycle arrangements and testing frameworks, deliver a Commission opinion within three months, and monitor how that opinion has been taken into account. Dedicated</w:t>
      </w:r>
      <w:r w:rsidRPr="00BB1D84">
        <w:rPr>
          <w:noProof/>
        </w:rPr>
        <w:t xml:space="preserve"> resources would in particular support overall coordination of the implementation process with ACER, ENTSO for Electricity, the EU DSO Entity, system operators, Member States and other stakeholders; preparation of the Commission opinion under Article 18a(5); policy and legal follow-up, including on ACER recommendations and data governance, cybersecurity, AI and critical infrastructure issues; and stakeholder engagement, monitoring and possible future updates of the implementing framework.</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noProof/>
        </w:rPr>
        <w:t>The JRC</w:t>
      </w:r>
      <w:r w:rsidRPr="00BB1D84">
        <w:rPr>
          <w:b/>
          <w:bCs/>
          <w:noProof/>
        </w:rPr>
        <w:t xml:space="preserve"> </w:t>
      </w:r>
      <w:r w:rsidRPr="00BB1D84">
        <w:rPr>
          <w:noProof/>
        </w:rPr>
        <w:t>provides technical and scientific advice for the development of the voluntary secure electricity data exchange framework under Article 18a(5). This includes the provision of guidelines on testing and validation approaches, and essential cybersecurity requirements</w:t>
      </w:r>
      <w:r w:rsidRPr="00725495">
        <w:rPr>
          <w:noProof/>
        </w:rPr>
        <w:t xml:space="preserve">. Where appropriate </w:t>
      </w:r>
      <w:r w:rsidRPr="00BB1D84">
        <w:rPr>
          <w:noProof/>
        </w:rPr>
        <w:t xml:space="preserve">JRC could contribute to the formulation of timely, policy relevant use cases related to electricity grid planning, operation and optimisation. The JRC would also provide technical input for the implementing acts under Article 61.5b, supporting the technical assessment of the voluntary secure electricity grid data exchange framework under Article 18a(5).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2: The Commission is empowered to adopt implementing acts setting out guidelines to enable the lawful, secure and controlled reuse of electricity grid data for research and innovation public-interest purposes supporting the operation and optimisation of the electricity system pursuant to Article 18a (Article 61(5b)). This includes technical and legal preparation, stakeholder consultation, drafting and implementation follow-up. This task requires a combined effort from DG ENER and the JRC, the latter in providing technical input for the preparation of these implementing acts including on data models, ontologies, interfaces, interoperability architectures and technical specifications. These resources would cover in particular preparing, drafting and steering the adoption of implementing acts under Article 61.5a and 5b, including interservice consultation and consultation of Member States under the relevant comitology procedure.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3: The Commission may adopt an implementing act setting out guidelines on a harmonised methodology on tariffs pursuant to Article 18 (Article 61(5a)). This task requires analytical, regulatory and coordination capacity within DG ENER. These required resources would cover in particular policy and legal follow-up.</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4: The Commission may adopt an implementing act on smart grid indicators pursuant to Article 18a (Article 61(5a)). This task requires analytical, regulatory and coordination capacity within DG ENER. These required resources would cover in particular policy and legal follow-up.</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5: No separate human resources are considered necessary for DG ENER in relation to Article</w:t>
      </w:r>
      <w:r w:rsidR="00126532">
        <w:rPr>
          <w:rFonts w:eastAsia="Times New Roman"/>
          <w:noProof/>
        </w:rPr>
        <w:t> </w:t>
      </w:r>
      <w:r w:rsidRPr="00725495">
        <w:rPr>
          <w:noProof/>
        </w:rPr>
        <w:t>18b, given that progress on smart metering deployment is already covered through existing monitoring exercises.</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ACER</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6: ACER is required, in close cooperation with transmission and distribution system operators and relevant stakeholders, to issue a recommendation addressed to regulatory authorities on smart grid indicators to measure the uptake of smart and innovative grid technologies and digital solutions in transmission and distribution networks (Article 18a(2)). This recommendation is to be issued by one year after the entry into force of the Regulation and constitutes a one-off task.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7: ACER is required to publish a Union-level progress report assessing the development and uptake of smart grid solutions and the efficient use of electricity infrastructure (Article 18a(3)). This report is to be published at least every three years following the publication of ACER’s recommendation on smart grid indicators and constitutes a recurring task. </w:t>
      </w:r>
    </w:p>
    <w:p w:rsidR="00BB1D84" w:rsidRPr="0075127B"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noProof/>
        </w:rPr>
        <w:t xml:space="preserve">For Requirements 6 and 7 combined ACER thus requires additional staff to lead and conduct the expert work including initial recommendation and regular monitoring on both TSOs and DSOs, as well as to assist on data collection and other clerical tasks inherent to this activity.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8: ACER is tasked with assisting regulatory authorities in determining performance indicators (Article 18(7)).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Requirement 9: ACER is tasked with publishing a report with efficiency comparison among transmission system operators and their costs, by first day of the month following 12 months after the date of entry into force of this Regulation and every four years thereafter (Article 18(7)). </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Requirement 10: ACER is tasked with issuing a recommendation addressed to the Commission on a proposal for a harmonised methodology on tariffs (Article 61(5a)).</w:t>
      </w:r>
    </w:p>
    <w:p w:rsidR="00BB1D84" w:rsidRPr="0075127B" w:rsidRDefault="00BB1D84" w:rsidP="00BB1D84">
      <w:pPr>
        <w:pStyle w:val="Text1"/>
        <w:pBdr>
          <w:top w:val="single" w:sz="4" w:space="1" w:color="auto"/>
          <w:left w:val="single" w:sz="4" w:space="4" w:color="auto"/>
          <w:bottom w:val="single" w:sz="4" w:space="1" w:color="auto"/>
          <w:right w:val="single" w:sz="4" w:space="4" w:color="auto"/>
        </w:pBdr>
        <w:rPr>
          <w:noProof/>
        </w:rPr>
      </w:pPr>
      <w:r w:rsidRPr="0075127B">
        <w:rPr>
          <w:noProof/>
        </w:rPr>
        <w:t xml:space="preserve">For Requirements 8, 9 and 10, ACER requires additional staff resources for horizontal support and overhead, as well as an operational budget for specialised consultancy and developments. </w:t>
      </w:r>
    </w:p>
    <w:p w:rsidR="00BB1D84" w:rsidRPr="00BB1D84" w:rsidRDefault="00BB1D84" w:rsidP="00BB1D84">
      <w:pPr>
        <w:pStyle w:val="ManualHeading3"/>
        <w:rPr>
          <w:bCs/>
          <w:noProof/>
          <w:szCs w:val="24"/>
        </w:rPr>
      </w:pPr>
      <w:bookmarkStart w:id="84" w:name="_Toc514938029"/>
      <w:bookmarkStart w:id="85" w:name="_Toc520485036"/>
      <w:bookmarkStart w:id="86" w:name="_Toc160804578"/>
      <w:bookmarkStart w:id="87" w:name="_Toc234245505"/>
      <w:r w:rsidRPr="00BB1D84">
        <w:rPr>
          <w:noProof/>
        </w:rPr>
        <w:t>1.5.2.</w:t>
      </w:r>
      <w:r w:rsidRPr="00BB1D84">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84"/>
      <w:bookmarkEnd w:id="85"/>
      <w:bookmarkEnd w:id="86"/>
      <w:bookmarkEnd w:id="87"/>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An EU-level framework for energy costs, including network charges, is more effective than separate national measures because it avoids fragmentation. Member States alone cannot achieve the necessary reforms within the limits of the existing EU framework under the Electricity Regulation. A common legal and policy framework also enables more ambitious and cost-effective action.</w:t>
      </w:r>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proposal establishes a coherent EU approach for non-wire, smart, and digital solutions across electricity systems, including minimum smart metering deployment, stronger consumer participation, ACER-led smart grid indicators, and interoperable grid data exchange.</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proposed measures are proportionate because they introduce only the measures necessary to improve grid efficiency, transparency, and electrification incentives without imposing a uniform technological model or excessive administrative burden. Since the initiative mainly adds and adjusts provisions in existing EU legislation, an amending act is the appropriate legal instrument. </w:t>
      </w:r>
    </w:p>
    <w:p w:rsidR="00BB1D84" w:rsidRPr="00BB1D84" w:rsidRDefault="00BB1D84" w:rsidP="00BB1D84">
      <w:pPr>
        <w:pStyle w:val="ManualHeading3"/>
        <w:rPr>
          <w:noProof/>
        </w:rPr>
      </w:pPr>
      <w:bookmarkStart w:id="88" w:name="_Toc514938030"/>
      <w:bookmarkStart w:id="89" w:name="_Toc520485037"/>
      <w:bookmarkStart w:id="90" w:name="_Toc160804579"/>
      <w:bookmarkStart w:id="91" w:name="_Toc234245506"/>
      <w:r w:rsidRPr="00BB1D84">
        <w:rPr>
          <w:noProof/>
        </w:rPr>
        <w:t>1.5.3.</w:t>
      </w:r>
      <w:r w:rsidRPr="00BB1D84">
        <w:rPr>
          <w:noProof/>
        </w:rPr>
        <w:tab/>
        <w:t>Lessons learned from similar experiences in the past</w:t>
      </w:r>
      <w:bookmarkEnd w:id="88"/>
      <w:bookmarkEnd w:id="89"/>
      <w:bookmarkEnd w:id="90"/>
      <w:bookmarkEnd w:id="91"/>
    </w:p>
    <w:p w:rsidR="00BB1D84" w:rsidRPr="00BB1D84" w:rsidRDefault="375EF2E1" w:rsidP="2BFCC4C3">
      <w:pPr>
        <w:pStyle w:val="Text1"/>
        <w:pBdr>
          <w:top w:val="single" w:sz="4" w:space="1" w:color="auto"/>
          <w:left w:val="single" w:sz="4" w:space="4" w:color="auto"/>
          <w:bottom w:val="single" w:sz="4" w:space="1" w:color="auto"/>
          <w:right w:val="single" w:sz="4" w:space="4" w:color="auto"/>
        </w:pBdr>
        <w:rPr>
          <w:noProof/>
        </w:rPr>
      </w:pPr>
      <w:r>
        <w:rPr>
          <w:noProof/>
        </w:rPr>
        <w:t>Experience from the implementation of the existing electricity market framework has shown that increasing electrification, the rapid deployment of renewables and the growing digitalisation of the electricity system require a more system-oriented and efficient approach to the operation and use of electricity networks. Existing regulatory frameworks have not always provided sufficiently strong incentives for efficient grid use, flexibility, timely grid access or the deployment of smart and digital solutions.</w:t>
      </w:r>
    </w:p>
    <w:p w:rsidR="0091609A" w:rsidRDefault="375EF2E1" w:rsidP="0091609A">
      <w:pPr>
        <w:pStyle w:val="Text1"/>
        <w:pBdr>
          <w:top w:val="single" w:sz="4" w:space="1" w:color="auto"/>
          <w:left w:val="single" w:sz="4" w:space="4" w:color="auto"/>
          <w:bottom w:val="single" w:sz="4" w:space="1" w:color="auto"/>
          <w:right w:val="single" w:sz="4" w:space="4" w:color="auto"/>
        </w:pBdr>
        <w:rPr>
          <w:noProof/>
        </w:rPr>
      </w:pPr>
      <w:r w:rsidRPr="0091609A">
        <w:rPr>
          <w:noProof/>
        </w:rPr>
        <w:t>Recent policy initiatives, including the Action Plan for Affordable Energy, the European Grids Package and AccelerateEU, also highlighted the need for a more coherent approach to the regulatory components contributing to electricity costs, including network charges and taxation, in order to support electrification, affordability and competitiveness objectives.</w:t>
      </w:r>
      <w:r w:rsidR="0091609A" w:rsidRPr="0091609A">
        <w:rPr>
          <w:noProof/>
        </w:rPr>
        <w:t xml:space="preserve"> </w:t>
      </w:r>
    </w:p>
    <w:p w:rsidR="0091609A" w:rsidRPr="0091609A" w:rsidRDefault="0091609A" w:rsidP="0091609A">
      <w:pPr>
        <w:pStyle w:val="Text1"/>
        <w:pBdr>
          <w:top w:val="single" w:sz="4" w:space="1" w:color="auto"/>
          <w:left w:val="single" w:sz="4" w:space="4" w:color="auto"/>
          <w:bottom w:val="single" w:sz="4" w:space="1" w:color="auto"/>
          <w:right w:val="single" w:sz="4" w:space="4" w:color="auto"/>
        </w:pBdr>
        <w:rPr>
          <w:noProof/>
        </w:rPr>
      </w:pPr>
      <w:r w:rsidRPr="0091609A">
        <w:rPr>
          <w:noProof/>
        </w:rPr>
        <w:t>Previous experience with the implementation of Union electricity market legislation has furthermore shown that increasingly technical and data-intensive regulatory frameworks require adequate technical, regulatory and monitoring capacity at Union level, including within ACER and the Commission.</w:t>
      </w:r>
    </w:p>
    <w:p w:rsidR="00BB1D84" w:rsidRPr="00BB1D84" w:rsidRDefault="00BB1D84" w:rsidP="008A2E5F">
      <w:pPr>
        <w:pStyle w:val="Text1"/>
        <w:pBdr>
          <w:top w:val="single" w:sz="4" w:space="1" w:color="auto"/>
          <w:left w:val="single" w:sz="4" w:space="4" w:color="auto"/>
          <w:bottom w:val="single" w:sz="4" w:space="1" w:color="auto"/>
          <w:right w:val="single" w:sz="4" w:space="4" w:color="auto"/>
        </w:pBdr>
        <w:rPr>
          <w:noProof/>
        </w:rPr>
      </w:pPr>
    </w:p>
    <w:p w:rsidR="00BB1D84" w:rsidRPr="00BB1D84" w:rsidRDefault="00BB1D84" w:rsidP="00355203">
      <w:pPr>
        <w:pStyle w:val="ManualHeading3"/>
        <w:tabs>
          <w:tab w:val="clear" w:pos="850"/>
        </w:tabs>
        <w:ind w:left="851" w:hanging="851"/>
        <w:rPr>
          <w:noProof/>
        </w:rPr>
      </w:pPr>
      <w:bookmarkStart w:id="92" w:name="_Toc514938033"/>
      <w:bookmarkStart w:id="93" w:name="_Toc520485038"/>
      <w:bookmarkStart w:id="94" w:name="_Toc160804580"/>
      <w:bookmarkStart w:id="95" w:name="_Toc234245507"/>
      <w:r w:rsidRPr="00BB1D84">
        <w:rPr>
          <w:noProof/>
        </w:rPr>
        <w:t>1.5.4.</w:t>
      </w:r>
      <w:r w:rsidRPr="00BB1D84">
        <w:rPr>
          <w:noProof/>
        </w:rPr>
        <w:tab/>
        <w:t>Compatibility with the multiannual financial framework and possible synergies with other appropriate instruments</w:t>
      </w:r>
      <w:bookmarkEnd w:id="92"/>
      <w:bookmarkEnd w:id="93"/>
      <w:bookmarkEnd w:id="94"/>
      <w:bookmarkEnd w:id="95"/>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proposal aligns with the objectives detailed in AccelerateEU and the Clean Industrial Deal.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proposal’s objectives to protect consumers, improve competitiveness of EU industry and boost renewables and low carbon investment are also wholly consistent with the framework of the European Green Deal, the Clean Industrial Deal and coherent and complementary to current initiatives. It responds to the issues that were identified in the Commission’s Action Plan for Affordable Energy in February 2025, namely that high energy costs put at risk the competitiveness of European companies and represent a significant burden for consumers. It is therefore imperative to ensure an efficient use of the energy system, supported by an appropriate structure of taxes, will play an important role to enable electricity users to benefit from more predictable and lower energy costs.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proposed initiative is strongly linked and complementary to the legislative proposals brought forward in the Grids Package, which is a key deliverable under the Clean Industrial Deal and the Action Plan for Affordable Energy, being part of the 2025 Commission Work Program.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Commission proposal for the new Multiannual Financial Framework (MFF) 2028-2034 highlights “the vital importance of a genuine Energy Union and well integrated EU infrastructure networks”, which is reflected in a substantially increased budget proposed for the Connecting Europe Facility (CEF) for Energy. </w:t>
      </w:r>
    </w:p>
    <w:p w:rsidR="00BB1D84" w:rsidRPr="00BB1D84" w:rsidRDefault="00BB1D84" w:rsidP="00BB1D84">
      <w:pPr>
        <w:pStyle w:val="ManualHeading3"/>
        <w:rPr>
          <w:noProof/>
        </w:rPr>
      </w:pPr>
      <w:bookmarkStart w:id="96" w:name="_Toc514938036"/>
      <w:bookmarkStart w:id="97" w:name="_Toc520485039"/>
      <w:bookmarkStart w:id="98" w:name="_Toc160804581"/>
      <w:bookmarkStart w:id="99" w:name="_Toc234245508"/>
      <w:r w:rsidRPr="00BB1D84">
        <w:rPr>
          <w:noProof/>
        </w:rPr>
        <w:t>1.5.</w:t>
      </w:r>
      <w:r w:rsidR="0091609A">
        <w:rPr>
          <w:noProof/>
        </w:rPr>
        <w:t>5</w:t>
      </w:r>
      <w:r w:rsidRPr="00BB1D84">
        <w:rPr>
          <w:noProof/>
        </w:rPr>
        <w:t>.</w:t>
      </w:r>
      <w:r w:rsidRPr="00BB1D84">
        <w:rPr>
          <w:noProof/>
        </w:rPr>
        <w:tab/>
        <w:t>Assessment of the different available financing options, including scope for redeployment</w:t>
      </w:r>
      <w:bookmarkEnd w:id="96"/>
      <w:bookmarkEnd w:id="97"/>
      <w:bookmarkEnd w:id="98"/>
      <w:bookmarkEnd w:id="99"/>
    </w:p>
    <w:p w:rsidR="00BB1D84" w:rsidRPr="00BB1D84"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FTE are needed for additional tasks </w:t>
      </w:r>
      <w:r w:rsidR="00211C64">
        <w:rPr>
          <w:noProof/>
        </w:rPr>
        <w:t xml:space="preserve">being performed by ACER </w:t>
      </w:r>
      <w:r w:rsidRPr="00725495">
        <w:rPr>
          <w:noProof/>
        </w:rPr>
        <w:t xml:space="preserve">while existing tasks will not decrease in the foreseeable future.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As far as legally possible, additional FTEs </w:t>
      </w:r>
      <w:r w:rsidR="48851104">
        <w:rPr>
          <w:noProof/>
        </w:rPr>
        <w:t xml:space="preserve">requested for ACER </w:t>
      </w:r>
      <w:r w:rsidRPr="00725495">
        <w:rPr>
          <w:noProof/>
        </w:rPr>
        <w:t xml:space="preserve">will be financed from a relevant programme envelope under the same MFF heading, subject to the agreement on the MFF 2028-2034. </w:t>
      </w:r>
    </w:p>
    <w:p w:rsidR="00BB1D84" w:rsidRDefault="00BB1D84" w:rsidP="00BB1D84">
      <w:pPr>
        <w:pStyle w:val="ManualHeading2"/>
        <w:rPr>
          <w:bCs/>
          <w:noProof/>
          <w:szCs w:val="24"/>
        </w:rPr>
      </w:pPr>
      <w:r>
        <w:rPr>
          <w:noProof/>
        </w:rPr>
        <w:br w:type="page"/>
      </w:r>
      <w:bookmarkStart w:id="100" w:name="_Toc514938039"/>
      <w:bookmarkStart w:id="101" w:name="_Toc520485040"/>
      <w:bookmarkStart w:id="102" w:name="_Toc160804582"/>
      <w:bookmarkStart w:id="103" w:name="_Toc234245509"/>
      <w:r w:rsidRPr="0021790A">
        <w:rPr>
          <w:noProof/>
        </w:rPr>
        <w:t>1.6.</w:t>
      </w:r>
      <w:r w:rsidRPr="0021790A">
        <w:rPr>
          <w:noProof/>
        </w:rPr>
        <w:tab/>
      </w:r>
      <w:r>
        <w:rPr>
          <w:noProof/>
        </w:rPr>
        <w:t>Duration of the proposal</w:t>
      </w:r>
      <w:bookmarkEnd w:id="100"/>
      <w:bookmarkEnd w:id="101"/>
      <w:r>
        <w:rPr>
          <w:noProof/>
        </w:rPr>
        <w:t xml:space="preserve"> and of its financial impact</w:t>
      </w:r>
      <w:bookmarkEnd w:id="102"/>
      <w:bookmarkEnd w:id="103"/>
    </w:p>
    <w:p w:rsidR="00BB1D84" w:rsidRDefault="00BB1D84" w:rsidP="00BB1D84">
      <w:pPr>
        <w:pStyle w:val="Text1"/>
        <w:rPr>
          <w:noProof/>
        </w:rPr>
      </w:pPr>
      <w:r>
        <w:rPr>
          <w:rFonts w:ascii="Wingdings" w:eastAsia="Wingdings" w:hAnsi="Wingdings" w:cs="Wingdings"/>
          <w:noProof/>
        </w:rPr>
        <w:t></w:t>
      </w:r>
      <w:r>
        <w:rPr>
          <w:b/>
          <w:i/>
          <w:noProof/>
        </w:rPr>
        <w:t xml:space="preserve"> </w:t>
      </w:r>
      <w:r>
        <w:rPr>
          <w:b/>
          <w:noProof/>
        </w:rPr>
        <w:t xml:space="preserve">limited duration </w:t>
      </w:r>
    </w:p>
    <w:p w:rsidR="00BB1D84" w:rsidRDefault="00BB1D84" w:rsidP="00B24A04">
      <w:pPr>
        <w:pStyle w:val="Text1"/>
        <w:rPr>
          <w:noProof/>
        </w:rPr>
      </w:pPr>
      <w:r>
        <w:rPr>
          <w:rFonts w:ascii="Wingdings" w:eastAsia="Wingdings" w:hAnsi="Wingdings" w:cs="Wingdings"/>
          <w:noProof/>
        </w:rPr>
        <w:t></w:t>
      </w:r>
      <w:r w:rsidR="00355203">
        <w:rPr>
          <w:noProof/>
        </w:rPr>
        <w:t xml:space="preserve"> </w:t>
      </w:r>
      <w:r>
        <w:rPr>
          <w:noProof/>
        </w:rPr>
        <w:t xml:space="preserve">in effect from [DD/MM]YYYY to [DD/MM]YYYY </w:t>
      </w:r>
    </w:p>
    <w:p w:rsidR="00BB1D84" w:rsidRDefault="00BB1D84" w:rsidP="00B24A04">
      <w:pPr>
        <w:pStyle w:val="Text1"/>
        <w:rPr>
          <w:noProof/>
        </w:rPr>
      </w:pPr>
      <w:r>
        <w:rPr>
          <w:rFonts w:ascii="Wingdings" w:eastAsia="Wingdings" w:hAnsi="Wingdings" w:cs="Wingdings"/>
          <w:noProof/>
        </w:rPr>
        <w:t></w:t>
      </w:r>
      <w:r w:rsidR="00355203">
        <w:rPr>
          <w:noProof/>
        </w:rPr>
        <w:t xml:space="preserve"> </w:t>
      </w:r>
      <w:r>
        <w:rPr>
          <w:noProof/>
        </w:rPr>
        <w:t xml:space="preserve">financial impact from YYYY to YYYY for commitment appropriations and from YYYY to YYYY for payment appropriations. </w:t>
      </w:r>
    </w:p>
    <w:p w:rsidR="00BB1D84" w:rsidRDefault="00BB1D84" w:rsidP="00B24A04">
      <w:pPr>
        <w:pStyle w:val="Text1"/>
        <w:rPr>
          <w:noProof/>
        </w:rPr>
      </w:pPr>
      <w:r w:rsidRPr="3C399408">
        <w:rPr>
          <w:rFonts w:ascii="Wingdings" w:eastAsia="Wingdings" w:hAnsi="Wingdings" w:cs="Wingdings"/>
          <w:noProof/>
        </w:rPr>
        <w:t></w:t>
      </w:r>
      <w:r w:rsidRPr="3C399408">
        <w:rPr>
          <w:b/>
          <w:bCs/>
          <w:i/>
          <w:iCs/>
          <w:noProof/>
        </w:rPr>
        <w:t xml:space="preserve"> </w:t>
      </w:r>
      <w:r w:rsidRPr="3C399408">
        <w:rPr>
          <w:b/>
          <w:bCs/>
          <w:noProof/>
        </w:rPr>
        <w:t>unlimited duration</w:t>
      </w:r>
    </w:p>
    <w:p w:rsidR="00BB1D84" w:rsidRDefault="00BB1D84" w:rsidP="00B24A04">
      <w:pPr>
        <w:pStyle w:val="Text1"/>
        <w:rPr>
          <w:noProof/>
        </w:rPr>
      </w:pPr>
      <w:r w:rsidRPr="3DE926D5">
        <w:rPr>
          <w:noProof/>
        </w:rPr>
        <w:t xml:space="preserve">Implementation with a start-up period from </w:t>
      </w:r>
      <w:r w:rsidRPr="007129D2">
        <w:rPr>
          <w:noProof/>
        </w:rPr>
        <w:t>YYYY to YYYY,</w:t>
      </w:r>
    </w:p>
    <w:p w:rsidR="00BB1D84" w:rsidRDefault="00BB1D84" w:rsidP="00B24A04">
      <w:pPr>
        <w:pStyle w:val="Text1"/>
        <w:rPr>
          <w:noProof/>
        </w:rPr>
      </w:pPr>
      <w:r>
        <w:rPr>
          <w:noProof/>
        </w:rPr>
        <w:t>followed by full-scale operation.</w:t>
      </w:r>
    </w:p>
    <w:p w:rsidR="00BB1D84" w:rsidRDefault="00BB1D84" w:rsidP="00BB1D84">
      <w:pPr>
        <w:pStyle w:val="ManualHeading2"/>
        <w:rPr>
          <w:noProof/>
        </w:rPr>
      </w:pPr>
      <w:bookmarkStart w:id="104" w:name="_Toc514938040"/>
      <w:bookmarkStart w:id="105" w:name="_Toc520485041"/>
      <w:bookmarkStart w:id="106" w:name="_Toc160804583"/>
      <w:bookmarkStart w:id="107" w:name="_Toc234245510"/>
      <w:r>
        <w:rPr>
          <w:noProof/>
        </w:rPr>
        <w:t>1.7.</w:t>
      </w:r>
      <w:r>
        <w:rPr>
          <w:noProof/>
        </w:rPr>
        <w:tab/>
      </w:r>
      <w:r w:rsidRPr="3DE926D5">
        <w:rPr>
          <w:noProof/>
        </w:rPr>
        <w:t>Method(s) of budget implementation planne</w:t>
      </w:r>
      <w:bookmarkEnd w:id="104"/>
      <w:bookmarkEnd w:id="105"/>
      <w:bookmarkEnd w:id="106"/>
      <w:r w:rsidRPr="3DE926D5">
        <w:rPr>
          <w:noProof/>
        </w:rPr>
        <w:t>d</w:t>
      </w:r>
      <w:bookmarkEnd w:id="107"/>
      <w:r w:rsidRPr="3DE926D5">
        <w:rPr>
          <w:noProof/>
        </w:rPr>
        <w:t xml:space="preserve"> </w:t>
      </w:r>
    </w:p>
    <w:p w:rsidR="00BB1D84" w:rsidRDefault="00BB1D84" w:rsidP="00B24A04">
      <w:pPr>
        <w:pStyle w:val="Text1"/>
        <w:rPr>
          <w:noProof/>
        </w:rPr>
      </w:pPr>
      <w:r w:rsidRPr="3C399408">
        <w:rPr>
          <w:rFonts w:ascii="Wingdings" w:eastAsia="Wingdings" w:hAnsi="Wingdings" w:cs="Wingdings"/>
          <w:noProof/>
        </w:rPr>
        <w:t></w:t>
      </w:r>
      <w:r w:rsidRPr="3DE926D5">
        <w:rPr>
          <w:i/>
          <w:iCs/>
          <w:noProof/>
        </w:rPr>
        <w:t xml:space="preserve"> </w:t>
      </w:r>
      <w:r w:rsidRPr="3DE926D5">
        <w:rPr>
          <w:b/>
          <w:bCs/>
          <w:noProof/>
        </w:rPr>
        <w:t>Direct management</w:t>
      </w:r>
      <w:r w:rsidRPr="3DE926D5">
        <w:rPr>
          <w:noProof/>
        </w:rPr>
        <w:t xml:space="preserve"> by the Commission</w:t>
      </w:r>
    </w:p>
    <w:p w:rsidR="00BB1D84" w:rsidRDefault="00BB1D84" w:rsidP="00DD5E05">
      <w:pPr>
        <w:pStyle w:val="Text1"/>
        <w:ind w:firstLine="284"/>
        <w:rPr>
          <w:rFonts w:cs="EUAlbertina"/>
          <w:noProof/>
        </w:rPr>
      </w:pPr>
      <w:r w:rsidRPr="3C399408">
        <w:rPr>
          <w:rFonts w:ascii="Wingdings" w:eastAsia="Wingdings" w:hAnsi="Wingdings" w:cs="Wingdings"/>
          <w:noProof/>
        </w:rPr>
        <w:t></w:t>
      </w:r>
      <w:r w:rsidRPr="3DE926D5">
        <w:rPr>
          <w:noProof/>
        </w:rPr>
        <w:t xml:space="preserve"> by its departments, including by its staff in the Union delegations; </w:t>
      </w:r>
    </w:p>
    <w:p w:rsidR="00BB1D84" w:rsidRDefault="00BB1D84" w:rsidP="00DD5E05">
      <w:pPr>
        <w:pStyle w:val="Text1"/>
        <w:ind w:firstLine="284"/>
        <w:rPr>
          <w:noProof/>
        </w:rPr>
      </w:pPr>
      <w:r w:rsidRPr="3DE926D5">
        <w:rPr>
          <w:rFonts w:ascii="Wingdings" w:eastAsia="Wingdings" w:hAnsi="Wingdings" w:cs="Wingdings"/>
          <w:noProof/>
        </w:rPr>
        <w:t></w:t>
      </w:r>
      <w:r w:rsidR="00DD5E05">
        <w:rPr>
          <w:noProof/>
        </w:rPr>
        <w:t xml:space="preserve"> </w:t>
      </w:r>
      <w:r w:rsidRPr="3DE926D5">
        <w:rPr>
          <w:noProof/>
        </w:rPr>
        <w:t xml:space="preserve">by the executive agencies </w:t>
      </w:r>
    </w:p>
    <w:p w:rsidR="00BB1D84" w:rsidRDefault="00BB1D84" w:rsidP="00B24A04">
      <w:pPr>
        <w:pStyle w:val="Text1"/>
        <w:rPr>
          <w:noProof/>
        </w:rPr>
      </w:pPr>
      <w:r>
        <w:rPr>
          <w:rFonts w:ascii="Wingdings" w:eastAsia="Wingdings" w:hAnsi="Wingdings" w:cs="Wingdings"/>
          <w:noProof/>
        </w:rPr>
        <w:t></w:t>
      </w:r>
      <w:r>
        <w:rPr>
          <w:b/>
          <w:i/>
          <w:noProof/>
        </w:rPr>
        <w:t xml:space="preserve"> </w:t>
      </w:r>
      <w:r>
        <w:rPr>
          <w:b/>
          <w:noProof/>
        </w:rPr>
        <w:t>Shared management</w:t>
      </w:r>
      <w:r>
        <w:rPr>
          <w:noProof/>
        </w:rPr>
        <w:t xml:space="preserve"> with the Member States </w:t>
      </w:r>
    </w:p>
    <w:p w:rsidR="00BB1D84" w:rsidRDefault="00BB1D84" w:rsidP="00B24A04">
      <w:pPr>
        <w:pStyle w:val="Text1"/>
        <w:rPr>
          <w:noProof/>
        </w:rPr>
      </w:pPr>
      <w:r w:rsidRPr="3C399408">
        <w:rPr>
          <w:rFonts w:ascii="Wingdings" w:eastAsia="Wingdings" w:hAnsi="Wingdings" w:cs="Wingdings"/>
          <w:noProof/>
        </w:rPr>
        <w:t></w:t>
      </w:r>
      <w:r w:rsidRPr="3C399408">
        <w:rPr>
          <w:i/>
          <w:iCs/>
          <w:noProof/>
        </w:rPr>
        <w:t xml:space="preserve"> </w:t>
      </w:r>
      <w:r w:rsidRPr="3C399408">
        <w:rPr>
          <w:b/>
          <w:bCs/>
          <w:noProof/>
        </w:rPr>
        <w:t>Indirect management</w:t>
      </w:r>
      <w:r w:rsidRPr="3C399408">
        <w:rPr>
          <w:noProof/>
        </w:rPr>
        <w:t xml:space="preserve"> by entrusting budget implementation tasks to:</w:t>
      </w:r>
    </w:p>
    <w:p w:rsidR="00BB1D84" w:rsidRDefault="00BB1D84" w:rsidP="00DD5E05">
      <w:pPr>
        <w:pStyle w:val="Text1"/>
        <w:ind w:firstLine="284"/>
        <w:rPr>
          <w:noProof/>
        </w:rPr>
      </w:pPr>
      <w:r>
        <w:rPr>
          <w:rFonts w:ascii="Wingdings" w:eastAsia="Wingdings" w:hAnsi="Wingdings" w:cs="Wingdings"/>
          <w:noProof/>
        </w:rPr>
        <w:t></w:t>
      </w:r>
      <w:r>
        <w:rPr>
          <w:noProof/>
        </w:rPr>
        <w:t xml:space="preserve"> third countries or the bodies they have designated</w:t>
      </w:r>
    </w:p>
    <w:p w:rsidR="00BB1D84" w:rsidRDefault="00BB1D84" w:rsidP="00DD5E05">
      <w:pPr>
        <w:pStyle w:val="Text1"/>
        <w:ind w:firstLine="284"/>
        <w:rPr>
          <w:noProof/>
        </w:rPr>
      </w:pPr>
      <w:r>
        <w:rPr>
          <w:rFonts w:ascii="Wingdings" w:eastAsia="Wingdings" w:hAnsi="Wingdings" w:cs="Wingdings"/>
          <w:noProof/>
        </w:rPr>
        <w:t></w:t>
      </w:r>
      <w:r>
        <w:rPr>
          <w:noProof/>
        </w:rPr>
        <w:t xml:space="preserve"> international organisations and their agencies (to be specified)</w:t>
      </w:r>
    </w:p>
    <w:p w:rsidR="00BB1D84" w:rsidRDefault="00BB1D84" w:rsidP="00DD5E05">
      <w:pPr>
        <w:pStyle w:val="Text1"/>
        <w:ind w:firstLine="284"/>
        <w:rPr>
          <w:noProof/>
        </w:rPr>
      </w:pPr>
      <w:r>
        <w:rPr>
          <w:rFonts w:ascii="Wingdings" w:eastAsia="Wingdings" w:hAnsi="Wingdings" w:cs="Wingdings"/>
          <w:noProof/>
        </w:rPr>
        <w:t></w:t>
      </w:r>
      <w:r>
        <w:rPr>
          <w:noProof/>
        </w:rPr>
        <w:t xml:space="preserve"> the European Investment Bank and the European Investment Fund</w:t>
      </w:r>
    </w:p>
    <w:p w:rsidR="00BB1D84" w:rsidRDefault="00BB1D84" w:rsidP="00DD5E05">
      <w:pPr>
        <w:pStyle w:val="Text1"/>
        <w:ind w:firstLine="284"/>
        <w:rPr>
          <w:noProof/>
        </w:rPr>
      </w:pPr>
      <w:r w:rsidRPr="3C399408">
        <w:rPr>
          <w:rFonts w:ascii="Wingdings" w:eastAsia="Wingdings" w:hAnsi="Wingdings" w:cs="Wingdings"/>
          <w:noProof/>
        </w:rPr>
        <w:t></w:t>
      </w:r>
      <w:r w:rsidRPr="3C399408">
        <w:rPr>
          <w:noProof/>
        </w:rPr>
        <w:t xml:space="preserve"> bodies referred to in Articles 70 and 71 of the Financial Regulation</w:t>
      </w:r>
    </w:p>
    <w:p w:rsidR="00BB1D84" w:rsidRDefault="00BB1D84" w:rsidP="00DD5E05">
      <w:pPr>
        <w:pStyle w:val="Text1"/>
        <w:ind w:firstLine="284"/>
        <w:rPr>
          <w:noProof/>
        </w:rPr>
      </w:pPr>
      <w:r>
        <w:rPr>
          <w:rFonts w:ascii="Wingdings" w:eastAsia="Wingdings" w:hAnsi="Wingdings" w:cs="Wingdings"/>
          <w:noProof/>
        </w:rPr>
        <w:t></w:t>
      </w:r>
      <w:r>
        <w:rPr>
          <w:noProof/>
        </w:rPr>
        <w:t xml:space="preserve"> public law bodies</w:t>
      </w:r>
    </w:p>
    <w:p w:rsidR="00BB1D84" w:rsidRDefault="00BB1D84" w:rsidP="00DD5E05">
      <w:pPr>
        <w:pStyle w:val="Text1"/>
        <w:ind w:left="1418" w:hanging="284"/>
        <w:rPr>
          <w:noProof/>
        </w:rPr>
      </w:pPr>
      <w:r>
        <w:rPr>
          <w:rFonts w:ascii="Wingdings" w:eastAsia="Wingdings" w:hAnsi="Wingdings" w:cs="Wingdings"/>
          <w:noProof/>
        </w:rPr>
        <w:t></w:t>
      </w:r>
      <w:r>
        <w:rPr>
          <w:noProof/>
        </w:rPr>
        <w:t xml:space="preserve"> bodies governed by private law with a public service mission to the extent that they are provided with adequate financial guarantees</w:t>
      </w:r>
    </w:p>
    <w:p w:rsidR="00BB1D84" w:rsidRDefault="00BB1D84" w:rsidP="00DD5E05">
      <w:pPr>
        <w:pStyle w:val="Text1"/>
        <w:ind w:left="1418" w:hanging="284"/>
        <w:rPr>
          <w:noProof/>
        </w:rPr>
      </w:pPr>
      <w:r>
        <w:rPr>
          <w:rFonts w:ascii="Wingdings" w:eastAsia="Wingdings" w:hAnsi="Wingdings" w:cs="Wingdings"/>
          <w:noProof/>
        </w:rPr>
        <w:t></w:t>
      </w:r>
      <w:r>
        <w:rPr>
          <w:noProof/>
        </w:rPr>
        <w:t xml:space="preserve"> bodies governed by the private law of a Member State that are entrusted with the implementation of a public-private partnership and that are provided with adequate financial guarantees</w:t>
      </w:r>
    </w:p>
    <w:p w:rsidR="00BB1D84" w:rsidRDefault="00BB1D84" w:rsidP="00DD5E05">
      <w:pPr>
        <w:pStyle w:val="Text1"/>
        <w:ind w:left="1418" w:hanging="284"/>
        <w:rPr>
          <w:noProof/>
        </w:rPr>
      </w:pPr>
      <w:r>
        <w:rPr>
          <w:rFonts w:ascii="Wingdings" w:eastAsia="Wingdings" w:hAnsi="Wingdings" w:cs="Wingdings"/>
          <w:noProof/>
        </w:rPr>
        <w:t></w:t>
      </w:r>
      <w:r>
        <w:rPr>
          <w:noProof/>
        </w:rPr>
        <w:t xml:space="preserve"> bodies or persons entrusted with the implementation of specific actions in the common foreign and security policy pursuant to Title V of the Treaty on European Union, and identified in the relevant basic act</w:t>
      </w:r>
    </w:p>
    <w:p w:rsidR="00BB1D84" w:rsidRDefault="00BB1D84" w:rsidP="00DD5E05">
      <w:pPr>
        <w:pStyle w:val="Text1"/>
        <w:ind w:left="1418" w:hanging="284"/>
        <w:rPr>
          <w:noProof/>
        </w:rPr>
      </w:pPr>
      <w:r w:rsidRPr="3C399408">
        <w:rPr>
          <w:rFonts w:ascii="Wingdings" w:eastAsia="Wingdings" w:hAnsi="Wingdings" w:cs="Wingdings"/>
          <w:noProof/>
        </w:rPr>
        <w:t></w:t>
      </w:r>
      <w:r w:rsidR="00DD5E05">
        <w:rPr>
          <w:rFonts w:ascii="Wingdings" w:eastAsia="Wingdings" w:hAnsi="Wingdings" w:cs="Wingdings"/>
          <w:noProof/>
        </w:rPr>
        <w:t></w:t>
      </w:r>
      <w:r>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BB1D84" w:rsidRDefault="00BB1D84" w:rsidP="00BB1D84">
      <w:pPr>
        <w:rPr>
          <w:noProof/>
        </w:rPr>
      </w:pPr>
      <w:r>
        <w:rPr>
          <w:noProof/>
        </w:rPr>
        <w:t xml:space="preserve">Comments </w:t>
      </w:r>
    </w:p>
    <w:p w:rsidR="00BB1D84" w:rsidRPr="00725495" w:rsidRDefault="00BB1D84" w:rsidP="00BB1D84">
      <w:pPr>
        <w:pBdr>
          <w:top w:val="single" w:sz="4" w:space="1" w:color="auto"/>
          <w:left w:val="single" w:sz="4" w:space="4" w:color="auto"/>
          <w:bottom w:val="single" w:sz="4" w:space="1" w:color="auto"/>
          <w:right w:val="single" w:sz="4" w:space="4" w:color="auto"/>
        </w:pBdr>
        <w:rPr>
          <w:noProof/>
        </w:rPr>
      </w:pPr>
      <w:r w:rsidRPr="00725495">
        <w:rPr>
          <w:noProof/>
        </w:rPr>
        <w:t>N.A.</w:t>
      </w:r>
    </w:p>
    <w:p w:rsidR="00BB1D84" w:rsidRPr="00BB1D84" w:rsidRDefault="00BB1D84" w:rsidP="00BB1D84">
      <w:pPr>
        <w:rPr>
          <w:noProof/>
        </w:rPr>
        <w:sectPr w:rsidR="00BB1D84" w:rsidRPr="00BB1D84" w:rsidSect="00423DBB">
          <w:footnotePr>
            <w:numRestart w:val="eachSect"/>
          </w:footnotePr>
          <w:pgSz w:w="11907" w:h="16840" w:code="9"/>
          <w:pgMar w:top="1134" w:right="1418" w:bottom="1134" w:left="1418" w:header="709" w:footer="709" w:gutter="0"/>
          <w:cols w:space="708"/>
          <w:docGrid w:linePitch="360"/>
        </w:sectPr>
      </w:pPr>
    </w:p>
    <w:p w:rsidR="00BB1D84" w:rsidRPr="00BB1D84" w:rsidRDefault="00BB1D84" w:rsidP="00BB1D84">
      <w:pPr>
        <w:pStyle w:val="ManualHeading1"/>
        <w:rPr>
          <w:bCs/>
          <w:noProof/>
          <w:szCs w:val="24"/>
        </w:rPr>
      </w:pPr>
      <w:bookmarkStart w:id="108" w:name="_Toc514938041"/>
      <w:bookmarkStart w:id="109" w:name="_Toc520485042"/>
      <w:bookmarkStart w:id="110" w:name="_Toc160804584"/>
      <w:bookmarkStart w:id="111" w:name="_Toc234245511"/>
      <w:r w:rsidRPr="00BB1D84">
        <w:rPr>
          <w:noProof/>
        </w:rPr>
        <w:t>2.</w:t>
      </w:r>
      <w:r w:rsidRPr="00BB1D84">
        <w:rPr>
          <w:noProof/>
        </w:rPr>
        <w:tab/>
        <w:t>MANAGEMENT MEASURES</w:t>
      </w:r>
      <w:bookmarkEnd w:id="108"/>
      <w:bookmarkEnd w:id="109"/>
      <w:bookmarkEnd w:id="110"/>
      <w:bookmarkEnd w:id="111"/>
      <w:r w:rsidRPr="00BB1D84">
        <w:rPr>
          <w:noProof/>
        </w:rPr>
        <w:t xml:space="preserve"> </w:t>
      </w:r>
    </w:p>
    <w:p w:rsidR="00BB1D84" w:rsidRPr="00BB1D84" w:rsidRDefault="00BB1D84" w:rsidP="00BB1D84">
      <w:pPr>
        <w:pStyle w:val="ManualHeading2"/>
        <w:rPr>
          <w:noProof/>
        </w:rPr>
      </w:pPr>
      <w:bookmarkStart w:id="112" w:name="_Toc514938042"/>
      <w:bookmarkStart w:id="113" w:name="_Toc520485043"/>
      <w:bookmarkStart w:id="114" w:name="_Toc160804585"/>
      <w:bookmarkStart w:id="115" w:name="_Toc234245512"/>
      <w:r w:rsidRPr="00BB1D84">
        <w:rPr>
          <w:noProof/>
        </w:rPr>
        <w:t>2.1.</w:t>
      </w:r>
      <w:r w:rsidRPr="00BB1D84">
        <w:rPr>
          <w:noProof/>
        </w:rPr>
        <w:tab/>
        <w:t>Monitoring and reporting rules</w:t>
      </w:r>
      <w:bookmarkEnd w:id="112"/>
      <w:bookmarkEnd w:id="113"/>
      <w:bookmarkEnd w:id="114"/>
      <w:bookmarkEnd w:id="115"/>
      <w:r w:rsidRPr="00BB1D84">
        <w:rPr>
          <w:noProof/>
        </w:rPr>
        <w:t xml:space="preserv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According to its financial regulation, ACER has to provide, in the context of its Programming Document, an annual Work Programme including details on resources, both financial and human, per each of the activities carried out.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ACER reports monthly to DG ENER on budget execution, including commitments, and payments by budget title, and vacancy rates by type of staff.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In addition, DG ENER is directly represented in the governance bodies of ACER. Through its representatives in the Administrative Board, DG ENER will be informed of the use of the budget and the establishment plan at each of its meetings during the year.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Finally, also in line with financial rules, ACER is subject to annual requirements for reporting on activities and the use of resources through the Administrative Board and its Annual Activity Report.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tasks directly implemented by DG ENER, where appropriate with support from the JRC, will follow the annual cycle of planning and monitoring, as implemented in the Commission and the executive agencies, including reporting the results through the Annual Activity Report of DG ENER and the JRC.</w:t>
      </w:r>
    </w:p>
    <w:p w:rsidR="00BB1D84" w:rsidRPr="00BB1D84" w:rsidRDefault="00BB1D84" w:rsidP="00BB1D84">
      <w:pPr>
        <w:pStyle w:val="ManualHeading2"/>
        <w:rPr>
          <w:bCs/>
          <w:noProof/>
          <w:szCs w:val="24"/>
        </w:rPr>
      </w:pPr>
      <w:bookmarkStart w:id="116" w:name="_Toc514938045"/>
      <w:bookmarkStart w:id="117" w:name="_Toc520485044"/>
      <w:bookmarkStart w:id="118" w:name="_Toc160804586"/>
      <w:bookmarkStart w:id="119" w:name="_Toc234245513"/>
      <w:r w:rsidRPr="00BB1D84">
        <w:rPr>
          <w:noProof/>
        </w:rPr>
        <w:t>2.2.</w:t>
      </w:r>
      <w:r w:rsidRPr="00BB1D84">
        <w:rPr>
          <w:noProof/>
        </w:rPr>
        <w:tab/>
        <w:t>Management and control systems</w:t>
      </w:r>
      <w:bookmarkEnd w:id="116"/>
      <w:bookmarkEnd w:id="117"/>
      <w:bookmarkEnd w:id="118"/>
      <w:bookmarkEnd w:id="119"/>
    </w:p>
    <w:p w:rsidR="00BB1D84" w:rsidRPr="00BB1D84" w:rsidRDefault="00BB1D84" w:rsidP="00BB1D84">
      <w:pPr>
        <w:pStyle w:val="ManualHeading3"/>
        <w:rPr>
          <w:noProof/>
        </w:rPr>
      </w:pPr>
      <w:bookmarkStart w:id="120" w:name="_Toc514938046"/>
      <w:bookmarkStart w:id="121" w:name="_Toc520485045"/>
      <w:bookmarkStart w:id="122" w:name="_Toc160804587"/>
      <w:bookmarkStart w:id="123" w:name="_Toc234245514"/>
      <w:r w:rsidRPr="00BB1D84">
        <w:rPr>
          <w:noProof/>
        </w:rPr>
        <w:t>2.2.1.</w:t>
      </w:r>
      <w:r w:rsidRPr="00BB1D84">
        <w:rPr>
          <w:noProof/>
        </w:rPr>
        <w:tab/>
        <w:t>Justification of the budget implementation method(s), the funding implementation mechanism(s), the payment modalities and the control strategy proposed</w:t>
      </w:r>
      <w:bookmarkEnd w:id="120"/>
      <w:bookmarkEnd w:id="121"/>
      <w:bookmarkEnd w:id="122"/>
      <w:bookmarkEnd w:id="123"/>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Regarding requirements falling within the scope of the Commission, these tasks will be carried out primarily by DG ENER, with scientific and technical support from the JRC. Subject to implementation needs, some supporting activities may be carried out through public procurement, including expert studies, technical support, workshops, prototyping or validation exercises. In such cases, procurement would be implemented under direct management in full compliance with the Financial Regulation. The control strategy for these expenditures would follow the Commission’s standard ex ante and ex post legal, financial and operational controls.</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Regarding requirements falling within the scope of ACER, the Agency is best placed to carry out the tasks related to the preparation of recommendations and Union-level progress reports on smart grid indicators. While ACER will have to develop new expertise, it is nevertheless most cost-effective to allocate the new tasks under this proposal to an existing agency which already works on similar tasks. </w:t>
      </w:r>
    </w:p>
    <w:p w:rsidR="00BB1D84" w:rsidRPr="00BB1D84" w:rsidRDefault="00BB1D84" w:rsidP="00BB1D84">
      <w:pPr>
        <w:pStyle w:val="ManualHeading3"/>
        <w:rPr>
          <w:bCs/>
          <w:noProof/>
          <w:szCs w:val="24"/>
        </w:rPr>
      </w:pPr>
      <w:bookmarkStart w:id="124" w:name="_Toc514938047"/>
      <w:bookmarkStart w:id="125" w:name="_Toc520485046"/>
      <w:bookmarkStart w:id="126" w:name="_Toc160804588"/>
      <w:bookmarkStart w:id="127" w:name="_Toc234245515"/>
      <w:r w:rsidRPr="00BB1D84">
        <w:rPr>
          <w:noProof/>
        </w:rPr>
        <w:t>2.2.2.</w:t>
      </w:r>
      <w:r w:rsidRPr="00BB1D84">
        <w:rPr>
          <w:noProof/>
        </w:rPr>
        <w:tab/>
        <w:t>Information concerning the risks identified and the internal control system(s) set up to mitigate them</w:t>
      </w:r>
      <w:bookmarkEnd w:id="124"/>
      <w:bookmarkEnd w:id="125"/>
      <w:bookmarkEnd w:id="126"/>
      <w:bookmarkEnd w:id="127"/>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Energy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elements directly managed by DG Energy may be subject to the usual risks affecting public procurement procedures. These risks are considered low level as regards legality and regularity of the expenditure. Appropriate and effective controls are in place at corporate and DG level. Concerning performance, the main risk are wrong estimates as regards the workload created by this proposal, given that it introduces new tasks. This risk needs to be accepted, since, as experience has shown, if additional resources needs are not included in the initial proposal, it is very difficult to remedy this situation later on.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JRC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As part of the risk assessment process for its scientific activities, the JRC identifies potential risks, evaluates their level and plans necessary mitigating actions and identifies existing controls. The key risk identified refers to a) the estimation of the related workload for the new tasks associated to this proposal (the workload for some of the tasks might be underestimated); b) insufficient quantity or quality of the data to support the various new tasks. For a) the risk needs to be accepted; mitigation measures include careful staff planning throughout the duration of the activities to ensure appropriate expertise. For b) the actions include an early participation in designing and framing the data collection processes, as well as early identification, within each task requiring data intense activities, of the potential barriers to get access to the data of interest and early communication with DG ENER and relevant stakeholders to raise the issue of data availability.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ACER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As regards new tasks for ACER, the proposal includes several new tasks which mitigates this risk, since while the workload of some future tasks may be underestimated, others may be overestimated, providing scope for possible future redeployment.</w:t>
      </w:r>
    </w:p>
    <w:p w:rsidR="00BB1D84" w:rsidRPr="00BB1D84" w:rsidRDefault="00BB1D84" w:rsidP="00BB1D84">
      <w:pPr>
        <w:pStyle w:val="ManualHeading3"/>
        <w:rPr>
          <w:noProof/>
        </w:rPr>
      </w:pPr>
      <w:bookmarkStart w:id="128" w:name="_Toc514938048"/>
      <w:bookmarkStart w:id="129" w:name="_Toc520485047"/>
      <w:bookmarkStart w:id="130" w:name="_Toc160804589"/>
      <w:bookmarkStart w:id="131" w:name="_Toc234245516"/>
      <w:r w:rsidRPr="00BB1D84">
        <w:rPr>
          <w:noProof/>
        </w:rPr>
        <w:t>2.2.3.</w:t>
      </w:r>
      <w:r w:rsidRPr="00BB1D84">
        <w:rPr>
          <w:noProof/>
        </w:rPr>
        <w:tab/>
        <w:t>Estimation and justification of the cost-effectiveness of the controls (ratio between the control costs and the value of the related funds managed), and assessment of the expected levels of risk of error (at payment &amp; at closure)</w:t>
      </w:r>
      <w:bookmarkEnd w:id="128"/>
      <w:bookmarkEnd w:id="129"/>
      <w:bookmarkEnd w:id="130"/>
      <w:bookmarkEnd w:id="131"/>
      <w:r w:rsidRPr="00BB1D84">
        <w:rPr>
          <w:noProof/>
        </w:rPr>
        <w:t xml:space="preserv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Energy and DG JRC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tasks assigned for DG Energy will be implemented following already existing control system and the cost of control ratio is expected to remain stable (5 to 6% of the funds managed based on recent exercises).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ACER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The allocation of additional tasks for the existing mandate of ACER is not expected to generate specific additional controls at Agency level, therefore, the ratio of control costs over value of funds managed will remain unaltered for ACER.</w:t>
      </w:r>
    </w:p>
    <w:p w:rsidR="00BB1D84" w:rsidRPr="00BB1D84" w:rsidRDefault="00BB1D84" w:rsidP="00BB1D84">
      <w:pPr>
        <w:pStyle w:val="ManualHeading2"/>
        <w:rPr>
          <w:noProof/>
        </w:rPr>
      </w:pPr>
      <w:bookmarkStart w:id="132" w:name="_Toc514938049"/>
      <w:bookmarkStart w:id="133" w:name="_Toc520485048"/>
      <w:bookmarkStart w:id="134" w:name="_Toc160804590"/>
      <w:bookmarkStart w:id="135" w:name="_Toc234245517"/>
      <w:r w:rsidRPr="00BB1D84">
        <w:rPr>
          <w:noProof/>
        </w:rPr>
        <w:t>2.3.</w:t>
      </w:r>
      <w:r w:rsidRPr="00BB1D84">
        <w:rPr>
          <w:noProof/>
        </w:rPr>
        <w:tab/>
        <w:t>Measures to prevent fraud and irregularities</w:t>
      </w:r>
      <w:bookmarkEnd w:id="132"/>
      <w:bookmarkEnd w:id="133"/>
      <w:bookmarkEnd w:id="134"/>
      <w:bookmarkEnd w:id="135"/>
      <w:r w:rsidRPr="00BB1D84">
        <w:rPr>
          <w:noProof/>
        </w:rPr>
        <w:t xml:space="preserve">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Energy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Energy adopted a revised Anti-fraud Strategy in 2020 and, in 2023, a revised action plan covering the years 2023-2025. DG Energy is is currently revising its AFS for the years 2026-2028, in accordance with the OLAF methodology. The Energy AFS are based on the Commission Antifraud Strategy and on a specific risk assessment carried out internally to identify the areas most vulnerable to fraud, the controls already in place and the actions necessary to improve DG Energy’s capacity to prevent, detect and correct fraud.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DG JRC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The JRC Anti-Fraud Strategy, along with its accompanying Action Plan, was adopted in 2020 and modified in 2024 to revise and update the plan for the period 2025-2027. The updated plan includes three new actions: an awareness-raising campaign focusing on Commission ethics issues and anti-fraud measures, with relevant examples tailored for JRC scientific staff, launched in the first half of 2025; an expanded training programme featuring thematic sessions on topics such as conflict of interest, authorship, the use of AI, whistleblowing and reporting channels, among others; updated Sharepoint pages dedicated to ethics issues and anti-fraud measures. These new actions complement the ongoing efforts from the 2021-2024 Action Plan and JRC participation in the Commission Antifraud Strategy Action Plan. The JRC values its cooperation with OLAF, the internal control team, and other stakeholders in our collective efforts to combat fraud.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 xml:space="preserve">ACER </w:t>
      </w:r>
    </w:p>
    <w:p w:rsidR="00BB1D84" w:rsidRPr="00725495" w:rsidRDefault="00BB1D84" w:rsidP="00BB1D84">
      <w:pPr>
        <w:pStyle w:val="Text1"/>
        <w:pBdr>
          <w:top w:val="single" w:sz="4" w:space="1" w:color="auto"/>
          <w:left w:val="single" w:sz="4" w:space="4" w:color="auto"/>
          <w:bottom w:val="single" w:sz="4" w:space="1" w:color="auto"/>
          <w:right w:val="single" w:sz="4" w:space="4" w:color="auto"/>
        </w:pBdr>
        <w:rPr>
          <w:noProof/>
        </w:rPr>
      </w:pPr>
      <w:r w:rsidRPr="00725495">
        <w:rPr>
          <w:noProof/>
        </w:rPr>
        <w:t>ACER applies the anti-fraud principles of decentralised EU Agencies, in line with the Commission approach and the Guidelines by OLAF of 2024 for decentralised agencies and JUs. In December 2024 the Agency adopted a new Anti-Fraud Strategy, repealing Decision 15/2021 of the Administrative Board of the Agency. The new strategy, spanning the period 2025-2027, is based on the following strategic objectives: optimise existing fraud prevention measures, enhance timeliness and accuracy of existing detection systems, strengthen investigation protocols, and optimise corrective actions for swift recoveries.</w:t>
      </w:r>
    </w:p>
    <w:p w:rsidR="00BB1D84" w:rsidRDefault="00BB1D84" w:rsidP="00BB1D84">
      <w:pPr>
        <w:rPr>
          <w:noProof/>
        </w:rPr>
        <w:sectPr w:rsidR="00BB1D84" w:rsidSect="00423DBB">
          <w:pgSz w:w="11907" w:h="16840" w:code="9"/>
          <w:pgMar w:top="1134" w:right="1418" w:bottom="1134" w:left="1418" w:header="709" w:footer="709" w:gutter="0"/>
          <w:cols w:space="708"/>
          <w:docGrid w:linePitch="360"/>
        </w:sectPr>
      </w:pPr>
    </w:p>
    <w:p w:rsidR="00BB1D84" w:rsidRDefault="00BB1D84" w:rsidP="00BB1D84">
      <w:pPr>
        <w:pStyle w:val="ManualHeading1"/>
        <w:rPr>
          <w:noProof/>
        </w:rPr>
      </w:pPr>
      <w:bookmarkStart w:id="136" w:name="_Toc514938050"/>
      <w:bookmarkStart w:id="137" w:name="_Toc520485049"/>
      <w:bookmarkStart w:id="138" w:name="_Toc160804591"/>
      <w:bookmarkStart w:id="139" w:name="_Toc234245518"/>
      <w:r w:rsidRPr="0021790A">
        <w:rPr>
          <w:noProof/>
        </w:rPr>
        <w:t>3.</w:t>
      </w:r>
      <w:r w:rsidRPr="0021790A">
        <w:rPr>
          <w:noProof/>
        </w:rPr>
        <w:tab/>
      </w:r>
      <w:r>
        <w:rPr>
          <w:noProof/>
        </w:rPr>
        <w:t>ESTIMATED FINANCIAL IMPACT OF THE PROPOSAL/INITIATIVE</w:t>
      </w:r>
      <w:bookmarkEnd w:id="136"/>
      <w:bookmarkEnd w:id="137"/>
      <w:bookmarkEnd w:id="138"/>
      <w:bookmarkEnd w:id="139"/>
      <w:r>
        <w:rPr>
          <w:noProof/>
        </w:rPr>
        <w:t xml:space="preserve"> </w:t>
      </w:r>
    </w:p>
    <w:p w:rsidR="00BB1D84" w:rsidRDefault="00BB1D84" w:rsidP="00BB1D84">
      <w:pPr>
        <w:pStyle w:val="ManualHeading2"/>
        <w:rPr>
          <w:noProof/>
        </w:rPr>
      </w:pPr>
      <w:bookmarkStart w:id="140" w:name="_Toc514938051"/>
      <w:bookmarkStart w:id="141" w:name="_Toc520485050"/>
      <w:bookmarkStart w:id="142" w:name="_Toc160804592"/>
      <w:bookmarkStart w:id="143" w:name="_Toc234245519"/>
      <w:r w:rsidRPr="0021790A">
        <w:rPr>
          <w:noProof/>
        </w:rPr>
        <w:t>3.1.</w:t>
      </w:r>
      <w:r w:rsidRPr="0021790A">
        <w:rPr>
          <w:noProof/>
        </w:rPr>
        <w:tab/>
      </w:r>
      <w:r>
        <w:rPr>
          <w:noProof/>
        </w:rPr>
        <w:t>Heading(s) of the multiannual financial framework and expenditure budget line(s) affected</w:t>
      </w:r>
      <w:bookmarkEnd w:id="140"/>
      <w:bookmarkEnd w:id="141"/>
      <w:bookmarkEnd w:id="142"/>
      <w:bookmarkEnd w:id="143"/>
      <w:r>
        <w:rPr>
          <w:noProof/>
        </w:rPr>
        <w:t xml:space="preserve"> </w:t>
      </w:r>
    </w:p>
    <w:p w:rsidR="00BB1D84" w:rsidRDefault="00BB1D84" w:rsidP="007B26E6">
      <w:pPr>
        <w:pStyle w:val="Bullet1"/>
        <w:rPr>
          <w:noProof/>
        </w:rPr>
      </w:pPr>
      <w:r>
        <w:rPr>
          <w:noProof/>
        </w:rPr>
        <w:t xml:space="preserve">Existing budget lines </w:t>
      </w:r>
    </w:p>
    <w:p w:rsidR="00BB1D84" w:rsidRDefault="00BB1D84" w:rsidP="00BB1D84">
      <w:pPr>
        <w:pStyle w:val="Text1"/>
        <w:rPr>
          <w:i/>
          <w:noProof/>
        </w:rPr>
      </w:pPr>
      <w:r w:rsidRPr="009B753E">
        <w:rPr>
          <w:i/>
          <w:noProof/>
          <w:u w:val="single"/>
        </w:rPr>
        <w:t>In order</w:t>
      </w:r>
      <w:r w:rsidRPr="009B753E">
        <w:rPr>
          <w:i/>
          <w:noProof/>
        </w:rPr>
        <w:t xml:space="preserve"> of multiannual financial framework headings and budget lines.</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1"/>
        <w:gridCol w:w="3689"/>
        <w:gridCol w:w="1021"/>
        <w:gridCol w:w="905"/>
        <w:gridCol w:w="1021"/>
        <w:gridCol w:w="905"/>
        <w:gridCol w:w="1361"/>
      </w:tblGrid>
      <w:tr w:rsidR="00BB1D84" w:rsidTr="00BB1D84">
        <w:trPr>
          <w:jc w:val="center"/>
        </w:trPr>
        <w:tc>
          <w:tcPr>
            <w:tcW w:w="1092" w:type="dxa"/>
            <w:vMerge w:val="restart"/>
            <w:vAlign w:val="center"/>
          </w:tcPr>
          <w:p w:rsidR="00BB1D84" w:rsidRPr="003A769F" w:rsidRDefault="00BB1D84">
            <w:pPr>
              <w:spacing w:before="60" w:after="60"/>
              <w:jc w:val="center"/>
              <w:rPr>
                <w:noProof/>
                <w:lang w:val="en-IE"/>
              </w:rPr>
            </w:pPr>
            <w:r w:rsidRPr="003A769F">
              <w:rPr>
                <w:noProof/>
                <w:sz w:val="18"/>
                <w:lang w:val="en-IE"/>
              </w:rPr>
              <w:t>Heading of multiannual financial framework</w:t>
            </w:r>
          </w:p>
        </w:tc>
        <w:tc>
          <w:tcPr>
            <w:tcW w:w="4002" w:type="dxa"/>
            <w:vAlign w:val="center"/>
          </w:tcPr>
          <w:p w:rsidR="00BB1D84" w:rsidRDefault="00BB1D84">
            <w:pPr>
              <w:spacing w:before="60" w:after="60"/>
              <w:jc w:val="center"/>
              <w:rPr>
                <w:noProof/>
              </w:rPr>
            </w:pPr>
            <w:r>
              <w:rPr>
                <w:noProof/>
                <w:sz w:val="20"/>
              </w:rPr>
              <w:t>Budget line</w:t>
            </w:r>
          </w:p>
        </w:tc>
        <w:tc>
          <w:tcPr>
            <w:tcW w:w="1092" w:type="dxa"/>
            <w:vAlign w:val="center"/>
          </w:tcPr>
          <w:p w:rsidR="00BB1D84" w:rsidRDefault="00BB1D84">
            <w:pPr>
              <w:spacing w:before="60" w:after="60"/>
              <w:jc w:val="center"/>
              <w:rPr>
                <w:noProof/>
              </w:rPr>
            </w:pPr>
            <w:r>
              <w:rPr>
                <w:noProof/>
                <w:sz w:val="18"/>
              </w:rPr>
              <w:t>Type of expenditure</w:t>
            </w:r>
          </w:p>
        </w:tc>
        <w:tc>
          <w:tcPr>
            <w:tcW w:w="4487" w:type="dxa"/>
            <w:gridSpan w:val="4"/>
            <w:vAlign w:val="center"/>
          </w:tcPr>
          <w:p w:rsidR="00BB1D84" w:rsidRDefault="00BB1D84">
            <w:pPr>
              <w:spacing w:before="60" w:after="60"/>
              <w:jc w:val="center"/>
              <w:rPr>
                <w:noProof/>
              </w:rPr>
            </w:pPr>
            <w:r>
              <w:rPr>
                <w:noProof/>
                <w:sz w:val="20"/>
              </w:rPr>
              <w:t xml:space="preserve">Contribution </w:t>
            </w:r>
          </w:p>
        </w:tc>
      </w:tr>
      <w:tr w:rsidR="00BB1D84" w:rsidRPr="00FF5DD8" w:rsidTr="00BB1D84">
        <w:trPr>
          <w:jc w:val="center"/>
        </w:trPr>
        <w:tc>
          <w:tcPr>
            <w:tcW w:w="1092" w:type="dxa"/>
            <w:vMerge/>
            <w:vAlign w:val="center"/>
          </w:tcPr>
          <w:p w:rsidR="00BB1D84" w:rsidRPr="00FF5DD8" w:rsidRDefault="00BB1D84">
            <w:pPr>
              <w:jc w:val="center"/>
              <w:rPr>
                <w:noProof/>
              </w:rPr>
            </w:pPr>
          </w:p>
        </w:tc>
        <w:tc>
          <w:tcPr>
            <w:tcW w:w="4002" w:type="dxa"/>
            <w:vAlign w:val="center"/>
          </w:tcPr>
          <w:p w:rsidR="00BB1D84" w:rsidRPr="00FF5DD8" w:rsidRDefault="00BB1D84">
            <w:pPr>
              <w:rPr>
                <w:noProof/>
              </w:rPr>
            </w:pPr>
            <w:r w:rsidRPr="00FF5DD8">
              <w:rPr>
                <w:noProof/>
                <w:sz w:val="20"/>
              </w:rPr>
              <w:t xml:space="preserve">Number </w:t>
            </w:r>
            <w:r w:rsidRPr="00FF5DD8">
              <w:rPr>
                <w:noProof/>
                <w:sz w:val="22"/>
              </w:rPr>
              <w:br/>
            </w:r>
          </w:p>
        </w:tc>
        <w:tc>
          <w:tcPr>
            <w:tcW w:w="1092" w:type="dxa"/>
            <w:vAlign w:val="center"/>
          </w:tcPr>
          <w:p w:rsidR="00BB1D84" w:rsidRPr="00FF5DD8" w:rsidRDefault="00BB1D84">
            <w:pPr>
              <w:jc w:val="center"/>
              <w:rPr>
                <w:noProof/>
              </w:rPr>
            </w:pPr>
            <w:r w:rsidRPr="00FF5DD8">
              <w:rPr>
                <w:noProof/>
                <w:sz w:val="18"/>
              </w:rPr>
              <w:t>Diff./Non-diff.</w:t>
            </w:r>
            <w:r w:rsidRPr="00FF5DD8">
              <w:rPr>
                <w:rStyle w:val="FootnoteReference"/>
                <w:noProof/>
                <w:sz w:val="18"/>
              </w:rPr>
              <w:footnoteReference w:id="45"/>
            </w:r>
          </w:p>
        </w:tc>
        <w:tc>
          <w:tcPr>
            <w:tcW w:w="966" w:type="dxa"/>
            <w:vAlign w:val="center"/>
          </w:tcPr>
          <w:p w:rsidR="00BB1D84" w:rsidRPr="00FF5DD8" w:rsidRDefault="00BB1D84">
            <w:pPr>
              <w:jc w:val="center"/>
              <w:rPr>
                <w:b/>
                <w:noProof/>
                <w:sz w:val="18"/>
              </w:rPr>
            </w:pPr>
            <w:r w:rsidRPr="00FF5DD8">
              <w:rPr>
                <w:noProof/>
                <w:sz w:val="18"/>
              </w:rPr>
              <w:t>from EFTA countries</w:t>
            </w:r>
            <w:r w:rsidRPr="00FF5DD8">
              <w:rPr>
                <w:rStyle w:val="FootnoteReference"/>
                <w:noProof/>
                <w:sz w:val="18"/>
              </w:rPr>
              <w:footnoteReference w:id="46"/>
            </w:r>
          </w:p>
        </w:tc>
        <w:tc>
          <w:tcPr>
            <w:tcW w:w="1092" w:type="dxa"/>
            <w:vAlign w:val="center"/>
          </w:tcPr>
          <w:p w:rsidR="00BB1D84" w:rsidRPr="003A769F" w:rsidRDefault="00BB1D84">
            <w:pPr>
              <w:jc w:val="center"/>
              <w:rPr>
                <w:noProof/>
                <w:sz w:val="18"/>
                <w:lang w:val="en-IE"/>
              </w:rPr>
            </w:pPr>
            <w:r w:rsidRPr="003A769F">
              <w:rPr>
                <w:noProof/>
                <w:sz w:val="18"/>
                <w:lang w:val="en-IE"/>
              </w:rPr>
              <w:t>from candidate countries and potential candidates</w:t>
            </w:r>
            <w:r w:rsidRPr="00FF5DD8">
              <w:rPr>
                <w:rStyle w:val="FootnoteReference"/>
                <w:noProof/>
                <w:sz w:val="18"/>
              </w:rPr>
              <w:footnoteReference w:id="47"/>
            </w:r>
          </w:p>
        </w:tc>
        <w:tc>
          <w:tcPr>
            <w:tcW w:w="966" w:type="dxa"/>
            <w:vAlign w:val="center"/>
          </w:tcPr>
          <w:p w:rsidR="00BB1D84" w:rsidRPr="00FF5DD8" w:rsidRDefault="00BB1D84">
            <w:pPr>
              <w:jc w:val="center"/>
              <w:rPr>
                <w:noProof/>
                <w:sz w:val="18"/>
              </w:rPr>
            </w:pPr>
            <w:r>
              <w:rPr>
                <w:noProof/>
                <w:sz w:val="18"/>
              </w:rPr>
              <w:t>F</w:t>
            </w:r>
            <w:r w:rsidRPr="00FF5DD8">
              <w:rPr>
                <w:noProof/>
                <w:sz w:val="18"/>
              </w:rPr>
              <w:t>rom</w:t>
            </w:r>
            <w:r>
              <w:rPr>
                <w:noProof/>
                <w:sz w:val="18"/>
              </w:rPr>
              <w:t xml:space="preserve"> other </w:t>
            </w:r>
            <w:r w:rsidRPr="00FF5DD8">
              <w:rPr>
                <w:noProof/>
                <w:sz w:val="18"/>
              </w:rPr>
              <w:t>third countries</w:t>
            </w:r>
          </w:p>
        </w:tc>
        <w:tc>
          <w:tcPr>
            <w:tcW w:w="1463" w:type="dxa"/>
            <w:vAlign w:val="center"/>
          </w:tcPr>
          <w:p w:rsidR="00BB1D84" w:rsidRPr="00FF5DD8" w:rsidRDefault="00BB1D84">
            <w:pPr>
              <w:jc w:val="center"/>
              <w:rPr>
                <w:noProof/>
              </w:rPr>
            </w:pPr>
            <w:r w:rsidRPr="00154373">
              <w:rPr>
                <w:noProof/>
                <w:sz w:val="18"/>
                <w:szCs w:val="18"/>
                <w:lang w:val="en-IE"/>
              </w:rPr>
              <w:t>other assigned revenue</w:t>
            </w:r>
          </w:p>
        </w:tc>
      </w:tr>
      <w:tr w:rsidR="00BB1D84" w:rsidTr="00BB1D84">
        <w:trPr>
          <w:jc w:val="center"/>
        </w:trPr>
        <w:tc>
          <w:tcPr>
            <w:tcW w:w="1092" w:type="dxa"/>
            <w:vAlign w:val="center"/>
          </w:tcPr>
          <w:p w:rsidR="00BB1D84" w:rsidRDefault="00BB1D84">
            <w:pPr>
              <w:jc w:val="center"/>
              <w:rPr>
                <w:noProof/>
                <w:color w:val="0000FF"/>
              </w:rPr>
            </w:pPr>
            <w:r w:rsidRPr="000D16D1">
              <w:rPr>
                <w:noProof/>
              </w:rPr>
              <w:t>1</w:t>
            </w:r>
          </w:p>
        </w:tc>
        <w:tc>
          <w:tcPr>
            <w:tcW w:w="4002" w:type="dxa"/>
            <w:vAlign w:val="center"/>
          </w:tcPr>
          <w:p w:rsidR="00BB1D84" w:rsidRDefault="00BB1D84">
            <w:pPr>
              <w:spacing w:before="60"/>
              <w:rPr>
                <w:noProof/>
              </w:rPr>
            </w:pPr>
            <w:r>
              <w:rPr>
                <w:noProof/>
                <w:sz w:val="22"/>
              </w:rPr>
              <w:t>02.10.03 European Union Agency for the Cooperation of Energy Regulators (ACER)</w:t>
            </w:r>
          </w:p>
        </w:tc>
        <w:tc>
          <w:tcPr>
            <w:tcW w:w="1092" w:type="dxa"/>
            <w:vAlign w:val="center"/>
          </w:tcPr>
          <w:p w:rsidR="00BB1D84" w:rsidRDefault="00BB1D84">
            <w:pPr>
              <w:jc w:val="center"/>
              <w:rPr>
                <w:noProof/>
                <w:color w:val="0000FF"/>
              </w:rPr>
            </w:pPr>
            <w:r>
              <w:rPr>
                <w:noProof/>
                <w:sz w:val="22"/>
              </w:rPr>
              <w:t>Diff.</w:t>
            </w:r>
          </w:p>
        </w:tc>
        <w:tc>
          <w:tcPr>
            <w:tcW w:w="966" w:type="dxa"/>
            <w:vAlign w:val="center"/>
          </w:tcPr>
          <w:p w:rsidR="00BB1D84" w:rsidRPr="008D0E8A" w:rsidRDefault="00BB1D84">
            <w:pPr>
              <w:jc w:val="center"/>
              <w:rPr>
                <w:noProof/>
                <w:sz w:val="20"/>
                <w:szCs w:val="20"/>
              </w:rPr>
            </w:pPr>
            <w:r w:rsidRPr="007974DD">
              <w:rPr>
                <w:noProof/>
                <w:sz w:val="20"/>
                <w:szCs w:val="20"/>
              </w:rPr>
              <w:t>YES</w:t>
            </w:r>
          </w:p>
        </w:tc>
        <w:tc>
          <w:tcPr>
            <w:tcW w:w="1092" w:type="dxa"/>
            <w:vAlign w:val="center"/>
          </w:tcPr>
          <w:p w:rsidR="00BB1D84" w:rsidRPr="008D0E8A" w:rsidRDefault="00BB1D84">
            <w:pPr>
              <w:jc w:val="center"/>
              <w:rPr>
                <w:noProof/>
                <w:sz w:val="20"/>
                <w:szCs w:val="20"/>
              </w:rPr>
            </w:pPr>
            <w:r w:rsidRPr="007974DD">
              <w:rPr>
                <w:noProof/>
                <w:sz w:val="20"/>
                <w:szCs w:val="20"/>
              </w:rPr>
              <w:t>NO</w:t>
            </w:r>
          </w:p>
        </w:tc>
        <w:tc>
          <w:tcPr>
            <w:tcW w:w="966" w:type="dxa"/>
            <w:vAlign w:val="center"/>
          </w:tcPr>
          <w:p w:rsidR="00BB1D84" w:rsidRPr="008D0E8A" w:rsidRDefault="00BB1D84">
            <w:pPr>
              <w:jc w:val="center"/>
              <w:rPr>
                <w:noProof/>
                <w:sz w:val="20"/>
                <w:szCs w:val="20"/>
              </w:rPr>
            </w:pPr>
            <w:r>
              <w:rPr>
                <w:noProof/>
                <w:sz w:val="20"/>
                <w:szCs w:val="20"/>
              </w:rPr>
              <w:t>NO</w:t>
            </w:r>
          </w:p>
        </w:tc>
        <w:tc>
          <w:tcPr>
            <w:tcW w:w="1463" w:type="dxa"/>
            <w:vAlign w:val="center"/>
          </w:tcPr>
          <w:p w:rsidR="00BB1D84" w:rsidRPr="008D0E8A" w:rsidRDefault="00BB1D84">
            <w:pPr>
              <w:jc w:val="center"/>
              <w:rPr>
                <w:noProof/>
                <w:sz w:val="20"/>
                <w:szCs w:val="20"/>
              </w:rPr>
            </w:pPr>
            <w:r>
              <w:rPr>
                <w:noProof/>
                <w:sz w:val="20"/>
                <w:szCs w:val="20"/>
              </w:rPr>
              <w:t>NO</w:t>
            </w:r>
          </w:p>
        </w:tc>
      </w:tr>
    </w:tbl>
    <w:p w:rsidR="00BB1D84" w:rsidRDefault="00BB1D84" w:rsidP="00BB1D84">
      <w:pPr>
        <w:rPr>
          <w:noProof/>
        </w:rPr>
        <w:sectPr w:rsidR="00BB1D84" w:rsidSect="00423DBB">
          <w:footnotePr>
            <w:numRestart w:val="eachSect"/>
          </w:footnotePr>
          <w:pgSz w:w="11907" w:h="16840" w:code="1"/>
          <w:pgMar w:top="1134" w:right="1418" w:bottom="1134" w:left="1418" w:header="709" w:footer="709" w:gutter="0"/>
          <w:cols w:space="708"/>
          <w:docGrid w:linePitch="360"/>
        </w:sectPr>
      </w:pPr>
    </w:p>
    <w:p w:rsidR="00BB1D84" w:rsidRDefault="00BB1D84" w:rsidP="00BB1D84">
      <w:pPr>
        <w:pStyle w:val="ManualHeading2"/>
        <w:rPr>
          <w:bCs/>
          <w:noProof/>
          <w:szCs w:val="24"/>
        </w:rPr>
      </w:pPr>
      <w:bookmarkStart w:id="144" w:name="_Toc514938052"/>
      <w:bookmarkStart w:id="145" w:name="_Toc520485051"/>
      <w:bookmarkStart w:id="146" w:name="_Toc160804593"/>
      <w:bookmarkStart w:id="147" w:name="_Toc234245520"/>
      <w:r w:rsidRPr="0021790A">
        <w:rPr>
          <w:noProof/>
        </w:rPr>
        <w:t>3.2.</w:t>
      </w:r>
      <w:r w:rsidRPr="0021790A">
        <w:rPr>
          <w:noProof/>
        </w:rPr>
        <w:tab/>
      </w:r>
      <w:r>
        <w:rPr>
          <w:noProof/>
        </w:rPr>
        <w:t>Estimated financial impact of the proposal on appropriations</w:t>
      </w:r>
      <w:bookmarkEnd w:id="144"/>
      <w:bookmarkEnd w:id="145"/>
      <w:bookmarkEnd w:id="146"/>
      <w:bookmarkEnd w:id="147"/>
      <w:r>
        <w:rPr>
          <w:noProof/>
        </w:rPr>
        <w:t xml:space="preserve"> </w:t>
      </w:r>
    </w:p>
    <w:p w:rsidR="00BB1D84" w:rsidRPr="00406A4A" w:rsidRDefault="00BB1D84" w:rsidP="00BB1D84">
      <w:pPr>
        <w:pStyle w:val="ManualHeading3"/>
        <w:rPr>
          <w:noProof/>
          <w:color w:val="0000FF"/>
        </w:rPr>
      </w:pPr>
      <w:bookmarkStart w:id="148" w:name="_Toc514938053"/>
      <w:bookmarkStart w:id="149" w:name="_Toc520485052"/>
      <w:bookmarkStart w:id="150" w:name="_Toc160804594"/>
      <w:bookmarkStart w:id="151" w:name="_Toc234245521"/>
      <w:r w:rsidRPr="0021790A">
        <w:rPr>
          <w:noProof/>
        </w:rPr>
        <w:t>3.2.1.</w:t>
      </w:r>
      <w:r w:rsidRPr="0021790A">
        <w:rPr>
          <w:noProof/>
        </w:rPr>
        <w:tab/>
      </w:r>
      <w:r>
        <w:rPr>
          <w:noProof/>
        </w:rPr>
        <w:t>Summary of estimated impact on operational appropriations</w:t>
      </w:r>
      <w:bookmarkEnd w:id="148"/>
      <w:bookmarkEnd w:id="149"/>
      <w:bookmarkEnd w:id="150"/>
      <w:bookmarkEnd w:id="151"/>
    </w:p>
    <w:p w:rsidR="00BB1D84" w:rsidRDefault="00BB1D84" w:rsidP="00B24A04">
      <w:pPr>
        <w:pStyle w:val="Text1"/>
        <w:rPr>
          <w:noProof/>
        </w:rPr>
      </w:pPr>
      <w:r>
        <w:rPr>
          <w:rFonts w:ascii="Wingdings" w:eastAsia="Wingdings" w:hAnsi="Wingdings" w:cs="Wingdings"/>
          <w:noProof/>
        </w:rPr>
        <w:t></w:t>
      </w:r>
      <w:r>
        <w:rPr>
          <w:noProof/>
        </w:rPr>
        <w:tab/>
        <w:t xml:space="preserve">The proposal/initiative does not require the use of operational appropriations </w:t>
      </w:r>
    </w:p>
    <w:p w:rsidR="00BB1D84" w:rsidRDefault="00BB1D84" w:rsidP="00B24A04">
      <w:pPr>
        <w:pStyle w:val="Text1"/>
        <w:rPr>
          <w:noProof/>
        </w:rPr>
      </w:pPr>
      <w:r>
        <w:rPr>
          <w:rFonts w:ascii="Wingdings" w:eastAsia="Wingdings" w:hAnsi="Wingdings" w:cs="Wingdings"/>
          <w:noProof/>
        </w:rPr>
        <w:t></w:t>
      </w:r>
      <w:r>
        <w:rPr>
          <w:noProof/>
        </w:rPr>
        <w:tab/>
        <w:t>The proposal/initiative requires the use of operational appropriations, as explained below</w:t>
      </w:r>
    </w:p>
    <w:p w:rsidR="00BB1D84" w:rsidRDefault="00BB1D84" w:rsidP="007B26E6">
      <w:pPr>
        <w:pStyle w:val="ManualHeading4"/>
        <w:rPr>
          <w:noProof/>
        </w:rPr>
      </w:pPr>
      <w:bookmarkStart w:id="152" w:name="_Toc160804595"/>
      <w:bookmarkStart w:id="153" w:name="_Hlk177487747"/>
      <w:r>
        <w:rPr>
          <w:noProof/>
        </w:rPr>
        <w:t>3.2.1.1.</w:t>
      </w:r>
      <w:r>
        <w:rPr>
          <w:noProof/>
        </w:rPr>
        <w:tab/>
        <w:t>Appropriations from voted budget</w:t>
      </w:r>
      <w:bookmarkEnd w:id="152"/>
    </w:p>
    <w:bookmarkEnd w:id="153"/>
    <w:p w:rsidR="00BB1D84" w:rsidRPr="003A769F" w:rsidRDefault="00BB1D84" w:rsidP="00BB1D84">
      <w:pPr>
        <w:jc w:val="right"/>
        <w:rPr>
          <w:noProof/>
          <w:sz w:val="18"/>
          <w:szCs w:val="18"/>
          <w:lang w:val="en-IE"/>
        </w:rPr>
      </w:pPr>
      <w:r w:rsidRPr="003A769F">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1334"/>
        <w:gridCol w:w="11"/>
        <w:gridCol w:w="1115"/>
        <w:gridCol w:w="148"/>
        <w:gridCol w:w="1263"/>
        <w:gridCol w:w="1263"/>
        <w:gridCol w:w="1263"/>
        <w:gridCol w:w="1214"/>
        <w:gridCol w:w="1502"/>
        <w:gridCol w:w="1499"/>
      </w:tblGrid>
      <w:tr w:rsidR="00BB1D84" w:rsidTr="003E2E63">
        <w:tc>
          <w:tcPr>
            <w:tcW w:w="1738" w:type="pct"/>
            <w:gridSpan w:val="2"/>
            <w:shd w:val="thinDiagStripe" w:color="C0C0C0" w:fill="auto"/>
            <w:vAlign w:val="center"/>
          </w:tcPr>
          <w:p w:rsidR="00BB1D84" w:rsidRPr="003A769F" w:rsidRDefault="00BB1D84">
            <w:pPr>
              <w:spacing w:before="60" w:after="60"/>
              <w:jc w:val="center"/>
              <w:rPr>
                <w:b/>
                <w:noProof/>
                <w:lang w:val="en-IE"/>
              </w:rPr>
            </w:pPr>
            <w:r w:rsidRPr="003A769F">
              <w:rPr>
                <w:b/>
                <w:noProof/>
                <w:sz w:val="22"/>
                <w:lang w:val="en-IE"/>
              </w:rPr>
              <w:t xml:space="preserve">Heading of multiannual financial </w:t>
            </w:r>
            <w:r>
              <w:rPr>
                <w:b/>
                <w:noProof/>
                <w:sz w:val="22"/>
                <w:lang w:val="en-IE"/>
              </w:rPr>
              <w:t xml:space="preserve"> </w:t>
            </w:r>
            <w:r w:rsidRPr="003A769F">
              <w:rPr>
                <w:b/>
                <w:noProof/>
                <w:sz w:val="22"/>
                <w:lang w:val="en-IE"/>
              </w:rPr>
              <w:t xml:space="preserve">framework </w:t>
            </w:r>
          </w:p>
        </w:tc>
        <w:tc>
          <w:tcPr>
            <w:tcW w:w="396" w:type="pct"/>
            <w:gridSpan w:val="2"/>
            <w:vAlign w:val="center"/>
          </w:tcPr>
          <w:p w:rsidR="00BB1D84" w:rsidRDefault="00BB1D84">
            <w:pPr>
              <w:spacing w:before="60" w:after="60"/>
              <w:jc w:val="center"/>
              <w:rPr>
                <w:noProof/>
              </w:rPr>
            </w:pPr>
            <w:r>
              <w:rPr>
                <w:noProof/>
                <w:sz w:val="22"/>
              </w:rPr>
              <w:t>Number</w:t>
            </w:r>
          </w:p>
        </w:tc>
        <w:tc>
          <w:tcPr>
            <w:tcW w:w="2865" w:type="pct"/>
            <w:gridSpan w:val="7"/>
            <w:vAlign w:val="center"/>
          </w:tcPr>
          <w:p w:rsidR="00BB1D84" w:rsidRDefault="00BB1D84">
            <w:pPr>
              <w:spacing w:before="60" w:after="60"/>
              <w:rPr>
                <w:noProof/>
              </w:rPr>
            </w:pPr>
            <w:r>
              <w:rPr>
                <w:noProof/>
              </w:rPr>
              <w:t>1</w:t>
            </w: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2186" w:type="pct"/>
            <w:gridSpan w:val="5"/>
            <w:vMerge w:val="restart"/>
            <w:tcBorders>
              <w:top w:val="single" w:sz="8" w:space="0" w:color="auto"/>
              <w:left w:val="single" w:sz="8" w:space="0" w:color="auto"/>
              <w:bottom w:val="single" w:sz="8" w:space="0" w:color="auto"/>
              <w:right w:val="single" w:sz="8" w:space="0" w:color="auto"/>
            </w:tcBorders>
            <w:vAlign w:val="center"/>
            <w:hideMark/>
          </w:tcPr>
          <w:p w:rsidR="00BB1D84" w:rsidRPr="002A508B" w:rsidRDefault="00BB1D84">
            <w:pPr>
              <w:spacing w:before="0" w:after="0"/>
              <w:jc w:val="center"/>
              <w:rPr>
                <w:b/>
                <w:bCs/>
                <w:noProof/>
                <w:color w:val="000000"/>
                <w:sz w:val="22"/>
                <w:lang w:val="en-IE" w:eastAsia="en-IE"/>
              </w:rPr>
            </w:pPr>
            <w:r w:rsidRPr="002A508B">
              <w:rPr>
                <w:b/>
                <w:bCs/>
                <w:noProof/>
                <w:color w:val="000000"/>
                <w:sz w:val="22"/>
                <w:lang w:val="en-IE" w:eastAsia="en-IE"/>
              </w:rPr>
              <w:t>DG: JRC</w:t>
            </w:r>
          </w:p>
        </w:tc>
        <w:tc>
          <w:tcPr>
            <w:tcW w:w="444" w:type="pct"/>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44" w:type="pct"/>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44" w:type="pct"/>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427" w:type="pct"/>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528" w:type="pct"/>
            <w:vMerge w:val="restart"/>
            <w:tcBorders>
              <w:top w:val="single" w:sz="8" w:space="0" w:color="auto"/>
              <w:left w:val="single" w:sz="8" w:space="0" w:color="auto"/>
              <w:bottom w:val="single" w:sz="8" w:space="0" w:color="auto"/>
              <w:right w:val="single" w:sz="8" w:space="0" w:color="auto"/>
            </w:tcBorders>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TOTAL MFF</w:t>
            </w:r>
            <w:r>
              <w:rPr>
                <w:b/>
                <w:bCs/>
                <w:noProof/>
                <w:color w:val="000000"/>
                <w:sz w:val="20"/>
                <w:szCs w:val="20"/>
                <w:lang w:val="en-IE" w:eastAsia="en-IE"/>
              </w:rPr>
              <w:t xml:space="preserve"> </w:t>
            </w:r>
            <w:r w:rsidRPr="00C2043F">
              <w:rPr>
                <w:b/>
                <w:bCs/>
                <w:noProof/>
                <w:color w:val="000000"/>
                <w:sz w:val="20"/>
                <w:szCs w:val="20"/>
                <w:lang w:val="en-IE" w:eastAsia="en-IE"/>
              </w:rPr>
              <w:t>2021-2027</w:t>
            </w:r>
          </w:p>
        </w:tc>
        <w:tc>
          <w:tcPr>
            <w:tcW w:w="527" w:type="pct"/>
            <w:vMerge w:val="restart"/>
            <w:tcBorders>
              <w:top w:val="single" w:sz="8" w:space="0" w:color="auto"/>
              <w:left w:val="single" w:sz="8" w:space="0" w:color="auto"/>
              <w:right w:val="single" w:sz="8" w:space="0" w:color="auto"/>
            </w:tcBorders>
            <w:vAlign w:val="center"/>
          </w:tcPr>
          <w:p w:rsidR="00BB1D84" w:rsidRPr="00C2043F" w:rsidRDefault="00BB1D84">
            <w:pPr>
              <w:spacing w:before="0" w:after="0"/>
              <w:jc w:val="center"/>
              <w:rPr>
                <w:b/>
                <w:bCs/>
                <w:noProof/>
                <w:color w:val="000000"/>
                <w:sz w:val="20"/>
                <w:szCs w:val="20"/>
                <w:lang w:val="en-IE" w:eastAsia="en-IE"/>
              </w:rPr>
            </w:pPr>
            <w:r>
              <w:rPr>
                <w:b/>
                <w:bCs/>
                <w:noProof/>
                <w:color w:val="000000"/>
                <w:sz w:val="20"/>
                <w:szCs w:val="20"/>
                <w:lang w:val="en-IE" w:eastAsia="en-IE"/>
              </w:rPr>
              <w:t>TOTAL MFF 2028-2034</w:t>
            </w: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2186" w:type="pct"/>
            <w:gridSpan w:val="5"/>
            <w:vMerge/>
            <w:tcBorders>
              <w:top w:val="single" w:sz="8" w:space="0" w:color="auto"/>
              <w:left w:val="single" w:sz="8" w:space="0" w:color="auto"/>
              <w:bottom w:val="single" w:sz="8" w:space="0" w:color="auto"/>
              <w:right w:val="single" w:sz="8" w:space="0" w:color="auto"/>
            </w:tcBorders>
            <w:vAlign w:val="center"/>
            <w:hideMark/>
          </w:tcPr>
          <w:p w:rsidR="00BB1D84" w:rsidRPr="00C2043F" w:rsidRDefault="00BB1D84">
            <w:pPr>
              <w:spacing w:before="0" w:after="0"/>
              <w:jc w:val="left"/>
              <w:rPr>
                <w:noProof/>
                <w:color w:val="000000"/>
                <w:sz w:val="22"/>
                <w:lang w:val="en-IE" w:eastAsia="en-IE"/>
              </w:rPr>
            </w:pP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2024</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2025</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2026</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2027</w:t>
            </w:r>
          </w:p>
        </w:tc>
        <w:tc>
          <w:tcPr>
            <w:tcW w:w="528" w:type="pct"/>
            <w:vMerge/>
            <w:tcBorders>
              <w:top w:val="single" w:sz="8" w:space="0" w:color="auto"/>
              <w:left w:val="single" w:sz="8" w:space="0" w:color="auto"/>
              <w:bottom w:val="single" w:sz="8" w:space="0" w:color="auto"/>
              <w:right w:val="single" w:sz="8" w:space="0" w:color="auto"/>
            </w:tcBorders>
            <w:vAlign w:val="center"/>
            <w:hideMark/>
          </w:tcPr>
          <w:p w:rsidR="00BB1D84" w:rsidRPr="00C2043F" w:rsidRDefault="00BB1D84">
            <w:pPr>
              <w:spacing w:before="0" w:after="0"/>
              <w:jc w:val="left"/>
              <w:rPr>
                <w:b/>
                <w:bCs/>
                <w:noProof/>
                <w:color w:val="000000"/>
                <w:sz w:val="20"/>
                <w:szCs w:val="20"/>
                <w:lang w:val="en-IE" w:eastAsia="en-IE"/>
              </w:rPr>
            </w:pPr>
          </w:p>
        </w:tc>
        <w:tc>
          <w:tcPr>
            <w:tcW w:w="527" w:type="pct"/>
            <w:vMerge/>
            <w:tcBorders>
              <w:left w:val="single" w:sz="8" w:space="0" w:color="auto"/>
              <w:bottom w:val="single" w:sz="8" w:space="0" w:color="auto"/>
              <w:right w:val="single" w:sz="8" w:space="0" w:color="auto"/>
            </w:tcBorders>
            <w:vAlign w:val="center"/>
          </w:tcPr>
          <w:p w:rsidR="00BB1D84" w:rsidRPr="00C2043F" w:rsidRDefault="00BB1D84">
            <w:pPr>
              <w:spacing w:before="0" w:after="0"/>
              <w:jc w:val="right"/>
              <w:rPr>
                <w:b/>
                <w:bCs/>
                <w:noProof/>
                <w:color w:val="000000"/>
                <w:sz w:val="20"/>
                <w:szCs w:val="20"/>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4473" w:type="pct"/>
            <w:gridSpan w:val="10"/>
            <w:tcBorders>
              <w:top w:val="single" w:sz="8" w:space="0" w:color="auto"/>
              <w:left w:val="single" w:sz="8" w:space="0" w:color="auto"/>
              <w:bottom w:val="single" w:sz="8" w:space="0" w:color="auto"/>
              <w:right w:val="single" w:sz="8" w:space="0" w:color="auto"/>
            </w:tcBorders>
            <w:vAlign w:val="center"/>
            <w:hideMark/>
          </w:tcPr>
          <w:p w:rsidR="00BB1D84" w:rsidRPr="00C2043F" w:rsidRDefault="00BB1D84">
            <w:pPr>
              <w:spacing w:before="0" w:after="0"/>
              <w:jc w:val="left"/>
              <w:rPr>
                <w:noProof/>
                <w:color w:val="000000"/>
                <w:sz w:val="21"/>
                <w:szCs w:val="21"/>
                <w:lang w:val="en-IE" w:eastAsia="en-IE"/>
              </w:rPr>
            </w:pPr>
            <w:r w:rsidRPr="00C2043F">
              <w:rPr>
                <w:noProof/>
                <w:color w:val="000000"/>
                <w:sz w:val="21"/>
                <w:szCs w:val="21"/>
                <w:lang w:val="en-IE" w:eastAsia="en-IE"/>
              </w:rPr>
              <w:t xml:space="preserve">Operational appropriations </w:t>
            </w:r>
          </w:p>
        </w:tc>
        <w:tc>
          <w:tcPr>
            <w:tcW w:w="527" w:type="pct"/>
            <w:tcBorders>
              <w:top w:val="single" w:sz="8" w:space="0" w:color="auto"/>
              <w:left w:val="single" w:sz="8" w:space="0" w:color="auto"/>
              <w:bottom w:val="single" w:sz="8" w:space="0" w:color="auto"/>
              <w:right w:val="single" w:sz="8" w:space="0" w:color="auto"/>
            </w:tcBorders>
            <w:vAlign w:val="center"/>
          </w:tcPr>
          <w:p w:rsidR="00BB1D84" w:rsidRPr="00C2043F" w:rsidRDefault="00BB1D84">
            <w:pPr>
              <w:spacing w:before="0" w:after="0"/>
              <w:jc w:val="right"/>
              <w:rPr>
                <w:noProof/>
                <w:color w:val="000000"/>
                <w:sz w:val="21"/>
                <w:szCs w:val="21"/>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bottom w:val="single" w:sz="8" w:space="0" w:color="auto"/>
              <w:right w:val="single" w:sz="8" w:space="0" w:color="auto"/>
            </w:tcBorders>
            <w:noWrap/>
            <w:vAlign w:val="center"/>
            <w:hideMark/>
          </w:tcPr>
          <w:p w:rsidR="00BB1D84" w:rsidRPr="00C2043F" w:rsidRDefault="00BB1D84">
            <w:pPr>
              <w:spacing w:before="0" w:after="0"/>
              <w:jc w:val="left"/>
              <w:rPr>
                <w:noProof/>
                <w:color w:val="000000"/>
                <w:sz w:val="22"/>
                <w:lang w:val="en-IE" w:eastAsia="en-IE"/>
              </w:rPr>
            </w:pPr>
            <w:r w:rsidRPr="00C2043F">
              <w:rPr>
                <w:noProof/>
                <w:color w:val="000000"/>
                <w:sz w:val="22"/>
                <w:lang w:val="en-IE" w:eastAsia="en-IE"/>
              </w:rPr>
              <w:t>Budget line</w:t>
            </w: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(1a)</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rsidR="00BB1D84" w:rsidRPr="00C2043F" w:rsidRDefault="00BB1D84">
            <w:pPr>
              <w:spacing w:before="0" w:after="0"/>
              <w:jc w:val="left"/>
              <w:rPr>
                <w:noProof/>
                <w:color w:val="000000"/>
                <w:sz w:val="22"/>
                <w:lang w:val="en-IE" w:eastAsia="en-IE"/>
              </w:rPr>
            </w:pP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Payments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(2a)</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val="restart"/>
            <w:tcBorders>
              <w:top w:val="nil"/>
              <w:left w:val="single" w:sz="8" w:space="0" w:color="auto"/>
              <w:bottom w:val="single" w:sz="8" w:space="0" w:color="auto"/>
              <w:right w:val="single" w:sz="8" w:space="0" w:color="auto"/>
            </w:tcBorders>
            <w:vAlign w:val="center"/>
            <w:hideMark/>
          </w:tcPr>
          <w:p w:rsidR="00BB1D84" w:rsidRPr="00C2043F" w:rsidRDefault="00BB1D84">
            <w:pPr>
              <w:spacing w:before="0" w:after="0"/>
              <w:rPr>
                <w:noProof/>
                <w:color w:val="000000"/>
                <w:sz w:val="20"/>
                <w:szCs w:val="20"/>
                <w:lang w:val="en-IE" w:eastAsia="en-IE"/>
              </w:rPr>
            </w:pPr>
            <w:r w:rsidRPr="00C2043F">
              <w:rPr>
                <w:noProof/>
                <w:color w:val="000000"/>
                <w:sz w:val="20"/>
                <w:szCs w:val="20"/>
                <w:lang w:val="en-IE" w:eastAsia="en-IE"/>
              </w:rPr>
              <w:t>Budget line</w:t>
            </w: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(1b)</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15"/>
        </w:trPr>
        <w:tc>
          <w:tcPr>
            <w:tcW w:w="1269" w:type="pct"/>
            <w:vMerge/>
            <w:tcBorders>
              <w:top w:val="nil"/>
              <w:left w:val="single" w:sz="8" w:space="0" w:color="auto"/>
              <w:bottom w:val="single" w:sz="8" w:space="0" w:color="auto"/>
              <w:right w:val="single" w:sz="8" w:space="0" w:color="auto"/>
            </w:tcBorders>
            <w:vAlign w:val="center"/>
            <w:hideMark/>
          </w:tcPr>
          <w:p w:rsidR="00BB1D84" w:rsidRPr="00C2043F" w:rsidRDefault="00BB1D84">
            <w:pPr>
              <w:spacing w:before="0" w:after="0"/>
              <w:jc w:val="left"/>
              <w:rPr>
                <w:noProof/>
                <w:color w:val="000000"/>
                <w:sz w:val="20"/>
                <w:szCs w:val="20"/>
                <w:lang w:val="en-IE" w:eastAsia="en-IE"/>
              </w:rPr>
            </w:pP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Payments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(2b)</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20"/>
                <w:szCs w:val="20"/>
                <w:lang w:val="en-IE" w:eastAsia="en-IE"/>
              </w:rPr>
            </w:pPr>
            <w:r w:rsidRPr="00C2043F">
              <w:rPr>
                <w:noProof/>
                <w:color w:val="000000"/>
                <w:sz w:val="20"/>
                <w:szCs w:val="20"/>
                <w:lang w:val="en-IE" w:eastAsia="en-IE"/>
              </w:rPr>
              <w:t> </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4473" w:type="pct"/>
            <w:gridSpan w:val="10"/>
            <w:tcBorders>
              <w:top w:val="single" w:sz="8" w:space="0" w:color="auto"/>
              <w:left w:val="single" w:sz="8" w:space="0" w:color="auto"/>
              <w:bottom w:val="single" w:sz="8" w:space="0" w:color="auto"/>
              <w:right w:val="single" w:sz="8" w:space="0" w:color="auto"/>
            </w:tcBorders>
            <w:noWrap/>
            <w:vAlign w:val="bottom"/>
            <w:hideMark/>
          </w:tcPr>
          <w:p w:rsidR="00BB1D84" w:rsidRPr="00C2043F" w:rsidRDefault="00BB1D84">
            <w:pPr>
              <w:spacing w:before="0" w:after="0"/>
              <w:jc w:val="left"/>
              <w:rPr>
                <w:noProof/>
                <w:color w:val="000000"/>
                <w:sz w:val="22"/>
                <w:lang w:val="en-IE" w:eastAsia="en-IE"/>
              </w:rPr>
            </w:pPr>
            <w:r w:rsidRPr="00C2043F">
              <w:rPr>
                <w:noProof/>
                <w:color w:val="000000"/>
                <w:sz w:val="22"/>
                <w:lang w:val="en-IE" w:eastAsia="en-IE"/>
              </w:rPr>
              <w:t>Appropriations of an administrative nature financed from the envelope of specific programme</w:t>
            </w:r>
            <w:r>
              <w:rPr>
                <w:noProof/>
                <w:color w:val="000000"/>
                <w:sz w:val="22"/>
                <w:lang w:val="en-IE" w:eastAsia="en-IE"/>
              </w:rPr>
              <w:t xml:space="preserve">s </w:t>
            </w:r>
          </w:p>
        </w:tc>
        <w:tc>
          <w:tcPr>
            <w:tcW w:w="527" w:type="pct"/>
            <w:tcBorders>
              <w:top w:val="single" w:sz="8" w:space="0" w:color="auto"/>
              <w:left w:val="single" w:sz="8" w:space="0" w:color="auto"/>
              <w:bottom w:val="single" w:sz="8" w:space="0" w:color="auto"/>
              <w:right w:val="single" w:sz="8" w:space="0" w:color="auto"/>
            </w:tcBorders>
            <w:vAlign w:val="center"/>
          </w:tcPr>
          <w:p w:rsidR="00BB1D84" w:rsidRPr="00C2043F" w:rsidRDefault="00BB1D84">
            <w:pPr>
              <w:spacing w:before="0" w:after="0"/>
              <w:jc w:val="right"/>
              <w:rPr>
                <w:noProof/>
                <w:color w:val="000000"/>
                <w:sz w:val="22"/>
                <w:lang w:val="en-IE" w:eastAsia="en-IE"/>
              </w:rPr>
            </w:pP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tcBorders>
              <w:top w:val="nil"/>
              <w:left w:val="single" w:sz="8" w:space="0" w:color="auto"/>
              <w:bottom w:val="single" w:sz="8" w:space="0" w:color="auto"/>
              <w:right w:val="single" w:sz="8" w:space="0" w:color="auto"/>
            </w:tcBorders>
            <w:vAlign w:val="center"/>
            <w:hideMark/>
          </w:tcPr>
          <w:p w:rsidR="00BB1D84" w:rsidRPr="00A55A73" w:rsidRDefault="00BB1D84">
            <w:pPr>
              <w:spacing w:before="0" w:after="0"/>
              <w:rPr>
                <w:b/>
                <w:bCs/>
                <w:noProof/>
                <w:color w:val="000000"/>
                <w:sz w:val="20"/>
                <w:szCs w:val="20"/>
                <w:lang w:val="en-IE" w:eastAsia="en-IE"/>
              </w:rPr>
            </w:pPr>
            <w:r w:rsidRPr="00A55A73">
              <w:rPr>
                <w:b/>
                <w:bCs/>
                <w:noProof/>
                <w:color w:val="000000"/>
                <w:sz w:val="20"/>
                <w:szCs w:val="20"/>
                <w:lang w:val="en-IE" w:eastAsia="en-IE"/>
              </w:rPr>
              <w:t>Budget line 01 01 01 Support expenditure for Horizon Europe</w:t>
            </w: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jc w:val="right"/>
              <w:rPr>
                <w:noProof/>
                <w:color w:val="000000"/>
                <w:sz w:val="18"/>
                <w:szCs w:val="18"/>
                <w:lang w:val="en-IE" w:eastAsia="en-IE"/>
              </w:rPr>
            </w:pPr>
            <w:r w:rsidRPr="00C2043F">
              <w:rPr>
                <w:noProof/>
                <w:color w:val="000000"/>
                <w:sz w:val="18"/>
                <w:szCs w:val="18"/>
                <w:lang w:val="en-IE" w:eastAsia="en-IE"/>
              </w:rPr>
              <w:t> </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(3)</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44"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 </w:t>
            </w:r>
          </w:p>
        </w:tc>
        <w:tc>
          <w:tcPr>
            <w:tcW w:w="427" w:type="pct"/>
            <w:tcBorders>
              <w:top w:val="nil"/>
              <w:left w:val="nil"/>
              <w:bottom w:val="single" w:sz="8" w:space="0" w:color="auto"/>
              <w:right w:val="single" w:sz="8" w:space="0" w:color="auto"/>
            </w:tcBorders>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0.255</w:t>
            </w:r>
            <w:r w:rsidRPr="00C2043F">
              <w:rPr>
                <w:b/>
                <w:bCs/>
                <w:noProof/>
                <w:color w:val="000000"/>
                <w:sz w:val="20"/>
                <w:szCs w:val="20"/>
                <w:lang w:val="en-IE" w:eastAsia="en-IE"/>
              </w:rPr>
              <w:t> </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0.255</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1.782</w:t>
            </w: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val="restart"/>
            <w:tcBorders>
              <w:top w:val="nil"/>
              <w:left w:val="single" w:sz="8" w:space="0" w:color="auto"/>
              <w:right w:val="single" w:sz="8" w:space="0" w:color="auto"/>
            </w:tcBorders>
            <w:vAlign w:val="center"/>
            <w:hideMark/>
          </w:tcPr>
          <w:p w:rsidR="00BB1D84" w:rsidRPr="00C2043F" w:rsidRDefault="00BB1D84">
            <w:pPr>
              <w:spacing w:before="0" w:after="0"/>
              <w:jc w:val="center"/>
              <w:rPr>
                <w:b/>
                <w:bCs/>
                <w:noProof/>
                <w:color w:val="000000"/>
                <w:sz w:val="22"/>
                <w:lang w:val="en-IE" w:eastAsia="en-IE"/>
              </w:rPr>
            </w:pPr>
            <w:r w:rsidRPr="00C2043F">
              <w:rPr>
                <w:b/>
                <w:bCs/>
                <w:noProof/>
                <w:color w:val="000000"/>
                <w:sz w:val="22"/>
                <w:lang w:val="en-IE" w:eastAsia="en-IE"/>
              </w:rPr>
              <w:t>TOTAL appropriations</w:t>
            </w:r>
          </w:p>
          <w:p w:rsidR="00BB1D84" w:rsidRPr="00A81BF1" w:rsidRDefault="00BB1D84">
            <w:pPr>
              <w:spacing w:before="0" w:after="0"/>
              <w:jc w:val="center"/>
              <w:rPr>
                <w:noProof/>
                <w:color w:val="000000"/>
                <w:sz w:val="22"/>
                <w:lang w:val="en-IE" w:eastAsia="en-IE"/>
              </w:rPr>
            </w:pPr>
            <w:r w:rsidRPr="00C2043F">
              <w:rPr>
                <w:b/>
                <w:bCs/>
                <w:noProof/>
                <w:color w:val="000000"/>
                <w:sz w:val="22"/>
                <w:lang w:val="en-IE" w:eastAsia="en-IE"/>
              </w:rPr>
              <w:t>for DG</w:t>
            </w:r>
            <w:r>
              <w:rPr>
                <w:b/>
                <w:bCs/>
                <w:noProof/>
                <w:color w:val="000000"/>
                <w:sz w:val="22"/>
                <w:lang w:val="en-IE" w:eastAsia="en-IE"/>
              </w:rPr>
              <w:t xml:space="preserve"> JRC</w:t>
            </w:r>
          </w:p>
        </w:tc>
        <w:tc>
          <w:tcPr>
            <w:tcW w:w="473" w:type="pct"/>
            <w:gridSpan w:val="2"/>
            <w:tcBorders>
              <w:top w:val="nil"/>
              <w:left w:val="nil"/>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=1a+1b+3</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27"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0.255</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0.255</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1.782</w:t>
            </w:r>
          </w:p>
        </w:tc>
      </w:tr>
      <w:tr w:rsidR="00BB1D84" w:rsidRPr="00C204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8"/>
        </w:trPr>
        <w:tc>
          <w:tcPr>
            <w:tcW w:w="1269" w:type="pct"/>
            <w:vMerge/>
            <w:tcBorders>
              <w:left w:val="single" w:sz="8" w:space="0" w:color="auto"/>
              <w:bottom w:val="single" w:sz="4" w:space="0" w:color="auto"/>
              <w:right w:val="single" w:sz="8" w:space="0" w:color="auto"/>
            </w:tcBorders>
            <w:vAlign w:val="center"/>
            <w:hideMark/>
          </w:tcPr>
          <w:p w:rsidR="00BB1D84" w:rsidRPr="00C2043F" w:rsidRDefault="00BB1D84">
            <w:pPr>
              <w:spacing w:before="0" w:after="0"/>
              <w:jc w:val="center"/>
              <w:rPr>
                <w:b/>
                <w:bCs/>
                <w:noProof/>
                <w:color w:val="000000"/>
                <w:sz w:val="22"/>
                <w:lang w:val="en-IE" w:eastAsia="en-IE"/>
              </w:rPr>
            </w:pPr>
          </w:p>
        </w:tc>
        <w:tc>
          <w:tcPr>
            <w:tcW w:w="473" w:type="pct"/>
            <w:gridSpan w:val="2"/>
            <w:tcBorders>
              <w:top w:val="nil"/>
              <w:left w:val="single" w:sz="8" w:space="0" w:color="auto"/>
              <w:bottom w:val="single" w:sz="8" w:space="0" w:color="auto"/>
              <w:right w:val="single" w:sz="8" w:space="0" w:color="auto"/>
            </w:tcBorders>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Payments</w:t>
            </w:r>
          </w:p>
        </w:tc>
        <w:tc>
          <w:tcPr>
            <w:tcW w:w="444" w:type="pct"/>
            <w:gridSpan w:val="2"/>
            <w:tcBorders>
              <w:top w:val="single" w:sz="8" w:space="0" w:color="auto"/>
              <w:left w:val="nil"/>
              <w:bottom w:val="single" w:sz="8" w:space="0" w:color="auto"/>
              <w:right w:val="single" w:sz="8" w:space="0" w:color="auto"/>
            </w:tcBorders>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=2a+2b+3</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44"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0.000</w:t>
            </w:r>
          </w:p>
        </w:tc>
        <w:tc>
          <w:tcPr>
            <w:tcW w:w="427"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w:t>
            </w:r>
            <w:r>
              <w:rPr>
                <w:b/>
                <w:bCs/>
                <w:noProof/>
                <w:color w:val="000000"/>
                <w:sz w:val="20"/>
                <w:szCs w:val="20"/>
                <w:lang w:val="en-IE" w:eastAsia="en-IE"/>
              </w:rPr>
              <w:t>255</w:t>
            </w:r>
          </w:p>
        </w:tc>
        <w:tc>
          <w:tcPr>
            <w:tcW w:w="528" w:type="pct"/>
            <w:tcBorders>
              <w:top w:val="nil"/>
              <w:left w:val="nil"/>
              <w:bottom w:val="single" w:sz="8" w:space="0" w:color="auto"/>
              <w:right w:val="single" w:sz="8" w:space="0" w:color="auto"/>
            </w:tcBorders>
            <w:shd w:val="clear" w:color="000000" w:fill="D9D9D9"/>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0.</w:t>
            </w:r>
            <w:r>
              <w:rPr>
                <w:b/>
                <w:bCs/>
                <w:noProof/>
                <w:color w:val="000000"/>
                <w:sz w:val="20"/>
                <w:szCs w:val="20"/>
                <w:lang w:val="en-IE" w:eastAsia="en-IE"/>
              </w:rPr>
              <w:t>255</w:t>
            </w:r>
          </w:p>
        </w:tc>
        <w:tc>
          <w:tcPr>
            <w:tcW w:w="527" w:type="pct"/>
            <w:tcBorders>
              <w:top w:val="nil"/>
              <w:left w:val="nil"/>
              <w:bottom w:val="single" w:sz="8" w:space="0" w:color="auto"/>
              <w:right w:val="single" w:sz="8" w:space="0" w:color="auto"/>
            </w:tcBorders>
            <w:shd w:val="clear" w:color="000000" w:fill="D9D9D9"/>
            <w:vAlign w:val="center"/>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lang w:val="en-IE" w:eastAsia="en-IE"/>
              </w:rPr>
              <w:t>1.782</w:t>
            </w:r>
          </w:p>
        </w:tc>
      </w:tr>
    </w:tbl>
    <w:p w:rsidR="003E2E63" w:rsidRDefault="003E2E63" w:rsidP="005D6477">
      <w:pPr>
        <w:ind w:right="679"/>
        <w:jc w:val="left"/>
        <w:rPr>
          <w:noProof/>
          <w:sz w:val="18"/>
          <w:szCs w:val="18"/>
          <w:lang w:val="en-IE"/>
        </w:rPr>
      </w:pPr>
      <w:r>
        <w:rPr>
          <w:noProof/>
          <w:sz w:val="18"/>
          <w:szCs w:val="18"/>
        </w:rPr>
        <w:t>T</w:t>
      </w:r>
      <w:r w:rsidRPr="003E2E63">
        <w:rPr>
          <w:noProof/>
          <w:sz w:val="18"/>
          <w:szCs w:val="18"/>
        </w:rPr>
        <w:t xml:space="preserve">he appropriations identified as needed under the support line of Horizon Europe (Direct Research) will be redeployed from the envelope of the programme allocated to JRC and </w:t>
      </w:r>
      <w:r>
        <w:rPr>
          <w:noProof/>
          <w:sz w:val="18"/>
          <w:szCs w:val="18"/>
        </w:rPr>
        <w:t>do not constitute an additional request</w:t>
      </w:r>
      <w:r w:rsidRPr="003E2E63">
        <w:rPr>
          <w:noProof/>
          <w:sz w:val="18"/>
          <w:szCs w:val="18"/>
        </w:rPr>
        <w:t xml:space="preserve"> to </w:t>
      </w:r>
      <w:r>
        <w:rPr>
          <w:noProof/>
          <w:sz w:val="18"/>
          <w:szCs w:val="18"/>
        </w:rPr>
        <w:t xml:space="preserve">the </w:t>
      </w:r>
      <w:r w:rsidRPr="003E2E63">
        <w:rPr>
          <w:noProof/>
          <w:sz w:val="18"/>
          <w:szCs w:val="18"/>
        </w:rPr>
        <w:t>current level of appropriations requested in the context of the Draft Budget 2027.</w:t>
      </w:r>
    </w:p>
    <w:p w:rsidR="003E2E63" w:rsidRDefault="003E2E63" w:rsidP="00BB1D84">
      <w:pPr>
        <w:ind w:right="679"/>
        <w:jc w:val="right"/>
        <w:rPr>
          <w:noProof/>
          <w:sz w:val="18"/>
          <w:szCs w:val="18"/>
          <w:lang w:val="en-IE"/>
        </w:rPr>
      </w:pPr>
    </w:p>
    <w:p w:rsidR="00BB1D84" w:rsidRPr="00FA6E14" w:rsidRDefault="00BB1D84" w:rsidP="00BB1D84">
      <w:pPr>
        <w:ind w:right="679"/>
        <w:jc w:val="right"/>
        <w:rPr>
          <w:noProof/>
          <w:sz w:val="18"/>
          <w:szCs w:val="18"/>
          <w:lang w:val="en-IE"/>
        </w:rPr>
      </w:pPr>
      <w:r w:rsidRPr="003A769F">
        <w:rPr>
          <w:noProof/>
          <w:sz w:val="18"/>
          <w:szCs w:val="18"/>
          <w:lang w:val="en-IE"/>
        </w:rPr>
        <w:t>EUR million (to three decimal places)</w:t>
      </w:r>
    </w:p>
    <w:tbl>
      <w:tblPr>
        <w:tblW w:w="498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6"/>
        <w:gridCol w:w="970"/>
        <w:gridCol w:w="1108"/>
        <w:gridCol w:w="1245"/>
        <w:gridCol w:w="1108"/>
        <w:gridCol w:w="1382"/>
        <w:gridCol w:w="1338"/>
      </w:tblGrid>
      <w:tr w:rsidR="00BB1D84" w:rsidRPr="00C82AE0" w:rsidTr="00355203">
        <w:trPr>
          <w:trHeight w:val="715"/>
        </w:trPr>
        <w:tc>
          <w:tcPr>
            <w:tcW w:w="7025" w:type="dxa"/>
            <w:vAlign w:val="center"/>
          </w:tcPr>
          <w:p w:rsidR="00BB1D84" w:rsidRPr="002D73DA" w:rsidRDefault="00BB1D84">
            <w:pPr>
              <w:jc w:val="center"/>
              <w:rPr>
                <w:noProof/>
                <w:sz w:val="20"/>
                <w:szCs w:val="20"/>
              </w:rPr>
            </w:pPr>
            <w:r>
              <w:rPr>
                <w:noProof/>
                <w:sz w:val="20"/>
                <w:szCs w:val="20"/>
              </w:rPr>
              <w:t>ACER</w:t>
            </w:r>
          </w:p>
        </w:tc>
        <w:tc>
          <w:tcPr>
            <w:tcW w:w="970" w:type="dxa"/>
            <w:vAlign w:val="center"/>
          </w:tcPr>
          <w:p w:rsidR="00BB1D84" w:rsidRDefault="00BB1D84">
            <w:pPr>
              <w:jc w:val="center"/>
              <w:rPr>
                <w:noProof/>
                <w:color w:val="000000"/>
                <w:sz w:val="20"/>
                <w:szCs w:val="20"/>
                <w:lang w:val="en-IE" w:eastAsia="en-IE"/>
              </w:rPr>
            </w:pPr>
            <w:r w:rsidRPr="00170721">
              <w:rPr>
                <w:noProof/>
                <w:color w:val="000000"/>
                <w:sz w:val="20"/>
                <w:szCs w:val="20"/>
                <w:lang w:val="en-IE" w:eastAsia="en-IE"/>
              </w:rPr>
              <w:t>Year</w:t>
            </w:r>
          </w:p>
          <w:p w:rsidR="00BB1D84" w:rsidRPr="008F13F1" w:rsidRDefault="00BB1D84">
            <w:pPr>
              <w:jc w:val="center"/>
              <w:rPr>
                <w:b/>
                <w:bCs/>
                <w:noProof/>
                <w:sz w:val="20"/>
                <w:szCs w:val="20"/>
              </w:rPr>
            </w:pPr>
            <w:r w:rsidRPr="008F13F1">
              <w:rPr>
                <w:b/>
                <w:bCs/>
                <w:noProof/>
                <w:color w:val="000000"/>
                <w:sz w:val="20"/>
                <w:szCs w:val="20"/>
                <w:lang w:val="en-IE" w:eastAsia="en-IE"/>
              </w:rPr>
              <w:t>2024</w:t>
            </w:r>
          </w:p>
        </w:tc>
        <w:tc>
          <w:tcPr>
            <w:tcW w:w="1108" w:type="dxa"/>
            <w:vAlign w:val="center"/>
          </w:tcPr>
          <w:p w:rsidR="00BB1D84" w:rsidRDefault="00BB1D84">
            <w:pPr>
              <w:jc w:val="center"/>
              <w:rPr>
                <w:noProof/>
                <w:color w:val="000000"/>
                <w:sz w:val="20"/>
                <w:szCs w:val="20"/>
                <w:lang w:val="en-IE" w:eastAsia="en-IE"/>
              </w:rPr>
            </w:pPr>
            <w:r w:rsidRPr="00170721">
              <w:rPr>
                <w:noProof/>
                <w:color w:val="000000"/>
                <w:sz w:val="20"/>
                <w:szCs w:val="20"/>
                <w:lang w:val="en-IE" w:eastAsia="en-IE"/>
              </w:rPr>
              <w:t>Year</w:t>
            </w:r>
          </w:p>
          <w:p w:rsidR="00BB1D84" w:rsidRPr="008F13F1" w:rsidRDefault="00BB1D84">
            <w:pPr>
              <w:jc w:val="center"/>
              <w:rPr>
                <w:b/>
                <w:bCs/>
                <w:noProof/>
                <w:sz w:val="20"/>
                <w:szCs w:val="20"/>
              </w:rPr>
            </w:pPr>
            <w:r w:rsidRPr="008F13F1">
              <w:rPr>
                <w:b/>
                <w:bCs/>
                <w:noProof/>
                <w:color w:val="000000"/>
                <w:sz w:val="20"/>
                <w:szCs w:val="20"/>
                <w:lang w:val="en-IE" w:eastAsia="en-IE"/>
              </w:rPr>
              <w:t>2025</w:t>
            </w:r>
          </w:p>
        </w:tc>
        <w:tc>
          <w:tcPr>
            <w:tcW w:w="1245" w:type="dxa"/>
            <w:vAlign w:val="center"/>
          </w:tcPr>
          <w:p w:rsidR="00BB1D84" w:rsidRDefault="00BB1D84">
            <w:pPr>
              <w:jc w:val="center"/>
              <w:rPr>
                <w:noProof/>
                <w:color w:val="000000"/>
                <w:sz w:val="20"/>
                <w:szCs w:val="20"/>
                <w:lang w:val="en-IE" w:eastAsia="en-IE"/>
              </w:rPr>
            </w:pPr>
            <w:r w:rsidRPr="00170721">
              <w:rPr>
                <w:noProof/>
                <w:color w:val="000000"/>
                <w:sz w:val="20"/>
                <w:szCs w:val="20"/>
                <w:lang w:val="en-IE" w:eastAsia="en-IE"/>
              </w:rPr>
              <w:t>Year</w:t>
            </w:r>
          </w:p>
          <w:p w:rsidR="00BB1D84" w:rsidRPr="008F13F1" w:rsidRDefault="00BB1D84">
            <w:pPr>
              <w:jc w:val="center"/>
              <w:rPr>
                <w:b/>
                <w:bCs/>
                <w:noProof/>
                <w:sz w:val="20"/>
                <w:szCs w:val="20"/>
              </w:rPr>
            </w:pPr>
            <w:r w:rsidRPr="008F13F1">
              <w:rPr>
                <w:b/>
                <w:bCs/>
                <w:noProof/>
                <w:color w:val="000000"/>
                <w:sz w:val="20"/>
                <w:szCs w:val="20"/>
                <w:lang w:val="en-IE" w:eastAsia="en-IE"/>
              </w:rPr>
              <w:t>2026</w:t>
            </w:r>
          </w:p>
        </w:tc>
        <w:tc>
          <w:tcPr>
            <w:tcW w:w="1108" w:type="dxa"/>
            <w:vAlign w:val="center"/>
          </w:tcPr>
          <w:p w:rsidR="00BB1D84" w:rsidRDefault="00BB1D84">
            <w:pPr>
              <w:jc w:val="center"/>
              <w:rPr>
                <w:noProof/>
                <w:color w:val="000000"/>
                <w:sz w:val="20"/>
                <w:szCs w:val="20"/>
                <w:lang w:val="en-IE" w:eastAsia="en-IE"/>
              </w:rPr>
            </w:pPr>
            <w:r w:rsidRPr="00170721">
              <w:rPr>
                <w:noProof/>
                <w:color w:val="000000"/>
                <w:sz w:val="20"/>
                <w:szCs w:val="20"/>
                <w:lang w:val="en-IE" w:eastAsia="en-IE"/>
              </w:rPr>
              <w:t>Year</w:t>
            </w:r>
          </w:p>
          <w:p w:rsidR="00BB1D84" w:rsidRPr="008F13F1" w:rsidRDefault="00BB1D84">
            <w:pPr>
              <w:jc w:val="center"/>
              <w:rPr>
                <w:b/>
                <w:bCs/>
                <w:noProof/>
                <w:sz w:val="20"/>
                <w:szCs w:val="20"/>
              </w:rPr>
            </w:pPr>
            <w:r w:rsidRPr="008F13F1">
              <w:rPr>
                <w:b/>
                <w:bCs/>
                <w:noProof/>
                <w:color w:val="000000"/>
                <w:sz w:val="20"/>
                <w:szCs w:val="20"/>
                <w:lang w:val="en-IE" w:eastAsia="en-IE"/>
              </w:rPr>
              <w:t>2027</w:t>
            </w:r>
          </w:p>
        </w:tc>
        <w:tc>
          <w:tcPr>
            <w:tcW w:w="1382" w:type="dxa"/>
            <w:vAlign w:val="center"/>
          </w:tcPr>
          <w:p w:rsidR="00BB1D84" w:rsidRPr="00C82AE0" w:rsidRDefault="00BB1D84">
            <w:pPr>
              <w:jc w:val="center"/>
              <w:rPr>
                <w:b/>
                <w:noProof/>
                <w:sz w:val="20"/>
                <w:szCs w:val="20"/>
              </w:rPr>
            </w:pPr>
            <w:r w:rsidRPr="007E6ACF">
              <w:rPr>
                <w:b/>
                <w:bCs/>
                <w:noProof/>
                <w:color w:val="000000"/>
                <w:sz w:val="20"/>
                <w:szCs w:val="20"/>
                <w:lang w:val="en-IE" w:eastAsia="en-IE"/>
              </w:rPr>
              <w:t>TOTAL MFF</w:t>
            </w:r>
            <w:r>
              <w:rPr>
                <w:b/>
                <w:bCs/>
                <w:noProof/>
                <w:color w:val="000000"/>
                <w:sz w:val="20"/>
                <w:szCs w:val="20"/>
                <w:lang w:val="en-IE" w:eastAsia="en-IE"/>
              </w:rPr>
              <w:t xml:space="preserve"> </w:t>
            </w:r>
            <w:r w:rsidRPr="007E6ACF">
              <w:rPr>
                <w:b/>
                <w:bCs/>
                <w:noProof/>
                <w:color w:val="000000"/>
                <w:sz w:val="20"/>
                <w:szCs w:val="20"/>
                <w:lang w:val="en-IE" w:eastAsia="en-IE"/>
              </w:rPr>
              <w:t>2021-2027</w:t>
            </w:r>
          </w:p>
        </w:tc>
        <w:tc>
          <w:tcPr>
            <w:tcW w:w="1338" w:type="dxa"/>
            <w:vAlign w:val="center"/>
          </w:tcPr>
          <w:p w:rsidR="00BB1D84" w:rsidRPr="007E6ACF" w:rsidRDefault="00BB1D84">
            <w:pPr>
              <w:jc w:val="center"/>
              <w:rPr>
                <w:b/>
                <w:bCs/>
                <w:noProof/>
                <w:color w:val="000000"/>
                <w:sz w:val="20"/>
                <w:szCs w:val="20"/>
                <w:lang w:val="en-IE" w:eastAsia="en-IE"/>
              </w:rPr>
            </w:pPr>
            <w:r>
              <w:rPr>
                <w:b/>
                <w:bCs/>
                <w:noProof/>
                <w:color w:val="000000"/>
                <w:sz w:val="20"/>
                <w:szCs w:val="20"/>
                <w:lang w:val="en-IE" w:eastAsia="en-IE"/>
              </w:rPr>
              <w:t>TOTAL MFF 2028-2034</w:t>
            </w:r>
          </w:p>
        </w:tc>
      </w:tr>
      <w:tr w:rsidR="00A42AA8" w:rsidRPr="00C82AE0" w:rsidTr="00355203">
        <w:tc>
          <w:tcPr>
            <w:tcW w:w="7025" w:type="dxa"/>
            <w:vAlign w:val="center"/>
          </w:tcPr>
          <w:p w:rsidR="00BB1D84" w:rsidRPr="008F13F1" w:rsidRDefault="00BB1D84">
            <w:pPr>
              <w:jc w:val="left"/>
              <w:rPr>
                <w:bCs/>
                <w:noProof/>
                <w:sz w:val="20"/>
                <w:szCs w:val="20"/>
              </w:rPr>
            </w:pPr>
            <w:r w:rsidRPr="008F13F1">
              <w:rPr>
                <w:bCs/>
                <w:noProof/>
                <w:sz w:val="20"/>
                <w:szCs w:val="20"/>
              </w:rPr>
              <w:t>Budget line</w:t>
            </w:r>
            <w:r>
              <w:rPr>
                <w:bCs/>
                <w:noProof/>
                <w:sz w:val="20"/>
                <w:szCs w:val="20"/>
              </w:rPr>
              <w:t>:</w:t>
            </w:r>
            <w:r w:rsidRPr="002D73DA">
              <w:rPr>
                <w:noProof/>
                <w:sz w:val="20"/>
                <w:szCs w:val="20"/>
              </w:rPr>
              <w:t xml:space="preserve"> </w:t>
            </w:r>
            <w:r>
              <w:rPr>
                <w:noProof/>
                <w:sz w:val="20"/>
                <w:szCs w:val="20"/>
              </w:rPr>
              <w:t>02.10.03</w:t>
            </w:r>
            <w:r w:rsidRPr="008F13F1">
              <w:rPr>
                <w:bCs/>
                <w:noProof/>
                <w:sz w:val="20"/>
                <w:szCs w:val="20"/>
              </w:rPr>
              <w:t xml:space="preserve"> </w:t>
            </w:r>
            <w:r>
              <w:rPr>
                <w:bCs/>
                <w:noProof/>
                <w:sz w:val="20"/>
                <w:szCs w:val="20"/>
              </w:rPr>
              <w:t>/</w:t>
            </w:r>
            <w:r w:rsidRPr="008F13F1">
              <w:rPr>
                <w:bCs/>
                <w:noProof/>
                <w:sz w:val="20"/>
                <w:szCs w:val="20"/>
              </w:rPr>
              <w:t xml:space="preserve"> EU Budget contribution to the agency</w:t>
            </w:r>
          </w:p>
        </w:tc>
        <w:tc>
          <w:tcPr>
            <w:tcW w:w="970" w:type="dxa"/>
            <w:vAlign w:val="center"/>
          </w:tcPr>
          <w:p w:rsidR="00BB1D84" w:rsidRPr="00C82AE0" w:rsidRDefault="00BB1D84">
            <w:pPr>
              <w:spacing w:before="20" w:after="20"/>
              <w:jc w:val="right"/>
              <w:rPr>
                <w:noProof/>
                <w:sz w:val="20"/>
                <w:szCs w:val="20"/>
              </w:rPr>
            </w:pPr>
          </w:p>
        </w:tc>
        <w:tc>
          <w:tcPr>
            <w:tcW w:w="1108" w:type="dxa"/>
            <w:vAlign w:val="center"/>
          </w:tcPr>
          <w:p w:rsidR="00BB1D84" w:rsidRPr="00C82AE0" w:rsidRDefault="00BB1D84">
            <w:pPr>
              <w:spacing w:before="20" w:after="20"/>
              <w:jc w:val="right"/>
              <w:rPr>
                <w:noProof/>
                <w:sz w:val="20"/>
                <w:szCs w:val="20"/>
              </w:rPr>
            </w:pPr>
          </w:p>
        </w:tc>
        <w:tc>
          <w:tcPr>
            <w:tcW w:w="1245" w:type="dxa"/>
            <w:vAlign w:val="center"/>
          </w:tcPr>
          <w:p w:rsidR="00BB1D84" w:rsidRPr="00C82AE0" w:rsidRDefault="00BB1D84">
            <w:pPr>
              <w:spacing w:before="20" w:after="20"/>
              <w:jc w:val="right"/>
              <w:rPr>
                <w:noProof/>
                <w:sz w:val="20"/>
                <w:szCs w:val="20"/>
              </w:rPr>
            </w:pPr>
          </w:p>
        </w:tc>
        <w:tc>
          <w:tcPr>
            <w:tcW w:w="1108" w:type="dxa"/>
            <w:vAlign w:val="center"/>
          </w:tcPr>
          <w:p w:rsidR="00BB1D84" w:rsidRPr="00C82AE0" w:rsidRDefault="00BB1D84">
            <w:pPr>
              <w:spacing w:before="20" w:after="20"/>
              <w:jc w:val="right"/>
              <w:rPr>
                <w:noProof/>
                <w:sz w:val="20"/>
                <w:szCs w:val="20"/>
              </w:rPr>
            </w:pPr>
            <w:r>
              <w:rPr>
                <w:noProof/>
                <w:color w:val="000000"/>
                <w:sz w:val="20"/>
                <w:szCs w:val="20"/>
              </w:rPr>
              <w:t>0</w:t>
            </w:r>
            <w:r w:rsidR="00687CB2">
              <w:rPr>
                <w:noProof/>
                <w:color w:val="000000"/>
                <w:sz w:val="20"/>
                <w:szCs w:val="20"/>
              </w:rPr>
              <w:t>.</w:t>
            </w:r>
            <w:r>
              <w:rPr>
                <w:noProof/>
                <w:color w:val="000000"/>
                <w:sz w:val="20"/>
                <w:szCs w:val="20"/>
              </w:rPr>
              <w:t>391</w:t>
            </w:r>
          </w:p>
        </w:tc>
        <w:tc>
          <w:tcPr>
            <w:tcW w:w="1382" w:type="dxa"/>
            <w:shd w:val="clear" w:color="auto" w:fill="D9D9D9" w:themeFill="background1" w:themeFillShade="D9"/>
            <w:vAlign w:val="center"/>
          </w:tcPr>
          <w:p w:rsidR="00BB1D84" w:rsidRPr="009B2233" w:rsidRDefault="00BB1D84">
            <w:pPr>
              <w:spacing w:before="20" w:after="20"/>
              <w:jc w:val="right"/>
              <w:rPr>
                <w:b/>
                <w:bCs/>
                <w:noProof/>
                <w:sz w:val="20"/>
                <w:szCs w:val="20"/>
              </w:rPr>
            </w:pPr>
            <w:r w:rsidRPr="009B2233">
              <w:rPr>
                <w:b/>
                <w:bCs/>
                <w:noProof/>
                <w:color w:val="000000"/>
                <w:sz w:val="20"/>
                <w:szCs w:val="20"/>
              </w:rPr>
              <w:t>0</w:t>
            </w:r>
            <w:r w:rsidR="00687CB2">
              <w:rPr>
                <w:b/>
                <w:bCs/>
                <w:noProof/>
                <w:color w:val="000000"/>
                <w:sz w:val="20"/>
                <w:szCs w:val="20"/>
              </w:rPr>
              <w:t>.</w:t>
            </w:r>
            <w:r>
              <w:rPr>
                <w:b/>
                <w:bCs/>
                <w:noProof/>
                <w:color w:val="000000"/>
                <w:sz w:val="20"/>
                <w:szCs w:val="20"/>
              </w:rPr>
              <w:t>391</w:t>
            </w:r>
          </w:p>
        </w:tc>
        <w:tc>
          <w:tcPr>
            <w:tcW w:w="1338" w:type="dxa"/>
            <w:shd w:val="clear" w:color="auto" w:fill="D9D9D9" w:themeFill="background1" w:themeFillShade="D9"/>
            <w:vAlign w:val="center"/>
          </w:tcPr>
          <w:p w:rsidR="00BB1D84" w:rsidRPr="009B2233" w:rsidRDefault="00DD5E05">
            <w:pPr>
              <w:spacing w:before="20" w:after="20"/>
              <w:jc w:val="center"/>
              <w:rPr>
                <w:b/>
                <w:bCs/>
                <w:noProof/>
                <w:color w:val="000000"/>
                <w:sz w:val="20"/>
                <w:szCs w:val="20"/>
                <w:lang w:val="en-IE" w:eastAsia="en-IE"/>
              </w:rPr>
            </w:pPr>
            <w:r>
              <w:rPr>
                <w:b/>
                <w:bCs/>
                <w:noProof/>
                <w:color w:val="000000"/>
                <w:sz w:val="20"/>
                <w:szCs w:val="20"/>
              </w:rPr>
              <w:t>10.039</w:t>
            </w:r>
            <w:r>
              <w:rPr>
                <w:rStyle w:val="FootnoteReference"/>
                <w:b/>
                <w:bCs/>
                <w:noProof/>
                <w:color w:val="000000"/>
                <w:sz w:val="20"/>
                <w:szCs w:val="20"/>
              </w:rPr>
              <w:footnoteReference w:id="48"/>
            </w:r>
          </w:p>
        </w:tc>
      </w:tr>
    </w:tbl>
    <w:p w:rsidR="00BB1D84" w:rsidRDefault="00BB1D84" w:rsidP="00355203">
      <w:pPr>
        <w:spacing w:after="0"/>
        <w:ind w:right="822"/>
        <w:rPr>
          <w:noProof/>
          <w:sz w:val="20"/>
          <w:szCs w:val="20"/>
        </w:rPr>
      </w:pPr>
      <w:r w:rsidRPr="00070628">
        <w:rPr>
          <w:noProof/>
        </w:rPr>
        <w:t>The appropriations</w:t>
      </w:r>
      <w:r>
        <w:rPr>
          <w:noProof/>
        </w:rPr>
        <w:t xml:space="preserve"> </w:t>
      </w:r>
      <w:r w:rsidRPr="00070628">
        <w:rPr>
          <w:noProof/>
        </w:rPr>
        <w:t>/</w:t>
      </w:r>
      <w:r>
        <w:rPr>
          <w:noProof/>
        </w:rPr>
        <w:t xml:space="preserve"> </w:t>
      </w:r>
      <w:r w:rsidRPr="00070628">
        <w:rPr>
          <w:noProof/>
        </w:rPr>
        <w:t xml:space="preserve">EU </w:t>
      </w:r>
      <w:r>
        <w:rPr>
          <w:noProof/>
        </w:rPr>
        <w:t>b</w:t>
      </w:r>
      <w:r w:rsidRPr="00070628">
        <w:rPr>
          <w:noProof/>
        </w:rPr>
        <w:t>udget contribution to the agency will be</w:t>
      </w:r>
      <w:r w:rsidRPr="008798A4">
        <w:rPr>
          <w:noProof/>
        </w:rPr>
        <w:t xml:space="preserve"> </w:t>
      </w:r>
      <w:r w:rsidRPr="00070628">
        <w:rPr>
          <w:noProof/>
        </w:rPr>
        <w:t xml:space="preserve">compensated by a reduction of </w:t>
      </w:r>
      <w:r w:rsidRPr="008798A4">
        <w:rPr>
          <w:noProof/>
        </w:rPr>
        <w:t xml:space="preserve">the envelope of the </w:t>
      </w:r>
      <w:r w:rsidRPr="00070628">
        <w:rPr>
          <w:noProof/>
        </w:rPr>
        <w:t xml:space="preserve">following </w:t>
      </w:r>
      <w:r w:rsidRPr="008798A4">
        <w:rPr>
          <w:noProof/>
        </w:rPr>
        <w:t xml:space="preserve">programme </w:t>
      </w:r>
      <w:r w:rsidRPr="745FDDDC">
        <w:rPr>
          <w:noProof/>
        </w:rPr>
        <w:t>Connecting Europe Facility - Energy / budget line: 02.03.01 / in the year:</w:t>
      </w:r>
      <w:r w:rsidR="00355203">
        <w:rPr>
          <w:noProof/>
        </w:rPr>
        <w:t xml:space="preserve"> </w:t>
      </w:r>
      <w:r w:rsidRPr="745FDDDC">
        <w:rPr>
          <w:noProof/>
        </w:rPr>
        <w:t>2027</w:t>
      </w:r>
    </w:p>
    <w:p w:rsidR="00BB1D84" w:rsidRDefault="00BB1D84" w:rsidP="00355203">
      <w:pPr>
        <w:spacing w:after="0"/>
        <w:ind w:right="822"/>
        <w:rPr>
          <w:noProof/>
          <w:szCs w:val="24"/>
        </w:rPr>
      </w:pPr>
      <w:r w:rsidRPr="00331A7A">
        <w:rPr>
          <w:noProof/>
          <w:szCs w:val="24"/>
        </w:rPr>
        <w:t>The amount of appropriations to be allocated to the agency in the next MFF is indicative and subject to the agreement on the MFF. It should be integrated into the Agency’s subsidy due to the permanent nature of the tasks allocated by this proposal and will be compensated, if relevant, by an equivalent reduction of a relevant programme envelope under the same MFF heading. If a compensatory reduction is needed, the resources allocated to the Agency may also need to be revised through the annual budgetary procedure</w:t>
      </w:r>
      <w:r>
        <w:rPr>
          <w:noProof/>
          <w:szCs w:val="24"/>
        </w:rPr>
        <w:t>.</w:t>
      </w:r>
    </w:p>
    <w:p w:rsidR="00BB1D84" w:rsidRDefault="00BB1D84" w:rsidP="00BB1D84">
      <w:pPr>
        <w:spacing w:after="0"/>
        <w:ind w:left="142" w:right="822"/>
        <w:rPr>
          <w:noProof/>
          <w:szCs w:val="24"/>
        </w:rPr>
      </w:pPr>
    </w:p>
    <w:tbl>
      <w:tblPr>
        <w:tblW w:w="48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5"/>
        <w:gridCol w:w="323"/>
        <w:gridCol w:w="276"/>
        <w:gridCol w:w="759"/>
        <w:gridCol w:w="7"/>
        <w:gridCol w:w="198"/>
        <w:gridCol w:w="773"/>
        <w:gridCol w:w="148"/>
        <w:gridCol w:w="14"/>
        <w:gridCol w:w="404"/>
        <w:gridCol w:w="203"/>
        <w:gridCol w:w="332"/>
        <w:gridCol w:w="63"/>
        <w:gridCol w:w="374"/>
        <w:gridCol w:w="226"/>
        <w:gridCol w:w="458"/>
        <w:gridCol w:w="85"/>
        <w:gridCol w:w="205"/>
        <w:gridCol w:w="561"/>
        <w:gridCol w:w="269"/>
        <w:gridCol w:w="28"/>
        <w:gridCol w:w="859"/>
        <w:gridCol w:w="233"/>
        <w:gridCol w:w="1028"/>
        <w:gridCol w:w="93"/>
        <w:gridCol w:w="378"/>
        <w:gridCol w:w="978"/>
        <w:gridCol w:w="111"/>
        <w:gridCol w:w="854"/>
        <w:gridCol w:w="315"/>
        <w:gridCol w:w="80"/>
      </w:tblGrid>
      <w:tr w:rsidR="00355203" w:rsidRPr="00C2043F" w:rsidTr="00355203">
        <w:trPr>
          <w:gridAfter w:val="2"/>
          <w:wAfter w:w="395" w:type="dxa"/>
          <w:trHeight w:val="300"/>
        </w:trPr>
        <w:tc>
          <w:tcPr>
            <w:tcW w:w="2142" w:type="pct"/>
            <w:gridSpan w:val="7"/>
            <w:vMerge w:val="restart"/>
            <w:vAlign w:val="center"/>
            <w:hideMark/>
          </w:tcPr>
          <w:p w:rsidR="00BB1D84" w:rsidRPr="00C2043F" w:rsidRDefault="00BB1D84">
            <w:pPr>
              <w:spacing w:before="0" w:after="0"/>
              <w:jc w:val="center"/>
              <w:rPr>
                <w:b/>
                <w:bCs/>
                <w:noProof/>
                <w:color w:val="000000"/>
                <w:sz w:val="22"/>
                <w:lang w:val="en-IE" w:eastAsia="en-IE"/>
              </w:rPr>
            </w:pPr>
            <w:r w:rsidRPr="00C2043F">
              <w:rPr>
                <w:b/>
                <w:bCs/>
                <w:noProof/>
                <w:color w:val="000000"/>
                <w:sz w:val="22"/>
                <w:lang w:val="en-IE" w:eastAsia="en-IE"/>
              </w:rPr>
              <w:t> </w:t>
            </w:r>
          </w:p>
        </w:tc>
        <w:tc>
          <w:tcPr>
            <w:tcW w:w="278" w:type="pct"/>
            <w:gridSpan w:val="4"/>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278" w:type="pct"/>
            <w:gridSpan w:val="3"/>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278" w:type="pct"/>
            <w:gridSpan w:val="3"/>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277" w:type="pct"/>
            <w:gridSpan w:val="2"/>
            <w:vAlign w:val="center"/>
            <w:hideMark/>
          </w:tcPr>
          <w:p w:rsidR="00BB1D84" w:rsidRPr="00C2043F" w:rsidRDefault="00BB1D84">
            <w:pPr>
              <w:spacing w:before="0" w:after="0"/>
              <w:jc w:val="center"/>
              <w:rPr>
                <w:noProof/>
                <w:color w:val="000000"/>
                <w:sz w:val="20"/>
                <w:szCs w:val="20"/>
                <w:lang w:val="en-IE" w:eastAsia="en-IE"/>
              </w:rPr>
            </w:pPr>
            <w:r w:rsidRPr="00C2043F">
              <w:rPr>
                <w:noProof/>
                <w:color w:val="000000"/>
                <w:sz w:val="20"/>
                <w:szCs w:val="20"/>
                <w:lang w:val="en-IE" w:eastAsia="en-IE"/>
              </w:rPr>
              <w:t>Year</w:t>
            </w:r>
          </w:p>
        </w:tc>
        <w:tc>
          <w:tcPr>
            <w:tcW w:w="874" w:type="pct"/>
            <w:gridSpan w:val="5"/>
            <w:vMerge w:val="restart"/>
            <w:vAlign w:val="center"/>
            <w:hideMark/>
          </w:tcPr>
          <w:p w:rsidR="00BB1D84" w:rsidRPr="00C2043F" w:rsidRDefault="00BB1D84">
            <w:pPr>
              <w:spacing w:before="0" w:after="0"/>
              <w:jc w:val="right"/>
              <w:rPr>
                <w:b/>
                <w:bCs/>
                <w:noProof/>
                <w:color w:val="000000"/>
                <w:sz w:val="20"/>
                <w:szCs w:val="20"/>
                <w:lang w:val="en-IE" w:eastAsia="en-IE"/>
              </w:rPr>
            </w:pPr>
            <w:r w:rsidRPr="00C2043F">
              <w:rPr>
                <w:b/>
                <w:bCs/>
                <w:noProof/>
                <w:color w:val="000000"/>
                <w:sz w:val="20"/>
                <w:szCs w:val="20"/>
                <w:lang w:val="en-IE" w:eastAsia="en-IE"/>
              </w:rPr>
              <w:t>TOTAL MFF</w:t>
            </w:r>
            <w:r>
              <w:rPr>
                <w:b/>
                <w:bCs/>
                <w:noProof/>
                <w:color w:val="000000"/>
                <w:sz w:val="20"/>
                <w:szCs w:val="20"/>
                <w:lang w:val="en-IE" w:eastAsia="en-IE"/>
              </w:rPr>
              <w:t xml:space="preserve"> </w:t>
            </w:r>
            <w:r w:rsidRPr="00C2043F">
              <w:rPr>
                <w:b/>
                <w:bCs/>
                <w:noProof/>
                <w:color w:val="000000"/>
                <w:sz w:val="20"/>
                <w:szCs w:val="20"/>
                <w:lang w:val="en-IE" w:eastAsia="en-IE"/>
              </w:rPr>
              <w:t>2021-2027</w:t>
            </w:r>
          </w:p>
        </w:tc>
        <w:tc>
          <w:tcPr>
            <w:tcW w:w="874" w:type="pct"/>
            <w:gridSpan w:val="5"/>
            <w:vMerge w:val="restart"/>
            <w:vAlign w:val="center"/>
          </w:tcPr>
          <w:p w:rsidR="00BB1D84" w:rsidRPr="00C2043F" w:rsidRDefault="00BB1D84">
            <w:pPr>
              <w:spacing w:before="0" w:after="0"/>
              <w:jc w:val="right"/>
              <w:rPr>
                <w:b/>
                <w:bCs/>
                <w:noProof/>
                <w:color w:val="000000"/>
                <w:sz w:val="20"/>
                <w:szCs w:val="20"/>
                <w:lang w:val="en-IE" w:eastAsia="en-IE"/>
              </w:rPr>
            </w:pPr>
            <w:r w:rsidRPr="67209C99">
              <w:rPr>
                <w:b/>
                <w:noProof/>
                <w:color w:val="000000" w:themeColor="text1"/>
                <w:sz w:val="20"/>
                <w:szCs w:val="20"/>
                <w:lang w:val="en-IE" w:eastAsia="en-IE"/>
              </w:rPr>
              <w:t>TOTAL MFF 2028-203</w:t>
            </w:r>
            <w:r w:rsidR="009568D4">
              <w:rPr>
                <w:b/>
                <w:noProof/>
                <w:color w:val="000000" w:themeColor="text1"/>
                <w:sz w:val="20"/>
                <w:szCs w:val="20"/>
                <w:lang w:val="en-IE" w:eastAsia="en-IE"/>
              </w:rPr>
              <w:t>4</w:t>
            </w:r>
          </w:p>
        </w:tc>
      </w:tr>
      <w:tr w:rsidR="00355203" w:rsidRPr="00C2043F" w:rsidTr="00355203">
        <w:trPr>
          <w:gridAfter w:val="2"/>
          <w:wAfter w:w="395" w:type="dxa"/>
          <w:trHeight w:val="300"/>
        </w:trPr>
        <w:tc>
          <w:tcPr>
            <w:tcW w:w="2142" w:type="pct"/>
            <w:gridSpan w:val="7"/>
            <w:vMerge/>
            <w:vAlign w:val="center"/>
            <w:hideMark/>
          </w:tcPr>
          <w:p w:rsidR="00BB1D84" w:rsidRPr="00C2043F" w:rsidRDefault="00BB1D84">
            <w:pPr>
              <w:spacing w:before="0" w:after="0"/>
              <w:jc w:val="left"/>
              <w:rPr>
                <w:b/>
                <w:bCs/>
                <w:noProof/>
                <w:color w:val="000000"/>
                <w:sz w:val="22"/>
                <w:lang w:val="en-IE" w:eastAsia="en-IE"/>
              </w:rPr>
            </w:pPr>
          </w:p>
        </w:tc>
        <w:tc>
          <w:tcPr>
            <w:tcW w:w="278" w:type="pct"/>
            <w:gridSpan w:val="4"/>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2024</w:t>
            </w:r>
          </w:p>
        </w:tc>
        <w:tc>
          <w:tcPr>
            <w:tcW w:w="278" w:type="pct"/>
            <w:gridSpan w:val="3"/>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2025</w:t>
            </w:r>
          </w:p>
        </w:tc>
        <w:tc>
          <w:tcPr>
            <w:tcW w:w="278" w:type="pct"/>
            <w:gridSpan w:val="3"/>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2026</w:t>
            </w:r>
          </w:p>
        </w:tc>
        <w:tc>
          <w:tcPr>
            <w:tcW w:w="277" w:type="pct"/>
            <w:gridSpan w:val="2"/>
            <w:vAlign w:val="center"/>
            <w:hideMark/>
          </w:tcPr>
          <w:p w:rsidR="00BB1D84" w:rsidRPr="00C2043F" w:rsidRDefault="00BB1D84">
            <w:pPr>
              <w:spacing w:before="0" w:after="0"/>
              <w:jc w:val="center"/>
              <w:rPr>
                <w:b/>
                <w:bCs/>
                <w:noProof/>
                <w:color w:val="000000"/>
                <w:sz w:val="20"/>
                <w:szCs w:val="20"/>
                <w:lang w:val="en-IE" w:eastAsia="en-IE"/>
              </w:rPr>
            </w:pPr>
            <w:r w:rsidRPr="00C2043F">
              <w:rPr>
                <w:b/>
                <w:bCs/>
                <w:noProof/>
                <w:color w:val="000000"/>
                <w:sz w:val="20"/>
                <w:szCs w:val="20"/>
                <w:lang w:val="en-IE" w:eastAsia="en-IE"/>
              </w:rPr>
              <w:t>2027</w:t>
            </w:r>
          </w:p>
        </w:tc>
        <w:tc>
          <w:tcPr>
            <w:tcW w:w="874" w:type="pct"/>
            <w:gridSpan w:val="5"/>
            <w:vMerge/>
            <w:vAlign w:val="center"/>
            <w:hideMark/>
          </w:tcPr>
          <w:p w:rsidR="00BB1D84" w:rsidRPr="00C2043F" w:rsidRDefault="00BB1D84">
            <w:pPr>
              <w:spacing w:before="0" w:after="0"/>
              <w:jc w:val="right"/>
              <w:rPr>
                <w:b/>
                <w:bCs/>
                <w:noProof/>
                <w:color w:val="000000"/>
                <w:sz w:val="20"/>
                <w:szCs w:val="20"/>
                <w:lang w:val="en-IE" w:eastAsia="en-IE"/>
              </w:rPr>
            </w:pPr>
          </w:p>
        </w:tc>
        <w:tc>
          <w:tcPr>
            <w:tcW w:w="874" w:type="pct"/>
            <w:gridSpan w:val="5"/>
            <w:vMerge/>
            <w:vAlign w:val="center"/>
          </w:tcPr>
          <w:p w:rsidR="00BB1D84" w:rsidRPr="00C2043F" w:rsidRDefault="00BB1D84">
            <w:pPr>
              <w:spacing w:before="0" w:after="0"/>
              <w:jc w:val="right"/>
              <w:rPr>
                <w:b/>
                <w:bCs/>
                <w:noProof/>
                <w:color w:val="000000"/>
                <w:sz w:val="20"/>
                <w:szCs w:val="20"/>
                <w:lang w:val="en-IE" w:eastAsia="en-IE"/>
              </w:rPr>
            </w:pPr>
          </w:p>
        </w:tc>
      </w:tr>
      <w:tr w:rsidR="00355203" w:rsidRPr="00C2043F" w:rsidTr="00355203">
        <w:trPr>
          <w:gridAfter w:val="2"/>
          <w:wAfter w:w="395" w:type="dxa"/>
          <w:trHeight w:val="432"/>
        </w:trPr>
        <w:tc>
          <w:tcPr>
            <w:tcW w:w="1297" w:type="pct"/>
            <w:vMerge w:val="restart"/>
            <w:vAlign w:val="center"/>
            <w:hideMark/>
          </w:tcPr>
          <w:p w:rsidR="00BB1D84" w:rsidRPr="00C2043F" w:rsidRDefault="00BB1D84">
            <w:pPr>
              <w:spacing w:before="0" w:after="0"/>
              <w:rPr>
                <w:noProof/>
                <w:color w:val="000000"/>
                <w:sz w:val="21"/>
                <w:szCs w:val="21"/>
                <w:lang w:val="en-IE" w:eastAsia="en-IE"/>
              </w:rPr>
            </w:pPr>
            <w:r w:rsidRPr="00C2043F">
              <w:rPr>
                <w:noProof/>
                <w:color w:val="000000"/>
                <w:sz w:val="21"/>
                <w:szCs w:val="21"/>
                <w:lang w:val="en-IE" w:eastAsia="en-IE"/>
              </w:rPr>
              <w:t xml:space="preserve">TOTAL operational appropriations </w:t>
            </w:r>
            <w:r w:rsidRPr="00C2043F">
              <w:rPr>
                <w:noProof/>
                <w:color w:val="000000"/>
                <w:sz w:val="21"/>
                <w:szCs w:val="21"/>
                <w:lang w:val="en-IE" w:eastAsia="en-IE"/>
              </w:rPr>
              <w:br/>
              <w:t>(including contribution to decentralised agency)</w:t>
            </w:r>
          </w:p>
        </w:tc>
        <w:tc>
          <w:tcPr>
            <w:tcW w:w="493" w:type="pct"/>
            <w:gridSpan w:val="4"/>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351" w:type="pct"/>
            <w:gridSpan w:val="2"/>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(4)</w:t>
            </w:r>
          </w:p>
        </w:tc>
        <w:tc>
          <w:tcPr>
            <w:tcW w:w="278" w:type="pct"/>
            <w:gridSpan w:val="4"/>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7" w:type="pct"/>
            <w:gridSpan w:val="2"/>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391</w:t>
            </w:r>
          </w:p>
        </w:tc>
        <w:tc>
          <w:tcPr>
            <w:tcW w:w="874" w:type="pct"/>
            <w:gridSpan w:val="5"/>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391</w:t>
            </w:r>
          </w:p>
        </w:tc>
        <w:tc>
          <w:tcPr>
            <w:tcW w:w="874" w:type="pct"/>
            <w:gridSpan w:val="5"/>
            <w:shd w:val="clear" w:color="auto" w:fill="D9D9D9" w:themeFill="background1" w:themeFillShade="D9"/>
            <w:vAlign w:val="center"/>
          </w:tcPr>
          <w:p w:rsidR="00BB1D84" w:rsidRPr="00C2043F" w:rsidRDefault="00DD5E05">
            <w:pPr>
              <w:spacing w:before="0" w:after="0"/>
              <w:jc w:val="right"/>
              <w:rPr>
                <w:b/>
                <w:bCs/>
                <w:noProof/>
                <w:color w:val="000000"/>
                <w:sz w:val="20"/>
                <w:szCs w:val="20"/>
                <w:lang w:val="en-IE" w:eastAsia="en-IE"/>
              </w:rPr>
            </w:pPr>
            <w:r>
              <w:rPr>
                <w:b/>
                <w:bCs/>
                <w:noProof/>
                <w:color w:val="000000"/>
                <w:sz w:val="20"/>
                <w:szCs w:val="20"/>
              </w:rPr>
              <w:t>10</w:t>
            </w:r>
            <w:r w:rsidR="00687CB2">
              <w:rPr>
                <w:b/>
                <w:bCs/>
                <w:noProof/>
                <w:color w:val="000000"/>
                <w:sz w:val="20"/>
                <w:szCs w:val="20"/>
              </w:rPr>
              <w:t>.</w:t>
            </w:r>
            <w:r>
              <w:rPr>
                <w:b/>
                <w:bCs/>
                <w:noProof/>
                <w:color w:val="000000"/>
                <w:sz w:val="20"/>
                <w:szCs w:val="20"/>
              </w:rPr>
              <w:t>039</w:t>
            </w:r>
          </w:p>
        </w:tc>
      </w:tr>
      <w:tr w:rsidR="00355203" w:rsidRPr="00C2043F" w:rsidTr="00355203">
        <w:trPr>
          <w:gridAfter w:val="2"/>
          <w:wAfter w:w="395" w:type="dxa"/>
          <w:trHeight w:val="456"/>
        </w:trPr>
        <w:tc>
          <w:tcPr>
            <w:tcW w:w="1297" w:type="pct"/>
            <w:vMerge/>
            <w:vAlign w:val="center"/>
            <w:hideMark/>
          </w:tcPr>
          <w:p w:rsidR="00BB1D84" w:rsidRPr="00C2043F" w:rsidRDefault="00BB1D84">
            <w:pPr>
              <w:spacing w:before="0" w:after="0"/>
              <w:jc w:val="left"/>
              <w:rPr>
                <w:noProof/>
                <w:color w:val="000000"/>
                <w:sz w:val="21"/>
                <w:szCs w:val="21"/>
                <w:lang w:val="en-IE" w:eastAsia="en-IE"/>
              </w:rPr>
            </w:pPr>
          </w:p>
        </w:tc>
        <w:tc>
          <w:tcPr>
            <w:tcW w:w="493" w:type="pct"/>
            <w:gridSpan w:val="4"/>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Payments</w:t>
            </w:r>
          </w:p>
        </w:tc>
        <w:tc>
          <w:tcPr>
            <w:tcW w:w="351" w:type="pct"/>
            <w:gridSpan w:val="2"/>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(5)</w:t>
            </w:r>
          </w:p>
        </w:tc>
        <w:tc>
          <w:tcPr>
            <w:tcW w:w="278" w:type="pct"/>
            <w:gridSpan w:val="4"/>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7" w:type="pct"/>
            <w:gridSpan w:val="2"/>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391</w:t>
            </w:r>
          </w:p>
        </w:tc>
        <w:tc>
          <w:tcPr>
            <w:tcW w:w="874" w:type="pct"/>
            <w:gridSpan w:val="5"/>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391</w:t>
            </w:r>
          </w:p>
        </w:tc>
        <w:tc>
          <w:tcPr>
            <w:tcW w:w="874" w:type="pct"/>
            <w:gridSpan w:val="5"/>
            <w:shd w:val="clear" w:color="auto" w:fill="D9D9D9" w:themeFill="background1" w:themeFillShade="D9"/>
            <w:vAlign w:val="center"/>
          </w:tcPr>
          <w:p w:rsidR="00BB1D84" w:rsidRPr="00C2043F" w:rsidRDefault="00DD5E05">
            <w:pPr>
              <w:spacing w:before="0" w:after="0"/>
              <w:jc w:val="right"/>
              <w:rPr>
                <w:b/>
                <w:bCs/>
                <w:noProof/>
                <w:color w:val="000000"/>
                <w:sz w:val="20"/>
                <w:szCs w:val="20"/>
                <w:lang w:val="en-IE" w:eastAsia="en-IE"/>
              </w:rPr>
            </w:pPr>
            <w:r>
              <w:rPr>
                <w:b/>
                <w:bCs/>
                <w:noProof/>
                <w:color w:val="000000"/>
                <w:sz w:val="20"/>
                <w:szCs w:val="20"/>
              </w:rPr>
              <w:t>10</w:t>
            </w:r>
            <w:r w:rsidR="00687CB2">
              <w:rPr>
                <w:b/>
                <w:bCs/>
                <w:noProof/>
                <w:color w:val="000000"/>
                <w:sz w:val="20"/>
                <w:szCs w:val="20"/>
              </w:rPr>
              <w:t>.</w:t>
            </w:r>
            <w:r>
              <w:rPr>
                <w:b/>
                <w:bCs/>
                <w:noProof/>
                <w:color w:val="000000"/>
                <w:sz w:val="20"/>
                <w:szCs w:val="20"/>
              </w:rPr>
              <w:t>039</w:t>
            </w:r>
          </w:p>
        </w:tc>
      </w:tr>
      <w:tr w:rsidR="00355203" w:rsidRPr="00C2043F" w:rsidTr="00355203">
        <w:trPr>
          <w:gridAfter w:val="2"/>
          <w:wAfter w:w="395" w:type="dxa"/>
          <w:trHeight w:val="924"/>
        </w:trPr>
        <w:tc>
          <w:tcPr>
            <w:tcW w:w="1791" w:type="pct"/>
            <w:gridSpan w:val="5"/>
            <w:vAlign w:val="center"/>
            <w:hideMark/>
          </w:tcPr>
          <w:p w:rsidR="00BB1D84" w:rsidRPr="00C2043F" w:rsidRDefault="00BB1D84">
            <w:pPr>
              <w:spacing w:before="0" w:after="0"/>
              <w:rPr>
                <w:noProof/>
                <w:color w:val="000000"/>
                <w:sz w:val="21"/>
                <w:szCs w:val="21"/>
                <w:lang w:val="en-IE" w:eastAsia="en-IE"/>
              </w:rPr>
            </w:pPr>
            <w:r w:rsidRPr="00C2043F">
              <w:rPr>
                <w:noProof/>
                <w:color w:val="000000"/>
                <w:sz w:val="21"/>
                <w:szCs w:val="21"/>
                <w:lang w:val="en-IE" w:eastAsia="en-IE"/>
              </w:rPr>
              <w:t xml:space="preserve">TOTAL appropriations of an administrative nature financed from the envelope for specific programmes </w:t>
            </w:r>
          </w:p>
        </w:tc>
        <w:tc>
          <w:tcPr>
            <w:tcW w:w="351" w:type="pct"/>
            <w:gridSpan w:val="2"/>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(6)</w:t>
            </w:r>
          </w:p>
        </w:tc>
        <w:tc>
          <w:tcPr>
            <w:tcW w:w="278" w:type="pct"/>
            <w:gridSpan w:val="4"/>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000</w:t>
            </w:r>
          </w:p>
        </w:tc>
        <w:tc>
          <w:tcPr>
            <w:tcW w:w="277" w:type="pct"/>
            <w:gridSpan w:val="2"/>
            <w:shd w:val="clear" w:color="auto" w:fill="D9D9D9" w:themeFill="background1" w:themeFillShade="D9"/>
            <w:vAlign w:val="center"/>
            <w:hideMark/>
          </w:tcPr>
          <w:p w:rsidR="00BB1D84" w:rsidRPr="00C2043F" w:rsidRDefault="00BB1D84">
            <w:pPr>
              <w:spacing w:before="0" w:after="0"/>
              <w:jc w:val="right"/>
              <w:rPr>
                <w:noProof/>
                <w:color w:val="000000"/>
                <w:sz w:val="20"/>
                <w:szCs w:val="20"/>
                <w:lang w:val="en-IE" w:eastAsia="en-IE"/>
              </w:rPr>
            </w:pPr>
            <w:r>
              <w:rPr>
                <w:noProof/>
                <w:color w:val="000000"/>
                <w:sz w:val="20"/>
                <w:szCs w:val="20"/>
              </w:rPr>
              <w:t>0</w:t>
            </w:r>
            <w:r w:rsidR="00687CB2">
              <w:rPr>
                <w:noProof/>
                <w:color w:val="000000"/>
                <w:sz w:val="20"/>
                <w:szCs w:val="20"/>
              </w:rPr>
              <w:t>.</w:t>
            </w:r>
            <w:r>
              <w:rPr>
                <w:noProof/>
                <w:color w:val="000000"/>
                <w:sz w:val="20"/>
                <w:szCs w:val="20"/>
              </w:rPr>
              <w:t>255</w:t>
            </w:r>
          </w:p>
        </w:tc>
        <w:tc>
          <w:tcPr>
            <w:tcW w:w="874" w:type="pct"/>
            <w:gridSpan w:val="5"/>
            <w:shd w:val="clear" w:color="auto" w:fill="D9D9D9" w:themeFill="background1" w:themeFillShade="D9"/>
            <w:vAlign w:val="center"/>
            <w:hideMark/>
          </w:tcPr>
          <w:p w:rsidR="00BB1D84" w:rsidRPr="00983E2D" w:rsidRDefault="00BB1D84">
            <w:pPr>
              <w:spacing w:before="0" w:after="0"/>
              <w:jc w:val="right"/>
              <w:rPr>
                <w:b/>
                <w:bCs/>
                <w:noProof/>
                <w:color w:val="000000"/>
                <w:sz w:val="20"/>
                <w:szCs w:val="20"/>
                <w:lang w:val="en-IE" w:eastAsia="en-IE"/>
              </w:rPr>
            </w:pPr>
            <w:r w:rsidRPr="00983E2D">
              <w:rPr>
                <w:b/>
                <w:bCs/>
                <w:noProof/>
                <w:color w:val="000000"/>
                <w:sz w:val="20"/>
                <w:szCs w:val="20"/>
              </w:rPr>
              <w:t>0</w:t>
            </w:r>
            <w:r w:rsidR="00687CB2">
              <w:rPr>
                <w:b/>
                <w:bCs/>
                <w:noProof/>
                <w:color w:val="000000"/>
                <w:sz w:val="20"/>
                <w:szCs w:val="20"/>
              </w:rPr>
              <w:t>.</w:t>
            </w:r>
            <w:r w:rsidRPr="00983E2D">
              <w:rPr>
                <w:b/>
                <w:bCs/>
                <w:noProof/>
                <w:color w:val="000000"/>
                <w:sz w:val="20"/>
                <w:szCs w:val="20"/>
              </w:rPr>
              <w:t>255</w:t>
            </w:r>
          </w:p>
        </w:tc>
        <w:tc>
          <w:tcPr>
            <w:tcW w:w="874" w:type="pct"/>
            <w:gridSpan w:val="5"/>
            <w:shd w:val="clear" w:color="auto" w:fill="D9D9D9" w:themeFill="background1" w:themeFillShade="D9"/>
            <w:vAlign w:val="center"/>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1</w:t>
            </w:r>
            <w:r w:rsidR="00687CB2">
              <w:rPr>
                <w:b/>
                <w:bCs/>
                <w:noProof/>
                <w:color w:val="000000"/>
                <w:sz w:val="20"/>
                <w:szCs w:val="20"/>
              </w:rPr>
              <w:t>.</w:t>
            </w:r>
            <w:r>
              <w:rPr>
                <w:b/>
                <w:bCs/>
                <w:noProof/>
                <w:color w:val="000000"/>
                <w:sz w:val="20"/>
                <w:szCs w:val="20"/>
              </w:rPr>
              <w:t>782</w:t>
            </w:r>
          </w:p>
        </w:tc>
      </w:tr>
      <w:tr w:rsidR="00355203" w:rsidRPr="00C2043F" w:rsidTr="00355203">
        <w:trPr>
          <w:gridAfter w:val="2"/>
          <w:wAfter w:w="395" w:type="dxa"/>
          <w:trHeight w:val="564"/>
        </w:trPr>
        <w:tc>
          <w:tcPr>
            <w:tcW w:w="1297" w:type="pct"/>
            <w:shd w:val="clear" w:color="auto" w:fill="F1F1F1"/>
            <w:vAlign w:val="center"/>
            <w:hideMark/>
          </w:tcPr>
          <w:p w:rsidR="00BB1D84" w:rsidRPr="00C2043F" w:rsidRDefault="00BB1D84">
            <w:pPr>
              <w:spacing w:before="0" w:after="0"/>
              <w:jc w:val="center"/>
              <w:rPr>
                <w:b/>
                <w:bCs/>
                <w:noProof/>
                <w:color w:val="000000"/>
                <w:sz w:val="22"/>
                <w:lang w:val="en-IE" w:eastAsia="en-IE"/>
              </w:rPr>
            </w:pPr>
            <w:r w:rsidRPr="00C2043F">
              <w:rPr>
                <w:b/>
                <w:bCs/>
                <w:noProof/>
                <w:color w:val="000000"/>
                <w:sz w:val="22"/>
                <w:lang w:val="en-IE" w:eastAsia="en-IE"/>
              </w:rPr>
              <w:t>TOTAL appropriations</w:t>
            </w:r>
            <w:r>
              <w:rPr>
                <w:b/>
                <w:bCs/>
                <w:noProof/>
                <w:color w:val="000000"/>
                <w:sz w:val="22"/>
                <w:lang w:val="en-IE" w:eastAsia="en-IE"/>
              </w:rPr>
              <w:t xml:space="preserve"> </w:t>
            </w:r>
            <w:r w:rsidRPr="00C2043F">
              <w:rPr>
                <w:b/>
                <w:bCs/>
                <w:noProof/>
                <w:color w:val="000000"/>
                <w:sz w:val="22"/>
                <w:lang w:val="en-IE" w:eastAsia="en-IE"/>
              </w:rPr>
              <w:t xml:space="preserve">under HEADING </w:t>
            </w:r>
            <w:r>
              <w:rPr>
                <w:b/>
                <w:bCs/>
                <w:noProof/>
                <w:color w:val="000000"/>
                <w:sz w:val="22"/>
                <w:lang w:val="en-IE" w:eastAsia="en-IE"/>
              </w:rPr>
              <w:t>1</w:t>
            </w:r>
          </w:p>
        </w:tc>
        <w:tc>
          <w:tcPr>
            <w:tcW w:w="493" w:type="pct"/>
            <w:gridSpan w:val="4"/>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Commitments</w:t>
            </w:r>
          </w:p>
        </w:tc>
        <w:tc>
          <w:tcPr>
            <w:tcW w:w="351" w:type="pct"/>
            <w:gridSpan w:val="2"/>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=4+6</w:t>
            </w:r>
          </w:p>
        </w:tc>
        <w:tc>
          <w:tcPr>
            <w:tcW w:w="278" w:type="pct"/>
            <w:gridSpan w:val="4"/>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7" w:type="pct"/>
            <w:gridSpan w:val="2"/>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645</w:t>
            </w:r>
          </w:p>
        </w:tc>
        <w:tc>
          <w:tcPr>
            <w:tcW w:w="874" w:type="pct"/>
            <w:gridSpan w:val="5"/>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645</w:t>
            </w:r>
          </w:p>
        </w:tc>
        <w:tc>
          <w:tcPr>
            <w:tcW w:w="874" w:type="pct"/>
            <w:gridSpan w:val="5"/>
            <w:shd w:val="clear" w:color="auto" w:fill="D9D9D9" w:themeFill="background1" w:themeFillShade="D9"/>
            <w:vAlign w:val="center"/>
          </w:tcPr>
          <w:p w:rsidR="00BB1D84" w:rsidRPr="00C2043F" w:rsidRDefault="00DD5E05">
            <w:pPr>
              <w:spacing w:before="0" w:after="0"/>
              <w:jc w:val="right"/>
              <w:rPr>
                <w:b/>
                <w:bCs/>
                <w:noProof/>
                <w:color w:val="000000"/>
                <w:sz w:val="20"/>
                <w:szCs w:val="20"/>
                <w:lang w:val="en-IE" w:eastAsia="en-IE"/>
              </w:rPr>
            </w:pPr>
            <w:r>
              <w:rPr>
                <w:b/>
                <w:bCs/>
                <w:noProof/>
                <w:color w:val="000000"/>
                <w:sz w:val="20"/>
                <w:szCs w:val="20"/>
              </w:rPr>
              <w:t>11</w:t>
            </w:r>
            <w:r w:rsidR="00687CB2">
              <w:rPr>
                <w:b/>
                <w:bCs/>
                <w:noProof/>
                <w:color w:val="000000"/>
                <w:sz w:val="20"/>
                <w:szCs w:val="20"/>
              </w:rPr>
              <w:t>.</w:t>
            </w:r>
            <w:r>
              <w:rPr>
                <w:b/>
                <w:bCs/>
                <w:noProof/>
                <w:color w:val="000000"/>
                <w:sz w:val="20"/>
                <w:szCs w:val="20"/>
              </w:rPr>
              <w:t>821</w:t>
            </w:r>
          </w:p>
        </w:tc>
      </w:tr>
      <w:tr w:rsidR="00355203" w:rsidRPr="00C2043F" w:rsidTr="00355203">
        <w:trPr>
          <w:gridAfter w:val="2"/>
          <w:wAfter w:w="395" w:type="dxa"/>
          <w:trHeight w:val="528"/>
        </w:trPr>
        <w:tc>
          <w:tcPr>
            <w:tcW w:w="1297" w:type="pct"/>
            <w:shd w:val="clear" w:color="auto" w:fill="F1F1F1"/>
            <w:vAlign w:val="center"/>
            <w:hideMark/>
          </w:tcPr>
          <w:p w:rsidR="00BB1D84" w:rsidRPr="00C2043F" w:rsidRDefault="00BB1D84">
            <w:pPr>
              <w:spacing w:before="0" w:after="0"/>
              <w:jc w:val="center"/>
              <w:rPr>
                <w:noProof/>
                <w:color w:val="000000"/>
                <w:sz w:val="22"/>
                <w:lang w:val="en-IE" w:eastAsia="en-IE"/>
              </w:rPr>
            </w:pPr>
            <w:r w:rsidRPr="00C2043F">
              <w:rPr>
                <w:noProof/>
                <w:color w:val="000000"/>
                <w:sz w:val="22"/>
                <w:lang w:val="en-IE" w:eastAsia="en-IE"/>
              </w:rPr>
              <w:t>of the multiannual financial framework</w:t>
            </w:r>
          </w:p>
        </w:tc>
        <w:tc>
          <w:tcPr>
            <w:tcW w:w="493" w:type="pct"/>
            <w:gridSpan w:val="4"/>
            <w:vAlign w:val="center"/>
            <w:hideMark/>
          </w:tcPr>
          <w:p w:rsidR="00BB1D84" w:rsidRPr="00C2043F" w:rsidRDefault="00BB1D84">
            <w:pPr>
              <w:spacing w:before="0" w:after="0"/>
              <w:rPr>
                <w:noProof/>
                <w:color w:val="000000"/>
                <w:sz w:val="18"/>
                <w:szCs w:val="18"/>
                <w:lang w:val="en-IE" w:eastAsia="en-IE"/>
              </w:rPr>
            </w:pPr>
            <w:r w:rsidRPr="00C2043F">
              <w:rPr>
                <w:noProof/>
                <w:color w:val="000000"/>
                <w:sz w:val="18"/>
                <w:szCs w:val="18"/>
                <w:lang w:val="en-IE" w:eastAsia="en-IE"/>
              </w:rPr>
              <w:t>Payments</w:t>
            </w:r>
          </w:p>
        </w:tc>
        <w:tc>
          <w:tcPr>
            <w:tcW w:w="351" w:type="pct"/>
            <w:gridSpan w:val="2"/>
            <w:vAlign w:val="center"/>
            <w:hideMark/>
          </w:tcPr>
          <w:p w:rsidR="00BB1D84" w:rsidRPr="00C2043F" w:rsidRDefault="00BB1D84">
            <w:pPr>
              <w:spacing w:before="0" w:after="0"/>
              <w:jc w:val="center"/>
              <w:rPr>
                <w:noProof/>
                <w:color w:val="000000"/>
                <w:sz w:val="14"/>
                <w:szCs w:val="14"/>
                <w:lang w:val="en-IE" w:eastAsia="en-IE"/>
              </w:rPr>
            </w:pPr>
            <w:r w:rsidRPr="00C2043F">
              <w:rPr>
                <w:noProof/>
                <w:color w:val="000000"/>
                <w:sz w:val="14"/>
                <w:szCs w:val="14"/>
                <w:lang w:val="en-IE" w:eastAsia="en-IE"/>
              </w:rPr>
              <w:t>=5+6</w:t>
            </w:r>
          </w:p>
        </w:tc>
        <w:tc>
          <w:tcPr>
            <w:tcW w:w="278" w:type="pct"/>
            <w:gridSpan w:val="4"/>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8" w:type="pct"/>
            <w:gridSpan w:val="3"/>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000</w:t>
            </w:r>
          </w:p>
        </w:tc>
        <w:tc>
          <w:tcPr>
            <w:tcW w:w="277" w:type="pct"/>
            <w:gridSpan w:val="2"/>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645</w:t>
            </w:r>
          </w:p>
        </w:tc>
        <w:tc>
          <w:tcPr>
            <w:tcW w:w="874" w:type="pct"/>
            <w:gridSpan w:val="5"/>
            <w:shd w:val="clear" w:color="auto" w:fill="D9D9D9" w:themeFill="background1" w:themeFillShade="D9"/>
            <w:vAlign w:val="center"/>
            <w:hideMark/>
          </w:tcPr>
          <w:p w:rsidR="00BB1D84" w:rsidRPr="00C2043F" w:rsidRDefault="00BB1D84">
            <w:pPr>
              <w:spacing w:before="0" w:after="0"/>
              <w:jc w:val="right"/>
              <w:rPr>
                <w:b/>
                <w:bCs/>
                <w:noProof/>
                <w:color w:val="000000"/>
                <w:sz w:val="20"/>
                <w:szCs w:val="20"/>
                <w:lang w:val="en-IE" w:eastAsia="en-IE"/>
              </w:rPr>
            </w:pPr>
            <w:r>
              <w:rPr>
                <w:b/>
                <w:bCs/>
                <w:noProof/>
                <w:color w:val="000000"/>
                <w:sz w:val="20"/>
                <w:szCs w:val="20"/>
              </w:rPr>
              <w:t>0</w:t>
            </w:r>
            <w:r w:rsidR="00687CB2">
              <w:rPr>
                <w:b/>
                <w:bCs/>
                <w:noProof/>
                <w:color w:val="000000"/>
                <w:sz w:val="20"/>
                <w:szCs w:val="20"/>
              </w:rPr>
              <w:t>.</w:t>
            </w:r>
            <w:r>
              <w:rPr>
                <w:b/>
                <w:bCs/>
                <w:noProof/>
                <w:color w:val="000000"/>
                <w:sz w:val="20"/>
                <w:szCs w:val="20"/>
              </w:rPr>
              <w:t>645</w:t>
            </w:r>
          </w:p>
        </w:tc>
        <w:tc>
          <w:tcPr>
            <w:tcW w:w="874" w:type="pct"/>
            <w:gridSpan w:val="5"/>
            <w:shd w:val="clear" w:color="auto" w:fill="D9D9D9" w:themeFill="background1" w:themeFillShade="D9"/>
            <w:vAlign w:val="center"/>
          </w:tcPr>
          <w:p w:rsidR="00BB1D84" w:rsidRPr="00C2043F" w:rsidRDefault="00DD5E05">
            <w:pPr>
              <w:spacing w:before="0" w:after="0"/>
              <w:jc w:val="right"/>
              <w:rPr>
                <w:b/>
                <w:bCs/>
                <w:noProof/>
                <w:color w:val="000000"/>
                <w:sz w:val="20"/>
                <w:szCs w:val="20"/>
                <w:lang w:val="en-IE" w:eastAsia="en-IE"/>
              </w:rPr>
            </w:pPr>
            <w:r>
              <w:rPr>
                <w:b/>
                <w:bCs/>
                <w:noProof/>
                <w:color w:val="000000"/>
                <w:sz w:val="20"/>
                <w:szCs w:val="20"/>
              </w:rPr>
              <w:t>11</w:t>
            </w:r>
            <w:r w:rsidR="00687CB2">
              <w:rPr>
                <w:b/>
                <w:bCs/>
                <w:noProof/>
                <w:color w:val="000000"/>
                <w:sz w:val="20"/>
                <w:szCs w:val="20"/>
              </w:rPr>
              <w:t>.</w:t>
            </w:r>
            <w:r>
              <w:rPr>
                <w:b/>
                <w:bCs/>
                <w:noProof/>
                <w:color w:val="000000"/>
                <w:sz w:val="20"/>
                <w:szCs w:val="20"/>
              </w:rPr>
              <w:t>821</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288"/>
        </w:trPr>
        <w:tc>
          <w:tcPr>
            <w:tcW w:w="1374" w:type="pct"/>
            <w:gridSpan w:val="2"/>
            <w:tcBorders>
              <w:top w:val="nil"/>
              <w:left w:val="nil"/>
              <w:bottom w:val="nil"/>
              <w:right w:val="nil"/>
            </w:tcBorders>
            <w:noWrap/>
            <w:vAlign w:val="bottom"/>
            <w:hideMark/>
          </w:tcPr>
          <w:p w:rsidR="00BB1D84" w:rsidRPr="003268F2" w:rsidRDefault="00BB1D84">
            <w:pPr>
              <w:spacing w:before="0" w:after="0"/>
              <w:jc w:val="left"/>
              <w:rPr>
                <w:noProof/>
                <w:sz w:val="20"/>
                <w:szCs w:val="24"/>
                <w:lang w:val="en-IE" w:eastAsia="en-IE"/>
              </w:rPr>
            </w:pPr>
          </w:p>
        </w:tc>
        <w:tc>
          <w:tcPr>
            <w:tcW w:w="436" w:type="pct"/>
            <w:gridSpan w:val="4"/>
            <w:tcBorders>
              <w:top w:val="nil"/>
              <w:left w:val="nil"/>
              <w:bottom w:val="nil"/>
              <w:right w:val="nil"/>
            </w:tcBorders>
            <w:noWrap/>
            <w:vAlign w:val="bottom"/>
            <w:hideMark/>
          </w:tcPr>
          <w:p w:rsidR="00BB1D84" w:rsidRPr="003268F2" w:rsidRDefault="00BB1D84">
            <w:pPr>
              <w:spacing w:before="0" w:after="0"/>
              <w:jc w:val="left"/>
              <w:rPr>
                <w:noProof/>
                <w:sz w:val="20"/>
                <w:szCs w:val="20"/>
                <w:lang w:val="en-IE" w:eastAsia="en-IE"/>
              </w:rPr>
            </w:pPr>
          </w:p>
        </w:tc>
        <w:tc>
          <w:tcPr>
            <w:tcW w:w="329" w:type="pct"/>
            <w:gridSpan w:val="3"/>
            <w:tcBorders>
              <w:top w:val="nil"/>
              <w:left w:val="nil"/>
              <w:bottom w:val="nil"/>
              <w:right w:val="nil"/>
            </w:tcBorders>
            <w:noWrap/>
            <w:vAlign w:val="bottom"/>
            <w:hideMark/>
          </w:tcPr>
          <w:p w:rsidR="00BB1D84" w:rsidRPr="003268F2" w:rsidRDefault="00BB1D84">
            <w:pPr>
              <w:spacing w:before="0" w:after="0"/>
              <w:jc w:val="left"/>
              <w:rPr>
                <w:noProof/>
                <w:sz w:val="20"/>
                <w:szCs w:val="20"/>
                <w:lang w:val="en-IE" w:eastAsia="en-IE"/>
              </w:rPr>
            </w:pPr>
          </w:p>
        </w:tc>
        <w:tc>
          <w:tcPr>
            <w:tcW w:w="330" w:type="pct"/>
            <w:gridSpan w:val="3"/>
            <w:tcBorders>
              <w:top w:val="nil"/>
              <w:left w:val="nil"/>
              <w:bottom w:val="nil"/>
              <w:right w:val="single" w:sz="4" w:space="0" w:color="auto"/>
            </w:tcBorders>
            <w:noWrap/>
            <w:vAlign w:val="bottom"/>
            <w:hideMark/>
          </w:tcPr>
          <w:p w:rsidR="00BB1D84" w:rsidRPr="003268F2" w:rsidRDefault="00BB1D84">
            <w:pPr>
              <w:spacing w:before="0" w:after="0"/>
              <w:jc w:val="left"/>
              <w:rPr>
                <w:noProof/>
                <w:sz w:val="20"/>
                <w:szCs w:val="20"/>
                <w:lang w:val="en-IE" w:eastAsia="en-IE"/>
              </w:rPr>
            </w:pPr>
          </w:p>
        </w:tc>
        <w:tc>
          <w:tcPr>
            <w:tcW w:w="394" w:type="pct"/>
            <w:gridSpan w:val="4"/>
            <w:tcBorders>
              <w:top w:val="single" w:sz="8" w:space="0" w:color="auto"/>
              <w:left w:val="single" w:sz="4" w:space="0" w:color="auto"/>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4" w:type="pct"/>
            <w:gridSpan w:val="4"/>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4" w:type="pct"/>
            <w:gridSpan w:val="3"/>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4" w:type="pct"/>
            <w:gridSpan w:val="2"/>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77" w:type="pct"/>
            <w:gridSpan w:val="2"/>
            <w:vMerge w:val="restart"/>
            <w:tcBorders>
              <w:top w:val="single" w:sz="8" w:space="0" w:color="auto"/>
              <w:left w:val="single" w:sz="8" w:space="0" w:color="auto"/>
              <w:bottom w:val="single" w:sz="8" w:space="0" w:color="000000"/>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c>
          <w:tcPr>
            <w:tcW w:w="450" w:type="pct"/>
            <w:gridSpan w:val="3"/>
            <w:vMerge w:val="restart"/>
            <w:tcBorders>
              <w:top w:val="single" w:sz="8" w:space="0" w:color="auto"/>
              <w:left w:val="single" w:sz="8" w:space="0" w:color="auto"/>
              <w:right w:val="single" w:sz="8" w:space="0" w:color="auto"/>
            </w:tcBorders>
            <w:vAlign w:val="center"/>
          </w:tcPr>
          <w:p w:rsidR="00BB1D84" w:rsidRPr="003268F2" w:rsidRDefault="00BB1D84">
            <w:pPr>
              <w:spacing w:before="0" w:after="0"/>
              <w:jc w:val="center"/>
              <w:rPr>
                <w:b/>
                <w:bCs/>
                <w:noProof/>
                <w:color w:val="000000"/>
                <w:sz w:val="20"/>
                <w:szCs w:val="20"/>
                <w:lang w:val="en-IE" w:eastAsia="en-IE"/>
              </w:rPr>
            </w:pPr>
            <w:r>
              <w:rPr>
                <w:b/>
                <w:bCs/>
                <w:noProof/>
                <w:color w:val="000000"/>
                <w:sz w:val="20"/>
                <w:szCs w:val="20"/>
                <w:lang w:val="en-IE" w:eastAsia="en-IE"/>
              </w:rPr>
              <w:t>TOTAL MFF 2028-2034</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300"/>
        </w:trPr>
        <w:tc>
          <w:tcPr>
            <w:tcW w:w="1374" w:type="pct"/>
            <w:gridSpan w:val="2"/>
            <w:tcBorders>
              <w:top w:val="nil"/>
              <w:left w:val="nil"/>
              <w:bottom w:val="nil"/>
              <w:right w:val="nil"/>
            </w:tcBorders>
            <w:noWrap/>
            <w:vAlign w:val="bottom"/>
            <w:hideMark/>
          </w:tcPr>
          <w:p w:rsidR="00BB1D84" w:rsidRPr="003268F2" w:rsidRDefault="00BB1D84">
            <w:pPr>
              <w:spacing w:before="0" w:after="0"/>
              <w:jc w:val="center"/>
              <w:rPr>
                <w:b/>
                <w:bCs/>
                <w:noProof/>
                <w:color w:val="000000"/>
                <w:sz w:val="20"/>
                <w:szCs w:val="20"/>
                <w:lang w:val="en-IE" w:eastAsia="en-IE"/>
              </w:rPr>
            </w:pPr>
          </w:p>
        </w:tc>
        <w:tc>
          <w:tcPr>
            <w:tcW w:w="436" w:type="pct"/>
            <w:gridSpan w:val="4"/>
            <w:tcBorders>
              <w:top w:val="nil"/>
              <w:left w:val="nil"/>
              <w:bottom w:val="nil"/>
              <w:right w:val="nil"/>
            </w:tcBorders>
            <w:noWrap/>
            <w:vAlign w:val="bottom"/>
            <w:hideMark/>
          </w:tcPr>
          <w:p w:rsidR="00BB1D84" w:rsidRPr="003268F2" w:rsidRDefault="00BB1D84">
            <w:pPr>
              <w:spacing w:before="0" w:after="0"/>
              <w:jc w:val="left"/>
              <w:rPr>
                <w:noProof/>
                <w:sz w:val="20"/>
                <w:szCs w:val="20"/>
                <w:lang w:val="en-IE" w:eastAsia="en-IE"/>
              </w:rPr>
            </w:pPr>
          </w:p>
        </w:tc>
        <w:tc>
          <w:tcPr>
            <w:tcW w:w="329" w:type="pct"/>
            <w:gridSpan w:val="3"/>
            <w:tcBorders>
              <w:top w:val="nil"/>
              <w:left w:val="nil"/>
              <w:bottom w:val="nil"/>
              <w:right w:val="nil"/>
            </w:tcBorders>
            <w:noWrap/>
            <w:vAlign w:val="bottom"/>
            <w:hideMark/>
          </w:tcPr>
          <w:p w:rsidR="00BB1D84" w:rsidRPr="003268F2" w:rsidRDefault="00BB1D84">
            <w:pPr>
              <w:spacing w:before="0" w:after="0"/>
              <w:jc w:val="left"/>
              <w:rPr>
                <w:noProof/>
                <w:sz w:val="20"/>
                <w:szCs w:val="20"/>
                <w:lang w:val="en-IE" w:eastAsia="en-IE"/>
              </w:rPr>
            </w:pPr>
          </w:p>
        </w:tc>
        <w:tc>
          <w:tcPr>
            <w:tcW w:w="330" w:type="pct"/>
            <w:gridSpan w:val="3"/>
            <w:tcBorders>
              <w:top w:val="nil"/>
              <w:left w:val="nil"/>
              <w:bottom w:val="nil"/>
              <w:right w:val="single" w:sz="4" w:space="0" w:color="auto"/>
            </w:tcBorders>
            <w:noWrap/>
            <w:vAlign w:val="bottom"/>
            <w:hideMark/>
          </w:tcPr>
          <w:p w:rsidR="00BB1D84" w:rsidRPr="003268F2" w:rsidRDefault="00BB1D84">
            <w:pPr>
              <w:spacing w:before="0" w:after="0"/>
              <w:jc w:val="left"/>
              <w:rPr>
                <w:noProof/>
                <w:sz w:val="20"/>
                <w:szCs w:val="20"/>
                <w:lang w:val="en-IE" w:eastAsia="en-IE"/>
              </w:rPr>
            </w:pPr>
          </w:p>
        </w:tc>
        <w:tc>
          <w:tcPr>
            <w:tcW w:w="394" w:type="pct"/>
            <w:gridSpan w:val="4"/>
            <w:tcBorders>
              <w:top w:val="nil"/>
              <w:left w:val="single" w:sz="4" w:space="0" w:color="auto"/>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394" w:type="pct"/>
            <w:gridSpan w:val="4"/>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394" w:type="pct"/>
            <w:gridSpan w:val="3"/>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394" w:type="pct"/>
            <w:gridSpan w:val="2"/>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477" w:type="pct"/>
            <w:gridSpan w:val="2"/>
            <w:vMerge/>
            <w:tcBorders>
              <w:top w:val="single" w:sz="8" w:space="0" w:color="auto"/>
              <w:left w:val="single" w:sz="8" w:space="0" w:color="auto"/>
              <w:bottom w:val="single" w:sz="8" w:space="0" w:color="000000"/>
              <w:right w:val="single" w:sz="8" w:space="0" w:color="auto"/>
            </w:tcBorders>
            <w:vAlign w:val="center"/>
            <w:hideMark/>
          </w:tcPr>
          <w:p w:rsidR="00BB1D84" w:rsidRPr="003268F2" w:rsidRDefault="00BB1D84">
            <w:pPr>
              <w:spacing w:before="0" w:after="0"/>
              <w:jc w:val="right"/>
              <w:rPr>
                <w:b/>
                <w:bCs/>
                <w:noProof/>
                <w:color w:val="000000"/>
                <w:sz w:val="20"/>
                <w:szCs w:val="20"/>
                <w:lang w:val="en-IE" w:eastAsia="en-IE"/>
              </w:rPr>
            </w:pPr>
          </w:p>
        </w:tc>
        <w:tc>
          <w:tcPr>
            <w:tcW w:w="450" w:type="pct"/>
            <w:gridSpan w:val="3"/>
            <w:vMerge/>
            <w:tcBorders>
              <w:left w:val="single" w:sz="8" w:space="0" w:color="auto"/>
              <w:bottom w:val="single" w:sz="8" w:space="0" w:color="000000"/>
              <w:right w:val="single" w:sz="8" w:space="0" w:color="auto"/>
            </w:tcBorders>
            <w:vAlign w:val="center"/>
          </w:tcPr>
          <w:p w:rsidR="00BB1D84" w:rsidRPr="003268F2" w:rsidRDefault="00BB1D84">
            <w:pPr>
              <w:spacing w:before="0" w:after="0"/>
              <w:jc w:val="right"/>
              <w:rPr>
                <w:b/>
                <w:bCs/>
                <w:noProof/>
                <w:color w:val="000000"/>
                <w:sz w:val="20"/>
                <w:szCs w:val="20"/>
                <w:lang w:val="en-IE" w:eastAsia="en-IE"/>
              </w:rPr>
            </w:pP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300"/>
        </w:trPr>
        <w:tc>
          <w:tcPr>
            <w:tcW w:w="1374"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BB1D84" w:rsidRPr="003268F2" w:rsidRDefault="00BB1D84">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 xml:space="preserve">• </w:t>
            </w:r>
            <w:r w:rsidRPr="003268F2">
              <w:rPr>
                <w:noProof/>
                <w:color w:val="000000"/>
                <w:sz w:val="21"/>
                <w:szCs w:val="21"/>
                <w:lang w:val="en-IE" w:eastAsia="en-IE"/>
              </w:rPr>
              <w:t>TOTAL operational appropriations (all operational headings)</w:t>
            </w:r>
          </w:p>
        </w:tc>
        <w:tc>
          <w:tcPr>
            <w:tcW w:w="436" w:type="pct"/>
            <w:gridSpan w:val="4"/>
            <w:tcBorders>
              <w:top w:val="single" w:sz="8" w:space="0" w:color="auto"/>
              <w:left w:val="nil"/>
              <w:bottom w:val="single" w:sz="8" w:space="0" w:color="auto"/>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659" w:type="pct"/>
            <w:gridSpan w:val="6"/>
            <w:tcBorders>
              <w:top w:val="single" w:sz="8" w:space="0" w:color="auto"/>
              <w:left w:val="nil"/>
              <w:bottom w:val="single" w:sz="8" w:space="0" w:color="auto"/>
              <w:right w:val="single" w:sz="8" w:space="0" w:color="000000"/>
            </w:tcBorders>
            <w:vAlign w:val="center"/>
            <w:hideMark/>
          </w:tcPr>
          <w:p w:rsidR="00BB1D84" w:rsidRPr="003268F2" w:rsidRDefault="00BB1D84">
            <w:pPr>
              <w:spacing w:before="0" w:after="0"/>
              <w:jc w:val="center"/>
              <w:rPr>
                <w:noProof/>
                <w:color w:val="000000"/>
                <w:sz w:val="14"/>
                <w:szCs w:val="14"/>
                <w:lang w:val="en-IE" w:eastAsia="en-IE"/>
              </w:rPr>
            </w:pPr>
            <w:r w:rsidRPr="003268F2">
              <w:rPr>
                <w:noProof/>
                <w:color w:val="000000"/>
                <w:sz w:val="14"/>
                <w:szCs w:val="14"/>
                <w:lang w:val="en-IE" w:eastAsia="en-IE"/>
              </w:rPr>
              <w:t>(4)</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3"/>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Pr>
                <w:noProof/>
                <w:color w:val="000000"/>
                <w:sz w:val="20"/>
                <w:szCs w:val="20"/>
              </w:rPr>
              <w:t>0</w:t>
            </w:r>
            <w:r w:rsidR="00687FED">
              <w:rPr>
                <w:noProof/>
                <w:color w:val="000000"/>
                <w:sz w:val="20"/>
                <w:szCs w:val="20"/>
              </w:rPr>
              <w:t>.</w:t>
            </w:r>
            <w:r>
              <w:rPr>
                <w:noProof/>
                <w:color w:val="000000"/>
                <w:sz w:val="20"/>
                <w:szCs w:val="20"/>
              </w:rPr>
              <w:t>391</w:t>
            </w:r>
          </w:p>
        </w:tc>
        <w:tc>
          <w:tcPr>
            <w:tcW w:w="477"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391</w:t>
            </w:r>
          </w:p>
        </w:tc>
        <w:tc>
          <w:tcPr>
            <w:tcW w:w="450" w:type="pct"/>
            <w:gridSpan w:val="3"/>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 w:val="20"/>
                <w:szCs w:val="20"/>
                <w:lang w:val="en-IE" w:eastAsia="en-IE"/>
              </w:rPr>
            </w:pPr>
            <w:r>
              <w:rPr>
                <w:b/>
                <w:bCs/>
                <w:noProof/>
                <w:color w:val="000000"/>
                <w:sz w:val="20"/>
                <w:szCs w:val="20"/>
              </w:rPr>
              <w:t>10</w:t>
            </w:r>
            <w:r w:rsidR="00687FED">
              <w:rPr>
                <w:b/>
                <w:bCs/>
                <w:noProof/>
                <w:color w:val="000000"/>
                <w:sz w:val="20"/>
                <w:szCs w:val="20"/>
              </w:rPr>
              <w:t>.</w:t>
            </w:r>
            <w:r>
              <w:rPr>
                <w:b/>
                <w:bCs/>
                <w:noProof/>
                <w:color w:val="000000"/>
                <w:sz w:val="20"/>
                <w:szCs w:val="20"/>
              </w:rPr>
              <w:t>039</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300"/>
        </w:trPr>
        <w:tc>
          <w:tcPr>
            <w:tcW w:w="1374" w:type="pct"/>
            <w:gridSpan w:val="2"/>
            <w:vMerge/>
            <w:tcBorders>
              <w:top w:val="single" w:sz="8" w:space="0" w:color="auto"/>
              <w:left w:val="single" w:sz="8" w:space="0" w:color="auto"/>
              <w:bottom w:val="single" w:sz="8" w:space="0" w:color="auto"/>
              <w:right w:val="single" w:sz="8" w:space="0" w:color="auto"/>
            </w:tcBorders>
            <w:vAlign w:val="center"/>
            <w:hideMark/>
          </w:tcPr>
          <w:p w:rsidR="00BB1D84" w:rsidRPr="003268F2" w:rsidRDefault="00BB1D84">
            <w:pPr>
              <w:spacing w:before="0" w:after="0"/>
              <w:jc w:val="left"/>
              <w:rPr>
                <w:noProof/>
                <w:color w:val="000000"/>
                <w:sz w:val="21"/>
                <w:szCs w:val="21"/>
                <w:lang w:val="en-IE" w:eastAsia="en-IE"/>
              </w:rPr>
            </w:pPr>
          </w:p>
        </w:tc>
        <w:tc>
          <w:tcPr>
            <w:tcW w:w="436" w:type="pct"/>
            <w:gridSpan w:val="4"/>
            <w:tcBorders>
              <w:top w:val="nil"/>
              <w:left w:val="nil"/>
              <w:bottom w:val="single" w:sz="8" w:space="0" w:color="auto"/>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Payments</w:t>
            </w:r>
          </w:p>
        </w:tc>
        <w:tc>
          <w:tcPr>
            <w:tcW w:w="659" w:type="pct"/>
            <w:gridSpan w:val="6"/>
            <w:tcBorders>
              <w:top w:val="single" w:sz="8" w:space="0" w:color="auto"/>
              <w:left w:val="nil"/>
              <w:bottom w:val="single" w:sz="8" w:space="0" w:color="auto"/>
              <w:right w:val="single" w:sz="8" w:space="0" w:color="000000"/>
            </w:tcBorders>
            <w:vAlign w:val="center"/>
            <w:hideMark/>
          </w:tcPr>
          <w:p w:rsidR="00BB1D84" w:rsidRPr="003268F2" w:rsidRDefault="00BB1D84">
            <w:pPr>
              <w:spacing w:before="0" w:after="0"/>
              <w:jc w:val="center"/>
              <w:rPr>
                <w:noProof/>
                <w:color w:val="000000"/>
                <w:sz w:val="14"/>
                <w:szCs w:val="14"/>
                <w:lang w:val="en-IE" w:eastAsia="en-IE"/>
              </w:rPr>
            </w:pPr>
            <w:r w:rsidRPr="003268F2">
              <w:rPr>
                <w:noProof/>
                <w:color w:val="000000"/>
                <w:sz w:val="14"/>
                <w:szCs w:val="14"/>
                <w:lang w:val="en-IE" w:eastAsia="en-IE"/>
              </w:rPr>
              <w:t>(5)</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3"/>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Pr>
                <w:noProof/>
                <w:color w:val="000000"/>
                <w:sz w:val="20"/>
                <w:szCs w:val="20"/>
              </w:rPr>
              <w:t>0</w:t>
            </w:r>
            <w:r w:rsidR="00687FED">
              <w:rPr>
                <w:noProof/>
                <w:color w:val="000000"/>
                <w:sz w:val="20"/>
                <w:szCs w:val="20"/>
              </w:rPr>
              <w:t>.</w:t>
            </w:r>
            <w:r>
              <w:rPr>
                <w:noProof/>
                <w:color w:val="000000"/>
                <w:sz w:val="20"/>
                <w:szCs w:val="20"/>
              </w:rPr>
              <w:t>391</w:t>
            </w:r>
          </w:p>
        </w:tc>
        <w:tc>
          <w:tcPr>
            <w:tcW w:w="477"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391</w:t>
            </w:r>
          </w:p>
        </w:tc>
        <w:tc>
          <w:tcPr>
            <w:tcW w:w="450" w:type="pct"/>
            <w:gridSpan w:val="3"/>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 w:val="20"/>
                <w:szCs w:val="20"/>
                <w:lang w:val="en-IE" w:eastAsia="en-IE"/>
              </w:rPr>
            </w:pPr>
            <w:r>
              <w:rPr>
                <w:b/>
                <w:bCs/>
                <w:noProof/>
                <w:color w:val="000000"/>
                <w:sz w:val="20"/>
                <w:szCs w:val="20"/>
              </w:rPr>
              <w:t>10</w:t>
            </w:r>
            <w:r w:rsidR="00687FED">
              <w:rPr>
                <w:b/>
                <w:bCs/>
                <w:noProof/>
                <w:color w:val="000000"/>
                <w:sz w:val="20"/>
                <w:szCs w:val="20"/>
              </w:rPr>
              <w:t>.</w:t>
            </w:r>
            <w:r>
              <w:rPr>
                <w:b/>
                <w:bCs/>
                <w:noProof/>
                <w:color w:val="000000"/>
                <w:sz w:val="20"/>
                <w:szCs w:val="20"/>
              </w:rPr>
              <w:t>039</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990"/>
        </w:trPr>
        <w:tc>
          <w:tcPr>
            <w:tcW w:w="1810" w:type="pct"/>
            <w:gridSpan w:val="6"/>
            <w:tcBorders>
              <w:top w:val="single" w:sz="8" w:space="0" w:color="auto"/>
              <w:left w:val="single" w:sz="8" w:space="0" w:color="auto"/>
              <w:bottom w:val="single" w:sz="8" w:space="0" w:color="auto"/>
              <w:right w:val="single" w:sz="8" w:space="0" w:color="000000"/>
            </w:tcBorders>
            <w:vAlign w:val="center"/>
            <w:hideMark/>
          </w:tcPr>
          <w:p w:rsidR="00BB1D84" w:rsidRPr="003268F2" w:rsidRDefault="00BB1D84">
            <w:pPr>
              <w:spacing w:before="0" w:after="0"/>
              <w:rPr>
                <w:noProof/>
                <w:color w:val="000000"/>
                <w:sz w:val="21"/>
                <w:szCs w:val="21"/>
                <w:lang w:val="en-IE" w:eastAsia="en-IE"/>
              </w:rPr>
            </w:pPr>
            <w:r w:rsidRPr="003268F2">
              <w:rPr>
                <w:rFonts w:ascii="Calibri" w:hAnsi="Calibri" w:cs="Calibri"/>
                <w:noProof/>
                <w:color w:val="000000"/>
                <w:sz w:val="21"/>
                <w:szCs w:val="21"/>
                <w:lang w:val="en-IE" w:eastAsia="en-IE"/>
              </w:rPr>
              <w:t>•</w:t>
            </w:r>
            <w:r w:rsidRPr="003268F2">
              <w:rPr>
                <w:noProof/>
                <w:color w:val="000000"/>
                <w:sz w:val="21"/>
                <w:szCs w:val="21"/>
                <w:lang w:val="en-IE" w:eastAsia="en-IE"/>
              </w:rPr>
              <w:t xml:space="preserve"> TOTAL appropriations of an administrative nature financed from the envelope for specific programmes (all operational headings)</w:t>
            </w:r>
          </w:p>
        </w:tc>
        <w:tc>
          <w:tcPr>
            <w:tcW w:w="659" w:type="pct"/>
            <w:gridSpan w:val="6"/>
            <w:tcBorders>
              <w:top w:val="single" w:sz="8" w:space="0" w:color="auto"/>
              <w:left w:val="nil"/>
              <w:bottom w:val="single" w:sz="8" w:space="0" w:color="auto"/>
              <w:right w:val="single" w:sz="8" w:space="0" w:color="000000"/>
            </w:tcBorders>
            <w:vAlign w:val="center"/>
            <w:hideMark/>
          </w:tcPr>
          <w:p w:rsidR="00BB1D84" w:rsidRPr="003268F2" w:rsidRDefault="00BB1D84">
            <w:pPr>
              <w:spacing w:before="0" w:after="0"/>
              <w:jc w:val="center"/>
              <w:rPr>
                <w:noProof/>
                <w:color w:val="000000"/>
                <w:sz w:val="14"/>
                <w:szCs w:val="14"/>
                <w:lang w:val="en-IE" w:eastAsia="en-IE"/>
              </w:rPr>
            </w:pPr>
            <w:r w:rsidRPr="003268F2">
              <w:rPr>
                <w:noProof/>
                <w:color w:val="000000"/>
                <w:sz w:val="14"/>
                <w:szCs w:val="14"/>
                <w:lang w:val="en-IE" w:eastAsia="en-IE"/>
              </w:rPr>
              <w:t>(6)</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DA6CAF">
              <w:rPr>
                <w:noProof/>
                <w:color w:val="000000"/>
                <w:sz w:val="20"/>
                <w:szCs w:val="20"/>
                <w:lang w:val="en-IE" w:eastAsia="en-IE"/>
              </w:rPr>
              <w:t>0.000</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3"/>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sidRPr="007969F9">
              <w:rPr>
                <w:noProof/>
                <w:color w:val="000000"/>
                <w:sz w:val="20"/>
                <w:szCs w:val="20"/>
                <w:lang w:val="en-IE" w:eastAsia="en-IE"/>
              </w:rPr>
              <w:t>0</w:t>
            </w:r>
            <w:r w:rsidR="00687FED" w:rsidRPr="007969F9">
              <w:rPr>
                <w:noProof/>
                <w:color w:val="000000"/>
                <w:sz w:val="20"/>
                <w:szCs w:val="20"/>
                <w:lang w:val="en-IE" w:eastAsia="en-IE"/>
              </w:rPr>
              <w:t>.</w:t>
            </w:r>
            <w:r w:rsidRPr="007969F9">
              <w:rPr>
                <w:noProof/>
                <w:color w:val="000000"/>
                <w:sz w:val="20"/>
                <w:szCs w:val="20"/>
                <w:lang w:val="en-IE" w:eastAsia="en-IE"/>
              </w:rPr>
              <w:t>000</w:t>
            </w:r>
          </w:p>
        </w:tc>
        <w:tc>
          <w:tcPr>
            <w:tcW w:w="394"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noProof/>
                <w:color w:val="000000"/>
                <w:sz w:val="20"/>
                <w:szCs w:val="20"/>
                <w:lang w:val="en-IE" w:eastAsia="en-IE"/>
              </w:rPr>
            </w:pPr>
            <w:r>
              <w:rPr>
                <w:noProof/>
                <w:color w:val="000000"/>
                <w:sz w:val="20"/>
                <w:szCs w:val="20"/>
              </w:rPr>
              <w:t>0</w:t>
            </w:r>
            <w:r w:rsidR="00687FED">
              <w:rPr>
                <w:noProof/>
                <w:color w:val="000000"/>
                <w:sz w:val="20"/>
                <w:szCs w:val="20"/>
              </w:rPr>
              <w:t>.</w:t>
            </w:r>
            <w:r>
              <w:rPr>
                <w:noProof/>
                <w:color w:val="000000"/>
                <w:sz w:val="20"/>
                <w:szCs w:val="20"/>
              </w:rPr>
              <w:t>255</w:t>
            </w:r>
          </w:p>
        </w:tc>
        <w:tc>
          <w:tcPr>
            <w:tcW w:w="477"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983E2D">
              <w:rPr>
                <w:b/>
                <w:bCs/>
                <w:noProof/>
                <w:color w:val="000000"/>
                <w:sz w:val="20"/>
                <w:szCs w:val="20"/>
              </w:rPr>
              <w:t>0</w:t>
            </w:r>
            <w:r w:rsidR="00687FED">
              <w:rPr>
                <w:b/>
                <w:bCs/>
                <w:noProof/>
                <w:color w:val="000000"/>
                <w:sz w:val="20"/>
                <w:szCs w:val="20"/>
              </w:rPr>
              <w:t>.</w:t>
            </w:r>
            <w:r w:rsidRPr="00983E2D">
              <w:rPr>
                <w:b/>
                <w:bCs/>
                <w:noProof/>
                <w:color w:val="000000"/>
                <w:sz w:val="20"/>
                <w:szCs w:val="20"/>
              </w:rPr>
              <w:t>255</w:t>
            </w:r>
          </w:p>
        </w:tc>
        <w:tc>
          <w:tcPr>
            <w:tcW w:w="450" w:type="pct"/>
            <w:gridSpan w:val="3"/>
            <w:tcBorders>
              <w:top w:val="nil"/>
              <w:left w:val="nil"/>
              <w:bottom w:val="single" w:sz="8" w:space="0" w:color="auto"/>
              <w:right w:val="single" w:sz="8" w:space="0" w:color="auto"/>
            </w:tcBorders>
            <w:shd w:val="clear" w:color="000000" w:fill="D9D9D9"/>
            <w:vAlign w:val="center"/>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1</w:t>
            </w:r>
            <w:r w:rsidR="00687FED">
              <w:rPr>
                <w:b/>
                <w:bCs/>
                <w:noProof/>
                <w:color w:val="000000"/>
                <w:sz w:val="20"/>
                <w:szCs w:val="20"/>
              </w:rPr>
              <w:t>.</w:t>
            </w:r>
            <w:r>
              <w:rPr>
                <w:b/>
                <w:bCs/>
                <w:noProof/>
                <w:color w:val="000000"/>
                <w:sz w:val="20"/>
                <w:szCs w:val="20"/>
              </w:rPr>
              <w:t>782</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564"/>
        </w:trPr>
        <w:tc>
          <w:tcPr>
            <w:tcW w:w="1374" w:type="pct"/>
            <w:gridSpan w:val="2"/>
            <w:tcBorders>
              <w:top w:val="nil"/>
              <w:left w:val="single" w:sz="8" w:space="0" w:color="auto"/>
              <w:bottom w:val="nil"/>
              <w:right w:val="single" w:sz="8" w:space="0" w:color="auto"/>
            </w:tcBorders>
            <w:shd w:val="thinDiagStripe" w:color="C0C0C0" w:fill="F1F1F1"/>
            <w:vAlign w:val="center"/>
            <w:hideMark/>
          </w:tcPr>
          <w:p w:rsidR="00BB1D84" w:rsidRPr="003268F2" w:rsidRDefault="00BB1D84">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u</w:t>
            </w:r>
            <w:r w:rsidRPr="003268F2">
              <w:rPr>
                <w:b/>
                <w:bCs/>
                <w:noProof/>
                <w:color w:val="000000"/>
                <w:sz w:val="22"/>
                <w:lang w:val="en-IE" w:eastAsia="en-IE"/>
              </w:rPr>
              <w:t xml:space="preserve">nder </w:t>
            </w:r>
            <w:r>
              <w:rPr>
                <w:b/>
                <w:bCs/>
                <w:noProof/>
                <w:color w:val="000000"/>
                <w:sz w:val="22"/>
                <w:lang w:val="en-IE" w:eastAsia="en-IE"/>
              </w:rPr>
              <w:t xml:space="preserve">          </w:t>
            </w:r>
            <w:r w:rsidRPr="003268F2">
              <w:rPr>
                <w:b/>
                <w:bCs/>
                <w:noProof/>
                <w:color w:val="000000"/>
                <w:sz w:val="22"/>
                <w:lang w:val="en-IE" w:eastAsia="en-IE"/>
              </w:rPr>
              <w:t>Heading</w:t>
            </w:r>
            <w:r>
              <w:rPr>
                <w:b/>
                <w:bCs/>
                <w:noProof/>
                <w:color w:val="000000"/>
                <w:sz w:val="22"/>
                <w:lang w:val="en-IE" w:eastAsia="en-IE"/>
              </w:rPr>
              <w:t>s</w:t>
            </w:r>
            <w:r w:rsidRPr="003268F2">
              <w:rPr>
                <w:b/>
                <w:bCs/>
                <w:noProof/>
                <w:color w:val="000000"/>
                <w:sz w:val="22"/>
                <w:lang w:val="en-IE" w:eastAsia="en-IE"/>
              </w:rPr>
              <w:t xml:space="preserve"> 1 to 6</w:t>
            </w:r>
          </w:p>
        </w:tc>
        <w:tc>
          <w:tcPr>
            <w:tcW w:w="436" w:type="pct"/>
            <w:gridSpan w:val="4"/>
            <w:tcBorders>
              <w:top w:val="nil"/>
              <w:left w:val="nil"/>
              <w:bottom w:val="nil"/>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659" w:type="pct"/>
            <w:gridSpan w:val="6"/>
            <w:tcBorders>
              <w:top w:val="single" w:sz="8" w:space="0" w:color="auto"/>
              <w:left w:val="nil"/>
              <w:bottom w:val="nil"/>
              <w:right w:val="single" w:sz="8" w:space="0" w:color="000000"/>
            </w:tcBorders>
            <w:vAlign w:val="center"/>
            <w:hideMark/>
          </w:tcPr>
          <w:p w:rsidR="00BB1D84" w:rsidRPr="003268F2" w:rsidRDefault="00BB1D84">
            <w:pPr>
              <w:spacing w:before="0" w:after="0"/>
              <w:jc w:val="center"/>
              <w:rPr>
                <w:noProof/>
                <w:color w:val="000000"/>
                <w:sz w:val="14"/>
                <w:szCs w:val="14"/>
                <w:lang w:val="en-IE" w:eastAsia="en-IE"/>
              </w:rPr>
            </w:pPr>
            <w:r w:rsidRPr="003268F2">
              <w:rPr>
                <w:noProof/>
                <w:color w:val="000000"/>
                <w:sz w:val="14"/>
                <w:szCs w:val="14"/>
                <w:lang w:val="en-IE" w:eastAsia="en-IE"/>
              </w:rPr>
              <w:t>=4+6</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3"/>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645</w:t>
            </w:r>
          </w:p>
        </w:tc>
        <w:tc>
          <w:tcPr>
            <w:tcW w:w="477"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sidRPr="00BA713B">
              <w:rPr>
                <w:b/>
                <w:bCs/>
                <w:noProof/>
                <w:color w:val="000000"/>
                <w:sz w:val="20"/>
                <w:szCs w:val="20"/>
              </w:rPr>
              <w:t>391</w:t>
            </w:r>
          </w:p>
        </w:tc>
        <w:tc>
          <w:tcPr>
            <w:tcW w:w="450" w:type="pct"/>
            <w:gridSpan w:val="3"/>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 w:val="20"/>
                <w:szCs w:val="20"/>
                <w:lang w:val="en-IE" w:eastAsia="en-IE"/>
              </w:rPr>
            </w:pPr>
            <w:r>
              <w:rPr>
                <w:b/>
                <w:bCs/>
                <w:noProof/>
                <w:color w:val="000000"/>
                <w:sz w:val="20"/>
                <w:szCs w:val="20"/>
                <w:lang w:eastAsia="en-IE"/>
              </w:rPr>
              <w:t>11</w:t>
            </w:r>
            <w:r w:rsidR="00687FED">
              <w:rPr>
                <w:b/>
                <w:bCs/>
                <w:noProof/>
                <w:color w:val="000000"/>
                <w:sz w:val="20"/>
                <w:szCs w:val="20"/>
                <w:lang w:eastAsia="en-IE"/>
              </w:rPr>
              <w:t>.</w:t>
            </w:r>
            <w:r>
              <w:rPr>
                <w:b/>
                <w:bCs/>
                <w:noProof/>
                <w:color w:val="000000"/>
                <w:sz w:val="20"/>
                <w:szCs w:val="20"/>
                <w:lang w:eastAsia="en-IE"/>
              </w:rPr>
              <w:t>821</w:t>
            </w:r>
          </w:p>
        </w:tc>
      </w:tr>
      <w:tr w:rsidR="00BB1D84" w:rsidRPr="003268F2" w:rsidTr="00BB1D8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 w:type="pct"/>
          <w:trHeight w:val="588"/>
        </w:trPr>
        <w:tc>
          <w:tcPr>
            <w:tcW w:w="1374"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of the multiannual financial framework</w:t>
            </w:r>
            <w:r w:rsidRPr="003268F2">
              <w:rPr>
                <w:noProof/>
                <w:color w:val="000000"/>
                <w:sz w:val="20"/>
                <w:szCs w:val="20"/>
                <w:lang w:val="en-IE" w:eastAsia="en-IE"/>
              </w:rPr>
              <w:br/>
              <w:t>(Reference amount)</w:t>
            </w:r>
          </w:p>
        </w:tc>
        <w:tc>
          <w:tcPr>
            <w:tcW w:w="436" w:type="pct"/>
            <w:gridSpan w:val="4"/>
            <w:tcBorders>
              <w:top w:val="nil"/>
              <w:left w:val="nil"/>
              <w:bottom w:val="single" w:sz="8" w:space="0" w:color="auto"/>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Payments</w:t>
            </w:r>
          </w:p>
        </w:tc>
        <w:tc>
          <w:tcPr>
            <w:tcW w:w="659" w:type="pct"/>
            <w:gridSpan w:val="6"/>
            <w:tcBorders>
              <w:top w:val="single" w:sz="8" w:space="0" w:color="auto"/>
              <w:left w:val="nil"/>
              <w:bottom w:val="single" w:sz="8" w:space="0" w:color="auto"/>
              <w:right w:val="single" w:sz="8" w:space="0" w:color="000000"/>
            </w:tcBorders>
            <w:vAlign w:val="center"/>
            <w:hideMark/>
          </w:tcPr>
          <w:p w:rsidR="00BB1D84" w:rsidRPr="003268F2" w:rsidRDefault="00BB1D84">
            <w:pPr>
              <w:spacing w:before="0" w:after="0"/>
              <w:jc w:val="center"/>
              <w:rPr>
                <w:noProof/>
                <w:color w:val="000000"/>
                <w:sz w:val="14"/>
                <w:szCs w:val="14"/>
                <w:lang w:val="en-IE" w:eastAsia="en-IE"/>
              </w:rPr>
            </w:pPr>
            <w:r w:rsidRPr="003268F2">
              <w:rPr>
                <w:noProof/>
                <w:color w:val="000000"/>
                <w:sz w:val="14"/>
                <w:szCs w:val="14"/>
                <w:lang w:val="en-IE" w:eastAsia="en-IE"/>
              </w:rPr>
              <w:t>=5+6</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4"/>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3"/>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94"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645</w:t>
            </w:r>
          </w:p>
        </w:tc>
        <w:tc>
          <w:tcPr>
            <w:tcW w:w="477" w:type="pct"/>
            <w:gridSpan w:val="2"/>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sidRPr="00BA713B">
              <w:rPr>
                <w:b/>
                <w:bCs/>
                <w:noProof/>
                <w:color w:val="000000"/>
                <w:sz w:val="20"/>
                <w:szCs w:val="20"/>
              </w:rPr>
              <w:t>391</w:t>
            </w:r>
          </w:p>
        </w:tc>
        <w:tc>
          <w:tcPr>
            <w:tcW w:w="450" w:type="pct"/>
            <w:gridSpan w:val="3"/>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 w:val="20"/>
                <w:szCs w:val="20"/>
                <w:lang w:val="en-IE" w:eastAsia="en-IE"/>
              </w:rPr>
            </w:pPr>
            <w:r>
              <w:rPr>
                <w:b/>
                <w:bCs/>
                <w:noProof/>
                <w:color w:val="000000"/>
                <w:sz w:val="20"/>
                <w:szCs w:val="20"/>
                <w:lang w:eastAsia="en-IE"/>
              </w:rPr>
              <w:t>11</w:t>
            </w:r>
            <w:r w:rsidR="00687FED">
              <w:rPr>
                <w:b/>
                <w:bCs/>
                <w:noProof/>
                <w:color w:val="000000"/>
                <w:sz w:val="20"/>
                <w:szCs w:val="20"/>
                <w:lang w:eastAsia="en-IE"/>
              </w:rPr>
              <w:t>.</w:t>
            </w:r>
            <w:r>
              <w:rPr>
                <w:b/>
                <w:bCs/>
                <w:noProof/>
                <w:color w:val="000000"/>
                <w:sz w:val="20"/>
                <w:szCs w:val="20"/>
                <w:lang w:eastAsia="en-IE"/>
              </w:rPr>
              <w:t>821</w:t>
            </w:r>
          </w:p>
        </w:tc>
      </w:tr>
      <w:tr w:rsidR="00BB1D84" w:rsidTr="00BB1D84">
        <w:tblPrEx>
          <w:jc w:val="center"/>
          <w:tblLook w:val="01E0" w:firstRow="1" w:lastRow="1" w:firstColumn="1" w:lastColumn="1" w:noHBand="0" w:noVBand="0"/>
        </w:tblPrEx>
        <w:trPr>
          <w:jc w:val="center"/>
        </w:trPr>
        <w:tc>
          <w:tcPr>
            <w:tcW w:w="1738" w:type="pct"/>
            <w:gridSpan w:val="4"/>
            <w:shd w:val="thinDiagStripe" w:color="C0C0C0" w:fill="auto"/>
            <w:vAlign w:val="center"/>
          </w:tcPr>
          <w:p w:rsidR="00BB1D84" w:rsidRPr="003A769F" w:rsidRDefault="00BB1D84">
            <w:pPr>
              <w:spacing w:before="60" w:after="60"/>
              <w:jc w:val="center"/>
              <w:rPr>
                <w:b/>
                <w:noProof/>
                <w:lang w:val="en-IE"/>
              </w:rPr>
            </w:pPr>
            <w:r w:rsidRPr="003A769F">
              <w:rPr>
                <w:noProof/>
                <w:sz w:val="22"/>
                <w:lang w:val="en-IE"/>
              </w:rPr>
              <w:br w:type="page"/>
            </w:r>
            <w:r w:rsidRPr="003A769F">
              <w:rPr>
                <w:b/>
                <w:noProof/>
                <w:sz w:val="22"/>
                <w:lang w:val="en-IE"/>
              </w:rPr>
              <w:t xml:space="preserve">Heading of multiannual financial framework </w:t>
            </w:r>
          </w:p>
        </w:tc>
        <w:tc>
          <w:tcPr>
            <w:tcW w:w="396" w:type="pct"/>
            <w:gridSpan w:val="4"/>
            <w:shd w:val="thinDiagStripe" w:color="C0C0C0" w:fill="auto"/>
            <w:vAlign w:val="center"/>
          </w:tcPr>
          <w:p w:rsidR="00BB1D84" w:rsidRDefault="00BB1D84">
            <w:pPr>
              <w:spacing w:before="60" w:after="60"/>
              <w:jc w:val="center"/>
              <w:rPr>
                <w:noProof/>
              </w:rPr>
            </w:pPr>
            <w:r>
              <w:rPr>
                <w:b/>
                <w:noProof/>
                <w:sz w:val="22"/>
              </w:rPr>
              <w:t>7</w:t>
            </w:r>
          </w:p>
        </w:tc>
        <w:tc>
          <w:tcPr>
            <w:tcW w:w="2866" w:type="pct"/>
            <w:gridSpan w:val="23"/>
            <w:vAlign w:val="center"/>
          </w:tcPr>
          <w:p w:rsidR="00BB1D84" w:rsidRDefault="00BB1D84">
            <w:pPr>
              <w:spacing w:before="60" w:after="60"/>
              <w:rPr>
                <w:noProof/>
              </w:rPr>
            </w:pPr>
            <w:r>
              <w:rPr>
                <w:noProof/>
                <w:sz w:val="22"/>
              </w:rPr>
              <w:t>‘Administrative expenditure’</w:t>
            </w:r>
          </w:p>
        </w:tc>
      </w:tr>
      <w:tr w:rsidR="00BB1D84" w:rsidRPr="003268F2" w:rsidTr="00BB1D84">
        <w:trPr>
          <w:trHeight w:val="288"/>
        </w:trPr>
        <w:tc>
          <w:tcPr>
            <w:tcW w:w="2702" w:type="pct"/>
            <w:gridSpan w:val="15"/>
            <w:vMerge w:val="restart"/>
            <w:vAlign w:val="center"/>
            <w:hideMark/>
          </w:tcPr>
          <w:p w:rsidR="00BB1D84" w:rsidRPr="003268F2" w:rsidRDefault="00BB1D84">
            <w:pPr>
              <w:spacing w:before="0" w:after="0"/>
              <w:jc w:val="center"/>
              <w:rPr>
                <w:noProof/>
                <w:color w:val="000000"/>
                <w:szCs w:val="24"/>
                <w:lang w:val="en-IE" w:eastAsia="en-IE"/>
              </w:rPr>
            </w:pPr>
            <w:r w:rsidRPr="003268F2">
              <w:rPr>
                <w:noProof/>
                <w:color w:val="000000"/>
                <w:szCs w:val="24"/>
                <w:lang w:val="en-IE" w:eastAsia="en-IE"/>
              </w:rPr>
              <w:t xml:space="preserve">DG: </w:t>
            </w:r>
            <w:r>
              <w:rPr>
                <w:noProof/>
                <w:color w:val="000000"/>
                <w:szCs w:val="24"/>
                <w:lang w:val="en-IE" w:eastAsia="en-IE"/>
              </w:rPr>
              <w:t>ENER</w:t>
            </w:r>
          </w:p>
        </w:tc>
        <w:tc>
          <w:tcPr>
            <w:tcW w:w="263" w:type="pct"/>
            <w:gridSpan w:val="3"/>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02" w:type="pct"/>
            <w:gridSpan w:val="3"/>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02" w:type="pct"/>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609" w:type="pct"/>
            <w:gridSpan w:val="4"/>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83" w:type="pct"/>
            <w:gridSpan w:val="2"/>
            <w:vMerge w:val="restart"/>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c>
          <w:tcPr>
            <w:tcW w:w="439" w:type="pct"/>
            <w:gridSpan w:val="3"/>
            <w:vMerge w:val="restart"/>
            <w:vAlign w:val="center"/>
          </w:tcPr>
          <w:p w:rsidR="00BB1D84" w:rsidRPr="003268F2" w:rsidRDefault="00BB1D84">
            <w:pPr>
              <w:spacing w:before="0" w:after="0"/>
              <w:jc w:val="center"/>
              <w:rPr>
                <w:b/>
                <w:bCs/>
                <w:noProof/>
                <w:color w:val="000000"/>
                <w:sz w:val="20"/>
                <w:szCs w:val="20"/>
                <w:lang w:val="en-IE" w:eastAsia="en-IE"/>
              </w:rPr>
            </w:pPr>
            <w:r>
              <w:rPr>
                <w:b/>
                <w:bCs/>
                <w:noProof/>
                <w:color w:val="000000"/>
                <w:sz w:val="20"/>
                <w:szCs w:val="20"/>
                <w:lang w:val="en-IE" w:eastAsia="en-IE"/>
              </w:rPr>
              <w:t>TOTAL MFF 2028-2034</w:t>
            </w:r>
          </w:p>
        </w:tc>
      </w:tr>
      <w:tr w:rsidR="00BB1D84" w:rsidRPr="003268F2" w:rsidTr="00BB1D84">
        <w:trPr>
          <w:trHeight w:val="300"/>
        </w:trPr>
        <w:tc>
          <w:tcPr>
            <w:tcW w:w="2702" w:type="pct"/>
            <w:gridSpan w:val="15"/>
            <w:vMerge/>
            <w:vAlign w:val="center"/>
            <w:hideMark/>
          </w:tcPr>
          <w:p w:rsidR="00BB1D84" w:rsidRPr="003268F2" w:rsidRDefault="00BB1D84">
            <w:pPr>
              <w:spacing w:before="0" w:after="0"/>
              <w:jc w:val="left"/>
              <w:rPr>
                <w:noProof/>
                <w:color w:val="000000"/>
                <w:szCs w:val="24"/>
                <w:lang w:val="en-IE" w:eastAsia="en-IE"/>
              </w:rPr>
            </w:pPr>
          </w:p>
        </w:tc>
        <w:tc>
          <w:tcPr>
            <w:tcW w:w="263" w:type="pct"/>
            <w:gridSpan w:val="3"/>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302" w:type="pct"/>
            <w:gridSpan w:val="3"/>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302" w:type="pct"/>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609" w:type="pct"/>
            <w:gridSpan w:val="4"/>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383" w:type="pct"/>
            <w:gridSpan w:val="2"/>
            <w:vMerge/>
            <w:vAlign w:val="center"/>
            <w:hideMark/>
          </w:tcPr>
          <w:p w:rsidR="00BB1D84" w:rsidRPr="003268F2" w:rsidRDefault="00BB1D84">
            <w:pPr>
              <w:spacing w:before="0" w:after="0"/>
              <w:jc w:val="left"/>
              <w:rPr>
                <w:b/>
                <w:bCs/>
                <w:noProof/>
                <w:color w:val="000000"/>
                <w:sz w:val="20"/>
                <w:szCs w:val="20"/>
                <w:lang w:val="en-IE" w:eastAsia="en-IE"/>
              </w:rPr>
            </w:pPr>
          </w:p>
        </w:tc>
        <w:tc>
          <w:tcPr>
            <w:tcW w:w="439" w:type="pct"/>
            <w:gridSpan w:val="3"/>
            <w:vMerge/>
            <w:vAlign w:val="center"/>
          </w:tcPr>
          <w:p w:rsidR="00BB1D84" w:rsidRPr="003268F2" w:rsidRDefault="00BB1D84">
            <w:pPr>
              <w:spacing w:before="0" w:after="0"/>
              <w:jc w:val="right"/>
              <w:rPr>
                <w:b/>
                <w:bCs/>
                <w:noProof/>
                <w:color w:val="000000"/>
                <w:sz w:val="20"/>
                <w:szCs w:val="20"/>
                <w:lang w:val="en-IE" w:eastAsia="en-IE"/>
              </w:rPr>
            </w:pPr>
          </w:p>
        </w:tc>
      </w:tr>
      <w:tr w:rsidR="00BB1D84" w:rsidRPr="003268F2" w:rsidTr="00BB1D84">
        <w:trPr>
          <w:trHeight w:val="300"/>
        </w:trPr>
        <w:tc>
          <w:tcPr>
            <w:tcW w:w="2702" w:type="pct"/>
            <w:gridSpan w:val="15"/>
            <w:vAlign w:val="center"/>
            <w:hideMark/>
          </w:tcPr>
          <w:p w:rsidR="00BB1D84" w:rsidRPr="003268F2" w:rsidRDefault="00BB1D84">
            <w:pPr>
              <w:spacing w:before="0" w:after="0"/>
              <w:jc w:val="left"/>
              <w:rPr>
                <w:rFonts w:ascii="Wingdings" w:hAnsi="Wingdings" w:cs="Calibri"/>
                <w:noProof/>
                <w:color w:val="000000"/>
                <w:sz w:val="22"/>
                <w:lang w:val="en-IE" w:eastAsia="en-IE"/>
              </w:rPr>
            </w:pPr>
            <w:r w:rsidRPr="003268F2">
              <w:rPr>
                <w:rFonts w:ascii="Wingdings" w:hAnsi="Wingdings" w:cs="Calibri"/>
                <w:noProof/>
                <w:color w:val="000000"/>
                <w:sz w:val="22"/>
                <w:lang w:val="en-IE" w:eastAsia="en-IE"/>
              </w:rPr>
              <w:t></w:t>
            </w:r>
            <w:r w:rsidRPr="003268F2">
              <w:rPr>
                <w:noProof/>
                <w:color w:val="000000"/>
                <w:sz w:val="22"/>
                <w:lang w:val="en-IE" w:eastAsia="en-IE"/>
              </w:rPr>
              <w:t xml:space="preserve"> Human resources </w:t>
            </w:r>
          </w:p>
        </w:tc>
        <w:tc>
          <w:tcPr>
            <w:tcW w:w="263" w:type="pct"/>
            <w:gridSpan w:val="3"/>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302" w:type="pct"/>
            <w:gridSpan w:val="3"/>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302" w:type="pct"/>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609" w:type="pct"/>
            <w:gridSpan w:val="4"/>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Pr>
                <w:noProof/>
                <w:color w:val="000000"/>
                <w:sz w:val="20"/>
                <w:szCs w:val="20"/>
              </w:rPr>
              <w:t>0</w:t>
            </w:r>
            <w:r w:rsidR="00687FED">
              <w:rPr>
                <w:noProof/>
                <w:color w:val="000000"/>
                <w:sz w:val="20"/>
                <w:szCs w:val="20"/>
              </w:rPr>
              <w:t>.</w:t>
            </w:r>
            <w:r>
              <w:rPr>
                <w:noProof/>
                <w:color w:val="000000"/>
                <w:sz w:val="20"/>
                <w:szCs w:val="20"/>
              </w:rPr>
              <w:t>404</w:t>
            </w:r>
          </w:p>
        </w:tc>
        <w:tc>
          <w:tcPr>
            <w:tcW w:w="383" w:type="pct"/>
            <w:gridSpan w:val="2"/>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404</w:t>
            </w:r>
          </w:p>
        </w:tc>
        <w:tc>
          <w:tcPr>
            <w:tcW w:w="439" w:type="pct"/>
            <w:gridSpan w:val="3"/>
            <w:shd w:val="clear" w:color="auto" w:fill="D9D9D9" w:themeFill="background1" w:themeFillShade="D9"/>
            <w:vAlign w:val="bottom"/>
          </w:tcPr>
          <w:p w:rsidR="00BB1D84" w:rsidRPr="003268F2" w:rsidRDefault="00BB1D84">
            <w:pPr>
              <w:spacing w:before="0" w:after="0"/>
              <w:jc w:val="right"/>
              <w:rPr>
                <w:b/>
                <w:bCs/>
                <w:noProof/>
                <w:color w:val="000000"/>
                <w:sz w:val="20"/>
                <w:szCs w:val="20"/>
                <w:lang w:val="en-IE" w:eastAsia="en-IE"/>
              </w:rPr>
            </w:pPr>
            <w:r>
              <w:rPr>
                <w:b/>
                <w:bCs/>
                <w:noProof/>
                <w:color w:val="000000"/>
                <w:sz w:val="22"/>
              </w:rPr>
              <w:t>2</w:t>
            </w:r>
            <w:r w:rsidR="00687FED">
              <w:rPr>
                <w:b/>
                <w:bCs/>
                <w:noProof/>
                <w:color w:val="000000"/>
                <w:sz w:val="22"/>
              </w:rPr>
              <w:t>.</w:t>
            </w:r>
            <w:r>
              <w:rPr>
                <w:b/>
                <w:bCs/>
                <w:noProof/>
                <w:color w:val="000000"/>
                <w:sz w:val="22"/>
              </w:rPr>
              <w:t>828</w:t>
            </w:r>
          </w:p>
        </w:tc>
      </w:tr>
      <w:tr w:rsidR="00BB1D84" w:rsidRPr="003268F2" w:rsidTr="00BB1D84">
        <w:trPr>
          <w:trHeight w:val="300"/>
        </w:trPr>
        <w:tc>
          <w:tcPr>
            <w:tcW w:w="2702" w:type="pct"/>
            <w:gridSpan w:val="15"/>
            <w:vAlign w:val="center"/>
            <w:hideMark/>
          </w:tcPr>
          <w:p w:rsidR="00BB1D84" w:rsidRPr="003268F2" w:rsidRDefault="00BB1D84">
            <w:pPr>
              <w:spacing w:before="0" w:after="0"/>
              <w:jc w:val="left"/>
              <w:rPr>
                <w:rFonts w:ascii="Wingdings" w:hAnsi="Wingdings" w:cs="Calibri"/>
                <w:noProof/>
                <w:color w:val="000000"/>
                <w:sz w:val="22"/>
                <w:lang w:val="en-IE" w:eastAsia="en-IE"/>
              </w:rPr>
            </w:pPr>
            <w:r w:rsidRPr="003268F2">
              <w:rPr>
                <w:rFonts w:ascii="Wingdings" w:hAnsi="Wingdings" w:cs="Calibri"/>
                <w:noProof/>
                <w:color w:val="000000"/>
                <w:sz w:val="22"/>
                <w:lang w:val="en-IE" w:eastAsia="en-IE"/>
              </w:rPr>
              <w:t></w:t>
            </w:r>
            <w:r w:rsidRPr="003268F2">
              <w:rPr>
                <w:noProof/>
                <w:color w:val="000000"/>
                <w:sz w:val="22"/>
                <w:lang w:val="en-IE" w:eastAsia="en-IE"/>
              </w:rPr>
              <w:t xml:space="preserve"> Other administrative expenditure </w:t>
            </w:r>
          </w:p>
        </w:tc>
        <w:tc>
          <w:tcPr>
            <w:tcW w:w="263" w:type="pct"/>
            <w:gridSpan w:val="3"/>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302" w:type="pct"/>
            <w:gridSpan w:val="3"/>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302" w:type="pct"/>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sidRPr="00AA7EF7">
              <w:rPr>
                <w:noProof/>
                <w:color w:val="000000"/>
                <w:sz w:val="20"/>
                <w:szCs w:val="20"/>
                <w:lang w:val="en-IE" w:eastAsia="en-IE"/>
              </w:rPr>
              <w:t>0</w:t>
            </w:r>
            <w:r w:rsidR="00687FED" w:rsidRPr="00AA7EF7">
              <w:rPr>
                <w:noProof/>
                <w:color w:val="000000"/>
                <w:sz w:val="20"/>
                <w:szCs w:val="20"/>
                <w:lang w:val="en-IE" w:eastAsia="en-IE"/>
              </w:rPr>
              <w:t>.</w:t>
            </w:r>
            <w:r w:rsidRPr="00AA7EF7">
              <w:rPr>
                <w:noProof/>
                <w:color w:val="000000"/>
                <w:sz w:val="20"/>
                <w:szCs w:val="20"/>
                <w:lang w:val="en-IE" w:eastAsia="en-IE"/>
              </w:rPr>
              <w:t>000</w:t>
            </w:r>
          </w:p>
        </w:tc>
        <w:tc>
          <w:tcPr>
            <w:tcW w:w="609" w:type="pct"/>
            <w:gridSpan w:val="4"/>
            <w:shd w:val="clear" w:color="auto" w:fill="D9D9D9" w:themeFill="background1" w:themeFillShade="D9"/>
            <w:vAlign w:val="center"/>
            <w:hideMark/>
          </w:tcPr>
          <w:p w:rsidR="00BB1D84" w:rsidRPr="003268F2" w:rsidRDefault="00BB1D84">
            <w:pPr>
              <w:spacing w:before="0" w:after="0"/>
              <w:jc w:val="right"/>
              <w:rPr>
                <w:noProof/>
                <w:color w:val="000000"/>
                <w:sz w:val="20"/>
                <w:szCs w:val="20"/>
                <w:lang w:val="en-IE" w:eastAsia="en-IE"/>
              </w:rPr>
            </w:pPr>
            <w:r>
              <w:rPr>
                <w:noProof/>
                <w:color w:val="000000"/>
                <w:sz w:val="20"/>
                <w:szCs w:val="20"/>
              </w:rPr>
              <w:t>0</w:t>
            </w:r>
            <w:r w:rsidR="00687FED">
              <w:rPr>
                <w:noProof/>
                <w:color w:val="000000"/>
                <w:sz w:val="20"/>
                <w:szCs w:val="20"/>
              </w:rPr>
              <w:t>.</w:t>
            </w:r>
            <w:r>
              <w:rPr>
                <w:noProof/>
                <w:color w:val="000000"/>
                <w:sz w:val="20"/>
                <w:szCs w:val="20"/>
              </w:rPr>
              <w:t>018</w:t>
            </w:r>
          </w:p>
        </w:tc>
        <w:tc>
          <w:tcPr>
            <w:tcW w:w="383" w:type="pct"/>
            <w:gridSpan w:val="2"/>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018</w:t>
            </w:r>
          </w:p>
        </w:tc>
        <w:tc>
          <w:tcPr>
            <w:tcW w:w="439" w:type="pct"/>
            <w:gridSpan w:val="3"/>
            <w:shd w:val="clear" w:color="auto" w:fill="D9D9D9" w:themeFill="background1" w:themeFillShade="D9"/>
            <w:vAlign w:val="bottom"/>
          </w:tcPr>
          <w:p w:rsidR="00BB1D84" w:rsidRPr="003268F2" w:rsidRDefault="00BB1D84">
            <w:pPr>
              <w:spacing w:before="0" w:after="0"/>
              <w:jc w:val="right"/>
              <w:rPr>
                <w:b/>
                <w:bCs/>
                <w:noProof/>
                <w:color w:val="000000"/>
                <w:sz w:val="20"/>
                <w:szCs w:val="20"/>
                <w:lang w:val="en-IE" w:eastAsia="en-IE"/>
              </w:rPr>
            </w:pPr>
            <w:r>
              <w:rPr>
                <w:b/>
                <w:bCs/>
                <w:noProof/>
                <w:color w:val="000000"/>
                <w:sz w:val="22"/>
              </w:rPr>
              <w:t>0</w:t>
            </w:r>
            <w:r w:rsidR="00687FED">
              <w:rPr>
                <w:b/>
                <w:bCs/>
                <w:noProof/>
                <w:color w:val="000000"/>
                <w:sz w:val="22"/>
              </w:rPr>
              <w:t>.</w:t>
            </w:r>
            <w:r>
              <w:rPr>
                <w:b/>
                <w:bCs/>
                <w:noProof/>
                <w:color w:val="000000"/>
                <w:sz w:val="22"/>
              </w:rPr>
              <w:t>126</w:t>
            </w:r>
          </w:p>
        </w:tc>
      </w:tr>
      <w:tr w:rsidR="00BB1D84" w:rsidRPr="003268F2" w:rsidTr="00BB1D84">
        <w:trPr>
          <w:trHeight w:val="300"/>
        </w:trPr>
        <w:tc>
          <w:tcPr>
            <w:tcW w:w="1471" w:type="pct"/>
            <w:gridSpan w:val="3"/>
            <w:vAlign w:val="center"/>
            <w:hideMark/>
          </w:tcPr>
          <w:p w:rsidR="00BB1D84" w:rsidRPr="003268F2" w:rsidRDefault="00BB1D84">
            <w:pPr>
              <w:spacing w:before="0" w:after="0"/>
              <w:jc w:val="center"/>
              <w:rPr>
                <w:b/>
                <w:bCs/>
                <w:noProof/>
                <w:color w:val="000000"/>
                <w:sz w:val="22"/>
                <w:lang w:val="en-IE" w:eastAsia="en-IE"/>
              </w:rPr>
            </w:pPr>
            <w:r w:rsidRPr="003268F2">
              <w:rPr>
                <w:b/>
                <w:bCs/>
                <w:noProof/>
                <w:color w:val="000000"/>
                <w:sz w:val="22"/>
                <w:lang w:val="en-IE" w:eastAsia="en-IE"/>
              </w:rPr>
              <w:t xml:space="preserve">TOTAL DG </w:t>
            </w:r>
            <w:r>
              <w:rPr>
                <w:b/>
                <w:bCs/>
                <w:noProof/>
                <w:color w:val="000000"/>
                <w:sz w:val="22"/>
                <w:lang w:val="en-IE" w:eastAsia="en-IE"/>
              </w:rPr>
              <w:t>ENER</w:t>
            </w:r>
          </w:p>
        </w:tc>
        <w:tc>
          <w:tcPr>
            <w:tcW w:w="1231" w:type="pct"/>
            <w:gridSpan w:val="12"/>
            <w:vAlign w:val="center"/>
            <w:hideMark/>
          </w:tcPr>
          <w:p w:rsidR="00BB1D84" w:rsidRPr="003268F2" w:rsidRDefault="00BB1D84">
            <w:pPr>
              <w:spacing w:before="0" w:after="0"/>
              <w:jc w:val="left"/>
              <w:rPr>
                <w:noProof/>
                <w:color w:val="000000"/>
                <w:sz w:val="18"/>
                <w:szCs w:val="18"/>
                <w:lang w:val="en-IE" w:eastAsia="en-IE"/>
              </w:rPr>
            </w:pPr>
          </w:p>
        </w:tc>
        <w:tc>
          <w:tcPr>
            <w:tcW w:w="263" w:type="pct"/>
            <w:gridSpan w:val="3"/>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02" w:type="pct"/>
            <w:gridSpan w:val="3"/>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302" w:type="pct"/>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noProof/>
                <w:color w:val="000000"/>
                <w:sz w:val="20"/>
                <w:szCs w:val="20"/>
                <w:lang w:val="en-IE" w:eastAsia="en-IE"/>
              </w:rPr>
              <w:t>0</w:t>
            </w:r>
            <w:r w:rsidR="00687FED" w:rsidRPr="003268F2">
              <w:rPr>
                <w:b/>
                <w:bCs/>
                <w:noProof/>
                <w:color w:val="000000"/>
                <w:sz w:val="20"/>
                <w:szCs w:val="20"/>
                <w:lang w:val="en-IE" w:eastAsia="en-IE"/>
              </w:rPr>
              <w:t>.</w:t>
            </w:r>
            <w:r w:rsidRPr="003268F2">
              <w:rPr>
                <w:b/>
                <w:noProof/>
                <w:color w:val="000000"/>
                <w:sz w:val="20"/>
                <w:szCs w:val="20"/>
                <w:lang w:val="en-IE" w:eastAsia="en-IE"/>
              </w:rPr>
              <w:t>000</w:t>
            </w:r>
          </w:p>
        </w:tc>
        <w:tc>
          <w:tcPr>
            <w:tcW w:w="609" w:type="pct"/>
            <w:gridSpan w:val="4"/>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422</w:t>
            </w:r>
          </w:p>
        </w:tc>
        <w:tc>
          <w:tcPr>
            <w:tcW w:w="383" w:type="pct"/>
            <w:gridSpan w:val="2"/>
            <w:shd w:val="clear" w:color="auto" w:fill="D9D9D9" w:themeFill="background1" w:themeFillShade="D9"/>
            <w:vAlign w:val="bottom"/>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687FED">
              <w:rPr>
                <w:b/>
                <w:bCs/>
                <w:noProof/>
                <w:color w:val="000000"/>
                <w:sz w:val="20"/>
                <w:szCs w:val="20"/>
              </w:rPr>
              <w:t>.</w:t>
            </w:r>
            <w:r>
              <w:rPr>
                <w:b/>
                <w:bCs/>
                <w:noProof/>
                <w:color w:val="000000"/>
                <w:sz w:val="20"/>
                <w:szCs w:val="20"/>
              </w:rPr>
              <w:t>422</w:t>
            </w:r>
          </w:p>
        </w:tc>
        <w:tc>
          <w:tcPr>
            <w:tcW w:w="439" w:type="pct"/>
            <w:gridSpan w:val="3"/>
            <w:shd w:val="clear" w:color="auto" w:fill="D9D9D9" w:themeFill="background1" w:themeFillShade="D9"/>
            <w:vAlign w:val="center"/>
          </w:tcPr>
          <w:p w:rsidR="00BB1D84" w:rsidRPr="003268F2" w:rsidRDefault="00BB1D84">
            <w:pPr>
              <w:spacing w:before="0" w:after="0"/>
              <w:jc w:val="right"/>
              <w:rPr>
                <w:b/>
                <w:bCs/>
                <w:noProof/>
                <w:color w:val="000000"/>
                <w:sz w:val="20"/>
                <w:szCs w:val="20"/>
                <w:lang w:val="en-IE" w:eastAsia="en-IE"/>
              </w:rPr>
            </w:pPr>
            <w:r>
              <w:rPr>
                <w:b/>
                <w:bCs/>
                <w:noProof/>
                <w:color w:val="000000"/>
                <w:sz w:val="22"/>
              </w:rPr>
              <w:t>2</w:t>
            </w:r>
            <w:r w:rsidR="00687FED">
              <w:rPr>
                <w:b/>
                <w:bCs/>
                <w:noProof/>
                <w:color w:val="000000"/>
                <w:sz w:val="22"/>
              </w:rPr>
              <w:t>.</w:t>
            </w:r>
            <w:r>
              <w:rPr>
                <w:b/>
                <w:bCs/>
                <w:noProof/>
                <w:color w:val="000000"/>
                <w:sz w:val="22"/>
              </w:rPr>
              <w:t>954</w:t>
            </w:r>
          </w:p>
        </w:tc>
      </w:tr>
      <w:tr w:rsidR="00BB1D84" w:rsidRPr="003268F2" w:rsidTr="00BB1D84">
        <w:trPr>
          <w:trHeight w:val="300"/>
        </w:trPr>
        <w:tc>
          <w:tcPr>
            <w:tcW w:w="1471" w:type="pct"/>
            <w:gridSpan w:val="3"/>
            <w:noWrap/>
            <w:vAlign w:val="bottom"/>
            <w:hideMark/>
          </w:tcPr>
          <w:p w:rsidR="00BB1D84" w:rsidRPr="003268F2" w:rsidRDefault="00BB1D84">
            <w:pPr>
              <w:spacing w:before="0" w:after="0"/>
              <w:jc w:val="right"/>
              <w:rPr>
                <w:b/>
                <w:bCs/>
                <w:noProof/>
                <w:color w:val="000000"/>
                <w:sz w:val="20"/>
                <w:szCs w:val="20"/>
                <w:lang w:val="en-IE" w:eastAsia="en-IE"/>
              </w:rPr>
            </w:pPr>
          </w:p>
        </w:tc>
        <w:tc>
          <w:tcPr>
            <w:tcW w:w="810" w:type="pct"/>
            <w:gridSpan w:val="7"/>
            <w:noWrap/>
            <w:vAlign w:val="bottom"/>
            <w:hideMark/>
          </w:tcPr>
          <w:p w:rsidR="00BB1D84" w:rsidRPr="003268F2" w:rsidRDefault="00BB1D84">
            <w:pPr>
              <w:spacing w:before="0" w:after="0"/>
              <w:jc w:val="left"/>
              <w:rPr>
                <w:noProof/>
                <w:sz w:val="20"/>
                <w:szCs w:val="20"/>
                <w:lang w:val="en-IE" w:eastAsia="en-IE"/>
              </w:rPr>
            </w:pPr>
          </w:p>
        </w:tc>
        <w:tc>
          <w:tcPr>
            <w:tcW w:w="210" w:type="pct"/>
            <w:gridSpan w:val="3"/>
            <w:noWrap/>
            <w:vAlign w:val="bottom"/>
            <w:hideMark/>
          </w:tcPr>
          <w:p w:rsidR="00BB1D84" w:rsidRPr="003268F2" w:rsidRDefault="00BB1D84">
            <w:pPr>
              <w:spacing w:before="0" w:after="0"/>
              <w:jc w:val="left"/>
              <w:rPr>
                <w:noProof/>
                <w:sz w:val="20"/>
                <w:szCs w:val="20"/>
                <w:lang w:val="en-IE" w:eastAsia="en-IE"/>
              </w:rPr>
            </w:pPr>
          </w:p>
        </w:tc>
        <w:tc>
          <w:tcPr>
            <w:tcW w:w="211" w:type="pct"/>
            <w:gridSpan w:val="2"/>
            <w:noWrap/>
            <w:vAlign w:val="bottom"/>
            <w:hideMark/>
          </w:tcPr>
          <w:p w:rsidR="00BB1D84" w:rsidRPr="003268F2" w:rsidRDefault="00BB1D84">
            <w:pPr>
              <w:spacing w:before="0" w:after="0"/>
              <w:jc w:val="left"/>
              <w:rPr>
                <w:noProof/>
                <w:sz w:val="20"/>
                <w:szCs w:val="20"/>
                <w:lang w:val="en-IE" w:eastAsia="en-IE"/>
              </w:rPr>
            </w:pPr>
          </w:p>
        </w:tc>
        <w:tc>
          <w:tcPr>
            <w:tcW w:w="263" w:type="pct"/>
            <w:gridSpan w:val="3"/>
            <w:noWrap/>
            <w:vAlign w:val="bottom"/>
            <w:hideMark/>
          </w:tcPr>
          <w:p w:rsidR="00BB1D84" w:rsidRPr="003268F2" w:rsidRDefault="00BB1D84">
            <w:pPr>
              <w:spacing w:before="0" w:after="0"/>
              <w:jc w:val="left"/>
              <w:rPr>
                <w:noProof/>
                <w:sz w:val="20"/>
                <w:szCs w:val="20"/>
                <w:lang w:val="en-IE" w:eastAsia="en-IE"/>
              </w:rPr>
            </w:pPr>
          </w:p>
        </w:tc>
        <w:tc>
          <w:tcPr>
            <w:tcW w:w="302" w:type="pct"/>
            <w:gridSpan w:val="3"/>
            <w:noWrap/>
            <w:vAlign w:val="bottom"/>
            <w:hideMark/>
          </w:tcPr>
          <w:p w:rsidR="00BB1D84" w:rsidRPr="003268F2" w:rsidRDefault="00BB1D84">
            <w:pPr>
              <w:spacing w:before="0" w:after="0"/>
              <w:jc w:val="left"/>
              <w:rPr>
                <w:noProof/>
                <w:sz w:val="20"/>
                <w:szCs w:val="20"/>
                <w:lang w:val="en-IE" w:eastAsia="en-IE"/>
              </w:rPr>
            </w:pPr>
          </w:p>
        </w:tc>
        <w:tc>
          <w:tcPr>
            <w:tcW w:w="302" w:type="pct"/>
            <w:noWrap/>
            <w:vAlign w:val="bottom"/>
            <w:hideMark/>
          </w:tcPr>
          <w:p w:rsidR="00BB1D84" w:rsidRPr="003268F2" w:rsidRDefault="00BB1D84">
            <w:pPr>
              <w:spacing w:before="0" w:after="0"/>
              <w:jc w:val="left"/>
              <w:rPr>
                <w:noProof/>
                <w:sz w:val="20"/>
                <w:szCs w:val="20"/>
                <w:lang w:val="en-IE" w:eastAsia="en-IE"/>
              </w:rPr>
            </w:pPr>
          </w:p>
        </w:tc>
        <w:tc>
          <w:tcPr>
            <w:tcW w:w="609" w:type="pct"/>
            <w:gridSpan w:val="4"/>
            <w:noWrap/>
            <w:vAlign w:val="bottom"/>
            <w:hideMark/>
          </w:tcPr>
          <w:p w:rsidR="00BB1D84" w:rsidRPr="003268F2" w:rsidRDefault="00BB1D84">
            <w:pPr>
              <w:spacing w:before="0" w:after="0"/>
              <w:jc w:val="left"/>
              <w:rPr>
                <w:noProof/>
                <w:sz w:val="20"/>
                <w:szCs w:val="20"/>
                <w:lang w:val="en-IE" w:eastAsia="en-IE"/>
              </w:rPr>
            </w:pPr>
          </w:p>
        </w:tc>
        <w:tc>
          <w:tcPr>
            <w:tcW w:w="383" w:type="pct"/>
            <w:gridSpan w:val="2"/>
            <w:noWrap/>
            <w:vAlign w:val="bottom"/>
            <w:hideMark/>
          </w:tcPr>
          <w:p w:rsidR="00BB1D84" w:rsidRPr="003268F2" w:rsidRDefault="00BB1D84">
            <w:pPr>
              <w:spacing w:before="0" w:after="0"/>
              <w:jc w:val="left"/>
              <w:rPr>
                <w:noProof/>
                <w:sz w:val="20"/>
                <w:szCs w:val="20"/>
                <w:lang w:val="en-IE" w:eastAsia="en-IE"/>
              </w:rPr>
            </w:pPr>
          </w:p>
        </w:tc>
        <w:tc>
          <w:tcPr>
            <w:tcW w:w="439" w:type="pct"/>
            <w:gridSpan w:val="3"/>
            <w:vAlign w:val="center"/>
          </w:tcPr>
          <w:p w:rsidR="00BB1D84" w:rsidRPr="003268F2" w:rsidRDefault="00BB1D84">
            <w:pPr>
              <w:spacing w:before="0" w:after="0"/>
              <w:jc w:val="right"/>
              <w:rPr>
                <w:noProof/>
                <w:sz w:val="20"/>
                <w:szCs w:val="20"/>
                <w:lang w:val="en-IE" w:eastAsia="en-IE"/>
              </w:rPr>
            </w:pPr>
          </w:p>
        </w:tc>
      </w:tr>
      <w:tr w:rsidR="00BB1D84" w:rsidRPr="003268F2" w:rsidTr="00BB1D84">
        <w:trPr>
          <w:trHeight w:val="900"/>
        </w:trPr>
        <w:tc>
          <w:tcPr>
            <w:tcW w:w="2281" w:type="pct"/>
            <w:gridSpan w:val="10"/>
            <w:shd w:val="clear" w:color="auto" w:fill="F1F1F1"/>
            <w:vAlign w:val="center"/>
            <w:hideMark/>
          </w:tcPr>
          <w:p w:rsidR="00BB1D84" w:rsidRPr="003268F2" w:rsidRDefault="00BB1D84">
            <w:pPr>
              <w:spacing w:before="0" w:after="0"/>
              <w:jc w:val="center"/>
              <w:rPr>
                <w:b/>
                <w:bCs/>
                <w:noProof/>
                <w:color w:val="000000"/>
                <w:sz w:val="22"/>
                <w:lang w:val="en-IE" w:eastAsia="en-IE"/>
              </w:rPr>
            </w:pPr>
            <w:r w:rsidRPr="003268F2">
              <w:rPr>
                <w:b/>
                <w:bCs/>
                <w:noProof/>
                <w:color w:val="000000"/>
                <w:sz w:val="22"/>
                <w:lang w:val="en-IE" w:eastAsia="en-IE"/>
              </w:rPr>
              <w:t>TOTAL appropriations</w:t>
            </w:r>
            <w:r>
              <w:rPr>
                <w:b/>
                <w:bCs/>
                <w:noProof/>
                <w:color w:val="000000"/>
                <w:sz w:val="22"/>
                <w:lang w:val="en-IE" w:eastAsia="en-IE"/>
              </w:rPr>
              <w:t xml:space="preserve"> </w:t>
            </w:r>
            <w:r w:rsidRPr="003268F2">
              <w:rPr>
                <w:b/>
                <w:bCs/>
                <w:noProof/>
                <w:color w:val="000000"/>
                <w:sz w:val="22"/>
                <w:lang w:val="en-IE" w:eastAsia="en-IE"/>
              </w:rPr>
              <w:t>under HEADING 7</w:t>
            </w:r>
            <w:r>
              <w:rPr>
                <w:b/>
                <w:bCs/>
                <w:noProof/>
                <w:color w:val="000000"/>
                <w:sz w:val="22"/>
                <w:lang w:val="en-IE" w:eastAsia="en-IE"/>
              </w:rPr>
              <w:t xml:space="preserve"> </w:t>
            </w:r>
            <w:r w:rsidRPr="003268F2">
              <w:rPr>
                <w:b/>
                <w:bCs/>
                <w:noProof/>
                <w:color w:val="000000"/>
                <w:sz w:val="22"/>
                <w:lang w:val="en-IE" w:eastAsia="en-IE"/>
              </w:rPr>
              <w:t xml:space="preserve">of the multiannual financial framework </w:t>
            </w:r>
          </w:p>
        </w:tc>
        <w:tc>
          <w:tcPr>
            <w:tcW w:w="421" w:type="pct"/>
            <w:gridSpan w:val="5"/>
            <w:vAlign w:val="center"/>
            <w:hideMark/>
          </w:tcPr>
          <w:p w:rsidR="00BB1D84" w:rsidRPr="003268F2" w:rsidRDefault="00BB1D84">
            <w:pPr>
              <w:spacing w:before="0" w:after="0"/>
              <w:jc w:val="center"/>
              <w:rPr>
                <w:noProof/>
                <w:color w:val="000000"/>
                <w:sz w:val="18"/>
                <w:szCs w:val="18"/>
                <w:lang w:val="en-IE" w:eastAsia="en-IE"/>
              </w:rPr>
            </w:pPr>
            <w:r w:rsidRPr="003268F2">
              <w:rPr>
                <w:noProof/>
                <w:color w:val="000000"/>
                <w:sz w:val="18"/>
                <w:szCs w:val="18"/>
                <w:lang w:val="en-IE" w:eastAsia="en-IE"/>
              </w:rPr>
              <w:t>(Total commitments = Total payments)</w:t>
            </w:r>
          </w:p>
        </w:tc>
        <w:tc>
          <w:tcPr>
            <w:tcW w:w="263" w:type="pct"/>
            <w:gridSpan w:val="3"/>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02" w:type="pct"/>
            <w:gridSpan w:val="3"/>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302" w:type="pct"/>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sidRPr="003268F2">
              <w:rPr>
                <w:b/>
                <w:bCs/>
                <w:noProof/>
                <w:color w:val="000000"/>
                <w:sz w:val="20"/>
                <w:szCs w:val="20"/>
                <w:lang w:val="en-IE" w:eastAsia="en-IE"/>
              </w:rPr>
              <w:t>0.000</w:t>
            </w:r>
          </w:p>
        </w:tc>
        <w:tc>
          <w:tcPr>
            <w:tcW w:w="609" w:type="pct"/>
            <w:gridSpan w:val="4"/>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57325A">
              <w:rPr>
                <w:b/>
                <w:bCs/>
                <w:noProof/>
                <w:color w:val="000000"/>
                <w:sz w:val="20"/>
                <w:szCs w:val="20"/>
              </w:rPr>
              <w:t>.</w:t>
            </w:r>
            <w:r>
              <w:rPr>
                <w:b/>
                <w:bCs/>
                <w:noProof/>
                <w:color w:val="000000"/>
                <w:sz w:val="20"/>
                <w:szCs w:val="20"/>
              </w:rPr>
              <w:t>422</w:t>
            </w:r>
          </w:p>
        </w:tc>
        <w:tc>
          <w:tcPr>
            <w:tcW w:w="383" w:type="pct"/>
            <w:gridSpan w:val="2"/>
            <w:shd w:val="clear" w:color="auto" w:fill="D9D9D9" w:themeFill="background1" w:themeFillShade="D9"/>
            <w:vAlign w:val="center"/>
            <w:hideMark/>
          </w:tcPr>
          <w:p w:rsidR="00BB1D84" w:rsidRPr="003268F2" w:rsidRDefault="00BB1D84">
            <w:pPr>
              <w:spacing w:before="0" w:after="0"/>
              <w:jc w:val="right"/>
              <w:rPr>
                <w:b/>
                <w:bCs/>
                <w:noProof/>
                <w:color w:val="000000"/>
                <w:sz w:val="20"/>
                <w:szCs w:val="20"/>
                <w:lang w:val="en-IE" w:eastAsia="en-IE"/>
              </w:rPr>
            </w:pPr>
            <w:r>
              <w:rPr>
                <w:b/>
                <w:bCs/>
                <w:noProof/>
                <w:color w:val="000000"/>
                <w:sz w:val="20"/>
                <w:szCs w:val="20"/>
              </w:rPr>
              <w:t>0</w:t>
            </w:r>
            <w:r w:rsidR="0057325A">
              <w:rPr>
                <w:b/>
                <w:bCs/>
                <w:noProof/>
                <w:color w:val="000000"/>
                <w:sz w:val="20"/>
                <w:szCs w:val="20"/>
              </w:rPr>
              <w:t>.</w:t>
            </w:r>
            <w:r>
              <w:rPr>
                <w:b/>
                <w:bCs/>
                <w:noProof/>
                <w:color w:val="000000"/>
                <w:sz w:val="20"/>
                <w:szCs w:val="20"/>
              </w:rPr>
              <w:t>422</w:t>
            </w:r>
          </w:p>
        </w:tc>
        <w:tc>
          <w:tcPr>
            <w:tcW w:w="439" w:type="pct"/>
            <w:gridSpan w:val="3"/>
            <w:shd w:val="clear" w:color="auto" w:fill="D9D9D9" w:themeFill="background1" w:themeFillShade="D9"/>
            <w:vAlign w:val="center"/>
          </w:tcPr>
          <w:p w:rsidR="00BB1D84" w:rsidRPr="003268F2" w:rsidRDefault="00BB1D84">
            <w:pPr>
              <w:spacing w:before="0" w:after="0"/>
              <w:jc w:val="right"/>
              <w:rPr>
                <w:b/>
                <w:bCs/>
                <w:noProof/>
                <w:color w:val="000000"/>
                <w:sz w:val="20"/>
                <w:szCs w:val="20"/>
                <w:lang w:val="en-IE" w:eastAsia="en-IE"/>
              </w:rPr>
            </w:pPr>
            <w:r>
              <w:rPr>
                <w:b/>
                <w:bCs/>
                <w:noProof/>
                <w:color w:val="000000"/>
                <w:sz w:val="22"/>
              </w:rPr>
              <w:t>2</w:t>
            </w:r>
            <w:r w:rsidR="0057325A">
              <w:rPr>
                <w:b/>
                <w:bCs/>
                <w:noProof/>
                <w:color w:val="000000"/>
                <w:sz w:val="22"/>
              </w:rPr>
              <w:t>.</w:t>
            </w:r>
            <w:r>
              <w:rPr>
                <w:b/>
                <w:bCs/>
                <w:noProof/>
                <w:color w:val="000000"/>
                <w:sz w:val="22"/>
              </w:rPr>
              <w:t>954</w:t>
            </w:r>
          </w:p>
        </w:tc>
      </w:tr>
    </w:tbl>
    <w:p w:rsidR="00BB1D84" w:rsidRPr="003A769F" w:rsidRDefault="00BB1D84" w:rsidP="00BB1D84">
      <w:pPr>
        <w:jc w:val="right"/>
        <w:rPr>
          <w:noProof/>
          <w:sz w:val="20"/>
          <w:lang w:val="en-IE"/>
        </w:rPr>
      </w:pPr>
      <w:r>
        <w:rPr>
          <w:noProof/>
          <w:sz w:val="20"/>
          <w:lang w:val="en-IE"/>
        </w:rPr>
        <w:t>E</w:t>
      </w:r>
      <w:r w:rsidRPr="003A769F">
        <w:rPr>
          <w:noProof/>
          <w:sz w:val="20"/>
          <w:lang w:val="en-IE"/>
        </w:rPr>
        <w:t>UR million (to three decimal places)</w:t>
      </w:r>
    </w:p>
    <w:tbl>
      <w:tblPr>
        <w:tblW w:w="5000" w:type="pct"/>
        <w:tblLook w:val="04A0" w:firstRow="1" w:lastRow="0" w:firstColumn="1" w:lastColumn="0" w:noHBand="0" w:noVBand="1"/>
      </w:tblPr>
      <w:tblGrid>
        <w:gridCol w:w="5067"/>
        <w:gridCol w:w="1880"/>
        <w:gridCol w:w="1135"/>
        <w:gridCol w:w="1132"/>
        <w:gridCol w:w="1132"/>
        <w:gridCol w:w="1132"/>
        <w:gridCol w:w="1371"/>
        <w:gridCol w:w="1371"/>
      </w:tblGrid>
      <w:tr w:rsidR="00BB1D84" w:rsidRPr="003268F2">
        <w:trPr>
          <w:trHeight w:val="288"/>
        </w:trPr>
        <w:tc>
          <w:tcPr>
            <w:tcW w:w="2443"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BB1D84" w:rsidRPr="003268F2" w:rsidRDefault="00BB1D84">
            <w:pPr>
              <w:spacing w:before="0" w:after="0"/>
              <w:jc w:val="center"/>
              <w:rPr>
                <w:noProof/>
                <w:color w:val="000000"/>
                <w:szCs w:val="24"/>
                <w:lang w:val="en-IE" w:eastAsia="en-IE"/>
              </w:rPr>
            </w:pPr>
            <w:r w:rsidRPr="003268F2">
              <w:rPr>
                <w:noProof/>
                <w:color w:val="000000"/>
                <w:szCs w:val="24"/>
                <w:lang w:val="en-IE" w:eastAsia="en-IE"/>
              </w:rPr>
              <w:t> </w:t>
            </w:r>
          </w:p>
        </w:tc>
        <w:tc>
          <w:tcPr>
            <w:tcW w:w="399" w:type="pct"/>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398" w:type="pct"/>
            <w:tcBorders>
              <w:top w:val="single" w:sz="8" w:space="0" w:color="auto"/>
              <w:left w:val="nil"/>
              <w:bottom w:val="nil"/>
              <w:right w:val="single" w:sz="8" w:space="0" w:color="auto"/>
            </w:tcBorders>
            <w:vAlign w:val="center"/>
            <w:hideMark/>
          </w:tcPr>
          <w:p w:rsidR="00BB1D84" w:rsidRPr="003268F2" w:rsidRDefault="00BB1D84">
            <w:pPr>
              <w:spacing w:before="0" w:after="0"/>
              <w:jc w:val="center"/>
              <w:rPr>
                <w:noProof/>
                <w:color w:val="000000"/>
                <w:sz w:val="20"/>
                <w:szCs w:val="20"/>
                <w:lang w:val="en-IE" w:eastAsia="en-IE"/>
              </w:rPr>
            </w:pPr>
            <w:r w:rsidRPr="003268F2">
              <w:rPr>
                <w:noProof/>
                <w:color w:val="000000"/>
                <w:sz w:val="20"/>
                <w:szCs w:val="20"/>
                <w:lang w:val="en-IE" w:eastAsia="en-IE"/>
              </w:rPr>
              <w:t>Year</w:t>
            </w:r>
          </w:p>
        </w:tc>
        <w:tc>
          <w:tcPr>
            <w:tcW w:w="482" w:type="pct"/>
            <w:vMerge w:val="restart"/>
            <w:tcBorders>
              <w:top w:val="single" w:sz="8" w:space="0" w:color="auto"/>
              <w:left w:val="single" w:sz="8" w:space="0" w:color="auto"/>
              <w:bottom w:val="single" w:sz="8" w:space="0" w:color="000000"/>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TOTAL MFF</w:t>
            </w:r>
            <w:r>
              <w:rPr>
                <w:b/>
                <w:bCs/>
                <w:noProof/>
                <w:color w:val="000000"/>
                <w:sz w:val="20"/>
                <w:szCs w:val="20"/>
                <w:lang w:val="en-IE" w:eastAsia="en-IE"/>
              </w:rPr>
              <w:t xml:space="preserve"> </w:t>
            </w:r>
            <w:r w:rsidRPr="003268F2">
              <w:rPr>
                <w:b/>
                <w:bCs/>
                <w:noProof/>
                <w:color w:val="000000"/>
                <w:sz w:val="20"/>
                <w:szCs w:val="20"/>
                <w:lang w:val="en-IE" w:eastAsia="en-IE"/>
              </w:rPr>
              <w:t>2021-2027</w:t>
            </w:r>
          </w:p>
        </w:tc>
        <w:tc>
          <w:tcPr>
            <w:tcW w:w="482" w:type="pct"/>
            <w:vMerge w:val="restart"/>
            <w:tcBorders>
              <w:top w:val="single" w:sz="8" w:space="0" w:color="auto"/>
              <w:left w:val="single" w:sz="8" w:space="0" w:color="auto"/>
              <w:right w:val="single" w:sz="8" w:space="0" w:color="auto"/>
            </w:tcBorders>
          </w:tcPr>
          <w:p w:rsidR="00BB1D84" w:rsidRPr="003268F2" w:rsidRDefault="00BB1D84">
            <w:pPr>
              <w:spacing w:before="0" w:after="0"/>
              <w:jc w:val="center"/>
              <w:rPr>
                <w:b/>
                <w:bCs/>
                <w:noProof/>
                <w:color w:val="000000"/>
                <w:sz w:val="20"/>
                <w:szCs w:val="20"/>
                <w:lang w:val="en-IE" w:eastAsia="en-IE"/>
              </w:rPr>
            </w:pPr>
            <w:r>
              <w:rPr>
                <w:b/>
                <w:bCs/>
                <w:noProof/>
                <w:color w:val="000000"/>
                <w:sz w:val="20"/>
                <w:szCs w:val="20"/>
                <w:lang w:val="en-IE" w:eastAsia="en-IE"/>
              </w:rPr>
              <w:t>TOTAL MFF 2028-2034</w:t>
            </w:r>
          </w:p>
        </w:tc>
      </w:tr>
      <w:tr w:rsidR="00BB1D84" w:rsidRPr="003268F2">
        <w:trPr>
          <w:trHeight w:val="300"/>
        </w:trPr>
        <w:tc>
          <w:tcPr>
            <w:tcW w:w="2443" w:type="pct"/>
            <w:gridSpan w:val="2"/>
            <w:vMerge/>
            <w:tcBorders>
              <w:top w:val="single" w:sz="8" w:space="0" w:color="auto"/>
              <w:left w:val="single" w:sz="8" w:space="0" w:color="auto"/>
              <w:bottom w:val="single" w:sz="8" w:space="0" w:color="auto"/>
              <w:right w:val="single" w:sz="8" w:space="0" w:color="auto"/>
            </w:tcBorders>
            <w:vAlign w:val="center"/>
            <w:hideMark/>
          </w:tcPr>
          <w:p w:rsidR="00BB1D84" w:rsidRPr="003268F2" w:rsidRDefault="00BB1D84">
            <w:pPr>
              <w:spacing w:before="0" w:after="0"/>
              <w:jc w:val="left"/>
              <w:rPr>
                <w:noProof/>
                <w:color w:val="000000"/>
                <w:szCs w:val="24"/>
                <w:lang w:val="en-IE" w:eastAsia="en-IE"/>
              </w:rPr>
            </w:pPr>
          </w:p>
        </w:tc>
        <w:tc>
          <w:tcPr>
            <w:tcW w:w="399" w:type="pct"/>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2024</w:t>
            </w:r>
          </w:p>
        </w:tc>
        <w:tc>
          <w:tcPr>
            <w:tcW w:w="398" w:type="pct"/>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2025</w:t>
            </w:r>
          </w:p>
        </w:tc>
        <w:tc>
          <w:tcPr>
            <w:tcW w:w="398" w:type="pct"/>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2026</w:t>
            </w:r>
          </w:p>
        </w:tc>
        <w:tc>
          <w:tcPr>
            <w:tcW w:w="398" w:type="pct"/>
            <w:tcBorders>
              <w:top w:val="nil"/>
              <w:left w:val="nil"/>
              <w:bottom w:val="single" w:sz="8" w:space="0" w:color="auto"/>
              <w:right w:val="single" w:sz="8" w:space="0" w:color="auto"/>
            </w:tcBorders>
            <w:vAlign w:val="center"/>
            <w:hideMark/>
          </w:tcPr>
          <w:p w:rsidR="00BB1D84" w:rsidRPr="003268F2" w:rsidRDefault="00BB1D84">
            <w:pPr>
              <w:spacing w:before="0" w:after="0"/>
              <w:jc w:val="center"/>
              <w:rPr>
                <w:b/>
                <w:bCs/>
                <w:noProof/>
                <w:color w:val="000000"/>
                <w:sz w:val="20"/>
                <w:szCs w:val="20"/>
                <w:lang w:val="en-IE" w:eastAsia="en-IE"/>
              </w:rPr>
            </w:pPr>
            <w:r w:rsidRPr="003268F2">
              <w:rPr>
                <w:b/>
                <w:bCs/>
                <w:noProof/>
                <w:color w:val="000000"/>
                <w:sz w:val="20"/>
                <w:szCs w:val="20"/>
                <w:lang w:val="en-IE" w:eastAsia="en-IE"/>
              </w:rPr>
              <w:t>2027</w:t>
            </w:r>
          </w:p>
        </w:tc>
        <w:tc>
          <w:tcPr>
            <w:tcW w:w="482" w:type="pct"/>
            <w:vMerge/>
            <w:tcBorders>
              <w:top w:val="single" w:sz="8" w:space="0" w:color="auto"/>
              <w:left w:val="single" w:sz="8" w:space="0" w:color="auto"/>
              <w:bottom w:val="single" w:sz="8" w:space="0" w:color="000000"/>
              <w:right w:val="single" w:sz="8" w:space="0" w:color="auto"/>
            </w:tcBorders>
            <w:vAlign w:val="center"/>
            <w:hideMark/>
          </w:tcPr>
          <w:p w:rsidR="00BB1D84" w:rsidRPr="003268F2" w:rsidRDefault="00BB1D84">
            <w:pPr>
              <w:spacing w:before="0" w:after="0"/>
              <w:jc w:val="left"/>
              <w:rPr>
                <w:b/>
                <w:bCs/>
                <w:noProof/>
                <w:color w:val="000000"/>
                <w:sz w:val="20"/>
                <w:szCs w:val="20"/>
                <w:lang w:val="en-IE" w:eastAsia="en-IE"/>
              </w:rPr>
            </w:pPr>
          </w:p>
        </w:tc>
        <w:tc>
          <w:tcPr>
            <w:tcW w:w="482" w:type="pct"/>
            <w:vMerge/>
            <w:tcBorders>
              <w:left w:val="single" w:sz="8" w:space="0" w:color="auto"/>
              <w:bottom w:val="single" w:sz="8" w:space="0" w:color="000000"/>
              <w:right w:val="single" w:sz="8" w:space="0" w:color="auto"/>
            </w:tcBorders>
          </w:tcPr>
          <w:p w:rsidR="00BB1D84" w:rsidRPr="003268F2" w:rsidRDefault="00BB1D84">
            <w:pPr>
              <w:spacing w:before="0" w:after="0"/>
              <w:jc w:val="left"/>
              <w:rPr>
                <w:b/>
                <w:bCs/>
                <w:noProof/>
                <w:color w:val="000000"/>
                <w:sz w:val="20"/>
                <w:szCs w:val="20"/>
                <w:lang w:val="en-IE" w:eastAsia="en-IE"/>
              </w:rPr>
            </w:pPr>
          </w:p>
        </w:tc>
      </w:tr>
      <w:tr w:rsidR="00BB1D84" w:rsidRPr="003268F2">
        <w:trPr>
          <w:trHeight w:val="564"/>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BB1D84" w:rsidRPr="003268F2" w:rsidRDefault="00BB1D84">
            <w:pPr>
              <w:spacing w:before="0" w:after="0"/>
              <w:jc w:val="center"/>
              <w:rPr>
                <w:b/>
                <w:bCs/>
                <w:noProof/>
                <w:color w:val="000000"/>
                <w:sz w:val="22"/>
                <w:lang w:val="en-IE" w:eastAsia="en-IE"/>
              </w:rPr>
            </w:pPr>
            <w:r w:rsidRPr="003268F2">
              <w:rPr>
                <w:b/>
                <w:bCs/>
                <w:noProof/>
                <w:color w:val="000000"/>
                <w:sz w:val="22"/>
                <w:lang w:val="en-IE" w:eastAsia="en-IE"/>
              </w:rPr>
              <w:t>TOTAL appropriation</w:t>
            </w:r>
            <w:r>
              <w:rPr>
                <w:b/>
                <w:bCs/>
                <w:noProof/>
                <w:color w:val="000000"/>
                <w:sz w:val="22"/>
                <w:lang w:val="en-IE" w:eastAsia="en-IE"/>
              </w:rPr>
              <w:t xml:space="preserve">s </w:t>
            </w:r>
            <w:r w:rsidRPr="003268F2">
              <w:rPr>
                <w:b/>
                <w:bCs/>
                <w:noProof/>
                <w:color w:val="000000"/>
                <w:sz w:val="22"/>
                <w:lang w:val="en-IE" w:eastAsia="en-IE"/>
              </w:rPr>
              <w:t>under HEADINGS 1 to 7</w:t>
            </w:r>
          </w:p>
        </w:tc>
        <w:tc>
          <w:tcPr>
            <w:tcW w:w="661" w:type="pct"/>
            <w:tcBorders>
              <w:top w:val="single" w:sz="8" w:space="0" w:color="auto"/>
              <w:left w:val="nil"/>
              <w:bottom w:val="single" w:sz="8" w:space="0" w:color="auto"/>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Commitments</w:t>
            </w:r>
          </w:p>
        </w:tc>
        <w:tc>
          <w:tcPr>
            <w:tcW w:w="399"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Pr>
                <w:b/>
                <w:bCs/>
                <w:noProof/>
                <w:color w:val="000000"/>
                <w:szCs w:val="24"/>
                <w:lang w:val="en-IE" w:eastAsia="en-IE"/>
              </w:rPr>
              <w:t>1</w:t>
            </w:r>
            <w:r w:rsidR="00843561">
              <w:rPr>
                <w:b/>
                <w:bCs/>
                <w:noProof/>
                <w:color w:val="000000"/>
                <w:szCs w:val="24"/>
                <w:lang w:val="en-IE" w:eastAsia="en-IE"/>
              </w:rPr>
              <w:t>.</w:t>
            </w:r>
            <w:r>
              <w:rPr>
                <w:b/>
                <w:bCs/>
                <w:noProof/>
                <w:color w:val="000000"/>
                <w:szCs w:val="24"/>
                <w:lang w:val="en-IE" w:eastAsia="en-IE"/>
              </w:rPr>
              <w:t>067</w:t>
            </w:r>
          </w:p>
        </w:tc>
        <w:tc>
          <w:tcPr>
            <w:tcW w:w="482"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0C36FC">
              <w:rPr>
                <w:b/>
                <w:bCs/>
                <w:noProof/>
                <w:color w:val="000000"/>
                <w:szCs w:val="24"/>
                <w:lang w:val="en-IE" w:eastAsia="en-IE"/>
              </w:rPr>
              <w:t>1</w:t>
            </w:r>
            <w:r w:rsidR="00687FED">
              <w:rPr>
                <w:b/>
                <w:bCs/>
                <w:noProof/>
                <w:color w:val="000000"/>
                <w:szCs w:val="24"/>
                <w:lang w:val="en-IE" w:eastAsia="en-IE"/>
              </w:rPr>
              <w:t>.</w:t>
            </w:r>
            <w:r>
              <w:rPr>
                <w:b/>
                <w:bCs/>
                <w:noProof/>
                <w:color w:val="000000"/>
                <w:szCs w:val="24"/>
                <w:lang w:val="en-IE" w:eastAsia="en-IE"/>
              </w:rPr>
              <w:t>067</w:t>
            </w:r>
          </w:p>
        </w:tc>
        <w:tc>
          <w:tcPr>
            <w:tcW w:w="482" w:type="pct"/>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Cs w:val="24"/>
                <w:lang w:val="en-IE" w:eastAsia="en-IE"/>
              </w:rPr>
            </w:pPr>
            <w:r>
              <w:rPr>
                <w:b/>
                <w:bCs/>
                <w:noProof/>
                <w:color w:val="000000"/>
                <w:szCs w:val="24"/>
                <w:lang w:val="en-IE" w:eastAsia="en-IE"/>
              </w:rPr>
              <w:t>14</w:t>
            </w:r>
            <w:r w:rsidR="00687FED">
              <w:rPr>
                <w:b/>
                <w:bCs/>
                <w:noProof/>
                <w:color w:val="000000"/>
                <w:szCs w:val="24"/>
                <w:lang w:val="en-IE" w:eastAsia="en-IE"/>
              </w:rPr>
              <w:t>.</w:t>
            </w:r>
            <w:r>
              <w:rPr>
                <w:b/>
                <w:bCs/>
                <w:noProof/>
                <w:color w:val="000000"/>
                <w:szCs w:val="24"/>
                <w:lang w:val="en-IE" w:eastAsia="en-IE"/>
              </w:rPr>
              <w:t>775</w:t>
            </w:r>
          </w:p>
        </w:tc>
      </w:tr>
      <w:tr w:rsidR="00BB1D84" w:rsidRPr="003268F2">
        <w:trPr>
          <w:trHeight w:val="540"/>
        </w:trPr>
        <w:tc>
          <w:tcPr>
            <w:tcW w:w="1782"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BB1D84" w:rsidRPr="003268F2" w:rsidRDefault="00BB1D84">
            <w:pPr>
              <w:spacing w:before="0" w:after="0"/>
              <w:jc w:val="center"/>
              <w:rPr>
                <w:noProof/>
                <w:color w:val="000000"/>
                <w:sz w:val="22"/>
                <w:lang w:val="en-IE" w:eastAsia="en-IE"/>
              </w:rPr>
            </w:pPr>
            <w:r w:rsidRPr="003268F2">
              <w:rPr>
                <w:noProof/>
                <w:color w:val="000000"/>
                <w:sz w:val="22"/>
                <w:lang w:val="en-IE" w:eastAsia="en-IE"/>
              </w:rPr>
              <w:t>of the multiannual financial framework</w:t>
            </w:r>
            <w:r w:rsidRPr="003268F2">
              <w:rPr>
                <w:b/>
                <w:bCs/>
                <w:noProof/>
                <w:color w:val="000000"/>
                <w:sz w:val="22"/>
                <w:lang w:val="en-IE" w:eastAsia="en-IE"/>
              </w:rPr>
              <w:t xml:space="preserve"> </w:t>
            </w:r>
          </w:p>
        </w:tc>
        <w:tc>
          <w:tcPr>
            <w:tcW w:w="661" w:type="pct"/>
            <w:tcBorders>
              <w:top w:val="single" w:sz="8" w:space="0" w:color="auto"/>
              <w:left w:val="nil"/>
              <w:bottom w:val="single" w:sz="8" w:space="0" w:color="auto"/>
              <w:right w:val="single" w:sz="8" w:space="0" w:color="auto"/>
            </w:tcBorders>
            <w:vAlign w:val="center"/>
            <w:hideMark/>
          </w:tcPr>
          <w:p w:rsidR="00BB1D84" w:rsidRPr="003268F2" w:rsidRDefault="00BB1D84">
            <w:pPr>
              <w:spacing w:before="0" w:after="0"/>
              <w:rPr>
                <w:noProof/>
                <w:color w:val="000000"/>
                <w:sz w:val="18"/>
                <w:szCs w:val="18"/>
                <w:lang w:val="en-IE" w:eastAsia="en-IE"/>
              </w:rPr>
            </w:pPr>
            <w:r w:rsidRPr="003268F2">
              <w:rPr>
                <w:noProof/>
                <w:color w:val="000000"/>
                <w:sz w:val="18"/>
                <w:szCs w:val="18"/>
                <w:lang w:val="en-IE" w:eastAsia="en-IE"/>
              </w:rPr>
              <w:t>Payments</w:t>
            </w:r>
          </w:p>
        </w:tc>
        <w:tc>
          <w:tcPr>
            <w:tcW w:w="399"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3268F2">
              <w:rPr>
                <w:b/>
                <w:bCs/>
                <w:noProof/>
                <w:color w:val="000000"/>
                <w:szCs w:val="24"/>
                <w:lang w:val="en-IE" w:eastAsia="en-IE"/>
              </w:rPr>
              <w:t>0.000</w:t>
            </w:r>
          </w:p>
        </w:tc>
        <w:tc>
          <w:tcPr>
            <w:tcW w:w="398"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Pr>
                <w:b/>
                <w:bCs/>
                <w:noProof/>
                <w:color w:val="000000"/>
                <w:szCs w:val="24"/>
                <w:lang w:val="en-IE" w:eastAsia="en-IE"/>
              </w:rPr>
              <w:t>1</w:t>
            </w:r>
            <w:r w:rsidR="00843561">
              <w:rPr>
                <w:b/>
                <w:bCs/>
                <w:noProof/>
                <w:color w:val="000000"/>
                <w:szCs w:val="24"/>
                <w:lang w:val="en-IE" w:eastAsia="en-IE"/>
              </w:rPr>
              <w:t>.</w:t>
            </w:r>
            <w:r>
              <w:rPr>
                <w:b/>
                <w:bCs/>
                <w:noProof/>
                <w:color w:val="000000"/>
                <w:szCs w:val="24"/>
                <w:lang w:val="en-IE" w:eastAsia="en-IE"/>
              </w:rPr>
              <w:t>067</w:t>
            </w:r>
          </w:p>
        </w:tc>
        <w:tc>
          <w:tcPr>
            <w:tcW w:w="482" w:type="pct"/>
            <w:tcBorders>
              <w:top w:val="nil"/>
              <w:left w:val="nil"/>
              <w:bottom w:val="single" w:sz="8" w:space="0" w:color="auto"/>
              <w:right w:val="single" w:sz="8" w:space="0" w:color="auto"/>
            </w:tcBorders>
            <w:shd w:val="clear" w:color="000000" w:fill="D9D9D9"/>
            <w:vAlign w:val="center"/>
            <w:hideMark/>
          </w:tcPr>
          <w:p w:rsidR="00BB1D84" w:rsidRPr="003268F2" w:rsidRDefault="00BB1D84">
            <w:pPr>
              <w:spacing w:before="0" w:after="0"/>
              <w:jc w:val="right"/>
              <w:rPr>
                <w:b/>
                <w:bCs/>
                <w:noProof/>
                <w:color w:val="000000"/>
                <w:szCs w:val="24"/>
                <w:lang w:val="en-IE" w:eastAsia="en-IE"/>
              </w:rPr>
            </w:pPr>
            <w:r w:rsidRPr="000C36FC">
              <w:rPr>
                <w:b/>
                <w:bCs/>
                <w:noProof/>
                <w:color w:val="000000"/>
                <w:szCs w:val="24"/>
                <w:lang w:val="en-IE" w:eastAsia="en-IE"/>
              </w:rPr>
              <w:t>1</w:t>
            </w:r>
            <w:r w:rsidR="000033C8">
              <w:rPr>
                <w:b/>
                <w:bCs/>
                <w:noProof/>
                <w:color w:val="000000"/>
                <w:szCs w:val="24"/>
                <w:lang w:val="en-IE" w:eastAsia="en-IE"/>
              </w:rPr>
              <w:t>.</w:t>
            </w:r>
            <w:r>
              <w:rPr>
                <w:b/>
                <w:bCs/>
                <w:noProof/>
                <w:color w:val="000000"/>
                <w:szCs w:val="24"/>
                <w:lang w:val="en-IE" w:eastAsia="en-IE"/>
              </w:rPr>
              <w:t>067</w:t>
            </w:r>
          </w:p>
        </w:tc>
        <w:tc>
          <w:tcPr>
            <w:tcW w:w="482" w:type="pct"/>
            <w:tcBorders>
              <w:top w:val="nil"/>
              <w:left w:val="nil"/>
              <w:bottom w:val="single" w:sz="8" w:space="0" w:color="auto"/>
              <w:right w:val="single" w:sz="8" w:space="0" w:color="auto"/>
            </w:tcBorders>
            <w:shd w:val="clear" w:color="000000" w:fill="D9D9D9"/>
            <w:vAlign w:val="center"/>
          </w:tcPr>
          <w:p w:rsidR="00BB1D84" w:rsidRPr="003268F2" w:rsidRDefault="00DD5E05">
            <w:pPr>
              <w:spacing w:before="0" w:after="0"/>
              <w:jc w:val="right"/>
              <w:rPr>
                <w:b/>
                <w:bCs/>
                <w:noProof/>
                <w:color w:val="000000"/>
                <w:szCs w:val="24"/>
                <w:lang w:val="en-IE" w:eastAsia="en-IE"/>
              </w:rPr>
            </w:pPr>
            <w:r>
              <w:rPr>
                <w:b/>
                <w:bCs/>
                <w:noProof/>
                <w:color w:val="000000"/>
                <w:szCs w:val="24"/>
                <w:lang w:val="en-IE" w:eastAsia="en-IE"/>
              </w:rPr>
              <w:t>14</w:t>
            </w:r>
            <w:r w:rsidR="000033C8">
              <w:rPr>
                <w:b/>
                <w:bCs/>
                <w:noProof/>
                <w:color w:val="000000"/>
                <w:szCs w:val="24"/>
                <w:lang w:val="en-IE" w:eastAsia="en-IE"/>
              </w:rPr>
              <w:t>.</w:t>
            </w:r>
            <w:r>
              <w:rPr>
                <w:b/>
                <w:bCs/>
                <w:noProof/>
                <w:color w:val="000000"/>
                <w:szCs w:val="24"/>
                <w:lang w:val="en-IE" w:eastAsia="en-IE"/>
              </w:rPr>
              <w:t>775</w:t>
            </w:r>
          </w:p>
        </w:tc>
      </w:tr>
    </w:tbl>
    <w:p w:rsidR="00BB1D84" w:rsidRDefault="00BB1D84" w:rsidP="00BB1D84">
      <w:pPr>
        <w:pStyle w:val="ManualHeading3"/>
        <w:rPr>
          <w:bCs/>
          <w:noProof/>
          <w:szCs w:val="24"/>
        </w:rPr>
      </w:pPr>
      <w:bookmarkStart w:id="154" w:name="_Toc514938054"/>
      <w:bookmarkStart w:id="155" w:name="_Toc520485053"/>
      <w:bookmarkStart w:id="156" w:name="_Toc160804597"/>
      <w:bookmarkStart w:id="157" w:name="_Toc234245522"/>
      <w:r w:rsidRPr="0021790A">
        <w:rPr>
          <w:noProof/>
        </w:rPr>
        <w:t>3.2.2.</w:t>
      </w:r>
      <w:r w:rsidRPr="0021790A">
        <w:rPr>
          <w:noProof/>
        </w:rPr>
        <w:tab/>
      </w:r>
      <w:r>
        <w:rPr>
          <w:noProof/>
        </w:rPr>
        <w:t>Estimated output funded from operational appropriations</w:t>
      </w:r>
      <w:bookmarkEnd w:id="154"/>
      <w:bookmarkEnd w:id="155"/>
      <w:bookmarkEnd w:id="156"/>
      <w:bookmarkEnd w:id="157"/>
    </w:p>
    <w:p w:rsidR="00BB1D84" w:rsidRPr="003A769F" w:rsidRDefault="00BB1D84" w:rsidP="00BB1D84">
      <w:pPr>
        <w:jc w:val="right"/>
        <w:rPr>
          <w:noProof/>
          <w:sz w:val="20"/>
          <w:lang w:val="en-IE"/>
        </w:rPr>
      </w:pPr>
      <w:r w:rsidRPr="003A769F">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882"/>
        <w:gridCol w:w="18"/>
        <w:gridCol w:w="720"/>
        <w:gridCol w:w="540"/>
        <w:gridCol w:w="648"/>
        <w:gridCol w:w="432"/>
        <w:gridCol w:w="720"/>
        <w:gridCol w:w="540"/>
        <w:gridCol w:w="720"/>
        <w:gridCol w:w="720"/>
        <w:gridCol w:w="900"/>
      </w:tblGrid>
      <w:tr w:rsidR="00BB1D84">
        <w:trPr>
          <w:jc w:val="center"/>
        </w:trPr>
        <w:tc>
          <w:tcPr>
            <w:tcW w:w="1423" w:type="dxa"/>
            <w:vMerge w:val="restart"/>
            <w:vAlign w:val="center"/>
          </w:tcPr>
          <w:p w:rsidR="00BB1D84" w:rsidRDefault="00BB1D84">
            <w:pPr>
              <w:ind w:right="-29"/>
              <w:jc w:val="center"/>
              <w:rPr>
                <w:b/>
                <w:noProof/>
                <w:sz w:val="18"/>
                <w:szCs w:val="18"/>
              </w:rPr>
            </w:pPr>
            <w:r>
              <w:rPr>
                <w:b/>
                <w:noProof/>
                <w:sz w:val="18"/>
              </w:rPr>
              <w:t xml:space="preserve">Indicate objectives and outputs </w:t>
            </w:r>
          </w:p>
          <w:p w:rsidR="00BB1D84" w:rsidRDefault="00BB1D84">
            <w:pPr>
              <w:ind w:right="-29"/>
              <w:jc w:val="center"/>
              <w:rPr>
                <w:b/>
                <w:noProof/>
                <w:sz w:val="18"/>
                <w:szCs w:val="18"/>
              </w:rPr>
            </w:pPr>
          </w:p>
          <w:p w:rsidR="00BB1D84" w:rsidRDefault="00BB1D84">
            <w:pPr>
              <w:ind w:right="-29"/>
              <w:jc w:val="center"/>
              <w:rPr>
                <w:noProof/>
                <w:sz w:val="18"/>
                <w:szCs w:val="18"/>
              </w:rPr>
            </w:pPr>
            <w:r>
              <w:rPr>
                <w:rFonts w:ascii="Wingdings" w:eastAsia="Wingdings" w:hAnsi="Wingdings" w:cs="Wingdings"/>
                <w:noProof/>
                <w:sz w:val="18"/>
              </w:rPr>
              <w:t></w:t>
            </w:r>
          </w:p>
        </w:tc>
        <w:tc>
          <w:tcPr>
            <w:tcW w:w="720" w:type="dxa"/>
            <w:vAlign w:val="center"/>
          </w:tcPr>
          <w:p w:rsidR="00BB1D84" w:rsidRDefault="00BB1D84">
            <w:pPr>
              <w:ind w:right="-29"/>
              <w:jc w:val="center"/>
              <w:rPr>
                <w:noProof/>
                <w:sz w:val="18"/>
                <w:szCs w:val="18"/>
              </w:rPr>
            </w:pPr>
          </w:p>
        </w:tc>
        <w:tc>
          <w:tcPr>
            <w:tcW w:w="701" w:type="dxa"/>
            <w:vAlign w:val="center"/>
          </w:tcPr>
          <w:p w:rsidR="00BB1D84" w:rsidRDefault="00BB1D84">
            <w:pPr>
              <w:ind w:right="-29"/>
              <w:jc w:val="center"/>
              <w:rPr>
                <w:noProof/>
                <w:sz w:val="18"/>
                <w:szCs w:val="18"/>
              </w:rPr>
            </w:pPr>
          </w:p>
        </w:tc>
        <w:tc>
          <w:tcPr>
            <w:tcW w:w="1224" w:type="dxa"/>
            <w:gridSpan w:val="2"/>
            <w:tcBorders>
              <w:left w:val="nil"/>
            </w:tcBorders>
            <w:vAlign w:val="center"/>
          </w:tcPr>
          <w:p w:rsidR="00BB1D84" w:rsidRDefault="00BB1D84">
            <w:pPr>
              <w:ind w:right="-29"/>
              <w:jc w:val="center"/>
              <w:rPr>
                <w:noProof/>
                <w:sz w:val="18"/>
                <w:szCs w:val="18"/>
              </w:rPr>
            </w:pPr>
            <w:r>
              <w:rPr>
                <w:noProof/>
                <w:sz w:val="18"/>
              </w:rPr>
              <w:t xml:space="preserve">Year </w:t>
            </w:r>
            <w:r>
              <w:rPr>
                <w:noProof/>
                <w:sz w:val="22"/>
              </w:rPr>
              <w:br/>
            </w:r>
            <w:r>
              <w:rPr>
                <w:b/>
                <w:noProof/>
                <w:sz w:val="18"/>
              </w:rPr>
              <w:t>2024</w:t>
            </w:r>
          </w:p>
        </w:tc>
        <w:tc>
          <w:tcPr>
            <w:tcW w:w="1260" w:type="dxa"/>
            <w:gridSpan w:val="2"/>
            <w:vAlign w:val="center"/>
          </w:tcPr>
          <w:p w:rsidR="00BB1D84" w:rsidRDefault="00BB1D84">
            <w:pPr>
              <w:ind w:right="-29"/>
              <w:jc w:val="center"/>
              <w:rPr>
                <w:noProof/>
                <w:sz w:val="18"/>
                <w:szCs w:val="18"/>
              </w:rPr>
            </w:pPr>
            <w:r>
              <w:rPr>
                <w:noProof/>
                <w:sz w:val="18"/>
              </w:rPr>
              <w:t xml:space="preserve">Year </w:t>
            </w:r>
            <w:r>
              <w:rPr>
                <w:noProof/>
                <w:sz w:val="22"/>
              </w:rPr>
              <w:br/>
            </w:r>
            <w:r>
              <w:rPr>
                <w:b/>
                <w:noProof/>
                <w:sz w:val="18"/>
              </w:rPr>
              <w:t>2025</w:t>
            </w:r>
          </w:p>
        </w:tc>
        <w:tc>
          <w:tcPr>
            <w:tcW w:w="1440" w:type="dxa"/>
            <w:gridSpan w:val="2"/>
            <w:vAlign w:val="center"/>
          </w:tcPr>
          <w:p w:rsidR="00BB1D84" w:rsidRDefault="00BB1D84">
            <w:pPr>
              <w:ind w:right="-29"/>
              <w:jc w:val="center"/>
              <w:rPr>
                <w:noProof/>
                <w:sz w:val="18"/>
                <w:szCs w:val="18"/>
              </w:rPr>
            </w:pPr>
            <w:r>
              <w:rPr>
                <w:noProof/>
                <w:sz w:val="18"/>
              </w:rPr>
              <w:t xml:space="preserve">Year </w:t>
            </w:r>
            <w:r>
              <w:rPr>
                <w:noProof/>
                <w:sz w:val="22"/>
              </w:rPr>
              <w:br/>
            </w:r>
            <w:r>
              <w:rPr>
                <w:b/>
                <w:noProof/>
                <w:sz w:val="18"/>
              </w:rPr>
              <w:t>2026</w:t>
            </w:r>
          </w:p>
        </w:tc>
        <w:tc>
          <w:tcPr>
            <w:tcW w:w="1620" w:type="dxa"/>
            <w:gridSpan w:val="3"/>
            <w:vAlign w:val="center"/>
          </w:tcPr>
          <w:p w:rsidR="00BB1D84" w:rsidRDefault="00BB1D84">
            <w:pPr>
              <w:ind w:right="-29"/>
              <w:jc w:val="center"/>
              <w:rPr>
                <w:noProof/>
                <w:sz w:val="18"/>
                <w:szCs w:val="18"/>
              </w:rPr>
            </w:pPr>
            <w:r>
              <w:rPr>
                <w:noProof/>
                <w:sz w:val="18"/>
              </w:rPr>
              <w:t xml:space="preserve">Year </w:t>
            </w:r>
            <w:r>
              <w:rPr>
                <w:noProof/>
                <w:sz w:val="22"/>
              </w:rPr>
              <w:br/>
            </w:r>
            <w:r>
              <w:rPr>
                <w:b/>
                <w:noProof/>
                <w:sz w:val="18"/>
              </w:rPr>
              <w:t>2027</w:t>
            </w:r>
          </w:p>
        </w:tc>
        <w:tc>
          <w:tcPr>
            <w:tcW w:w="3600" w:type="dxa"/>
            <w:gridSpan w:val="6"/>
            <w:vAlign w:val="center"/>
          </w:tcPr>
          <w:p w:rsidR="00BB1D84" w:rsidRPr="003A769F" w:rsidRDefault="00BB1D84">
            <w:pPr>
              <w:jc w:val="center"/>
              <w:rPr>
                <w:noProof/>
                <w:sz w:val="18"/>
                <w:szCs w:val="18"/>
                <w:lang w:val="en-IE"/>
              </w:rPr>
            </w:pPr>
            <w:r w:rsidRPr="003A769F">
              <w:rPr>
                <w:noProof/>
                <w:sz w:val="18"/>
                <w:lang w:val="en-IE"/>
              </w:rPr>
              <w:t xml:space="preserve">Enter as many years as necessary to show the duration of the impact (see </w:t>
            </w:r>
            <w:r>
              <w:rPr>
                <w:noProof/>
                <w:sz w:val="18"/>
                <w:lang w:val="en-IE"/>
              </w:rPr>
              <w:t>Section</w:t>
            </w:r>
            <w:r w:rsidRPr="003A769F">
              <w:rPr>
                <w:noProof/>
                <w:sz w:val="18"/>
                <w:lang w:val="en-IE"/>
              </w:rPr>
              <w:t xml:space="preserve"> 1.6)</w:t>
            </w:r>
          </w:p>
        </w:tc>
        <w:tc>
          <w:tcPr>
            <w:tcW w:w="1620" w:type="dxa"/>
            <w:gridSpan w:val="2"/>
            <w:tcBorders>
              <w:left w:val="nil"/>
              <w:bottom w:val="nil"/>
            </w:tcBorders>
            <w:vAlign w:val="center"/>
          </w:tcPr>
          <w:p w:rsidR="00BB1D84" w:rsidRDefault="00BB1D84">
            <w:pPr>
              <w:ind w:right="-29"/>
              <w:jc w:val="center"/>
              <w:rPr>
                <w:noProof/>
                <w:sz w:val="18"/>
                <w:szCs w:val="18"/>
              </w:rPr>
            </w:pPr>
            <w:r>
              <w:rPr>
                <w:b/>
                <w:noProof/>
                <w:sz w:val="18"/>
              </w:rPr>
              <w:t>TOTAL</w:t>
            </w:r>
          </w:p>
        </w:tc>
      </w:tr>
      <w:tr w:rsidR="00BB1D84">
        <w:trPr>
          <w:jc w:val="center"/>
        </w:trPr>
        <w:tc>
          <w:tcPr>
            <w:tcW w:w="1423" w:type="dxa"/>
            <w:vMerge/>
            <w:vAlign w:val="center"/>
          </w:tcPr>
          <w:p w:rsidR="00BB1D84" w:rsidRDefault="00BB1D84">
            <w:pPr>
              <w:ind w:right="-29"/>
              <w:jc w:val="center"/>
              <w:rPr>
                <w:noProof/>
                <w:sz w:val="18"/>
                <w:szCs w:val="18"/>
              </w:rPr>
            </w:pPr>
          </w:p>
        </w:tc>
        <w:tc>
          <w:tcPr>
            <w:tcW w:w="12185" w:type="dxa"/>
            <w:gridSpan w:val="19"/>
            <w:vAlign w:val="center"/>
          </w:tcPr>
          <w:p w:rsidR="00BB1D84" w:rsidRDefault="00BB1D84">
            <w:pPr>
              <w:spacing w:before="60" w:after="60"/>
              <w:ind w:right="-29"/>
              <w:jc w:val="center"/>
              <w:rPr>
                <w:noProof/>
                <w:sz w:val="18"/>
                <w:szCs w:val="18"/>
              </w:rPr>
            </w:pPr>
            <w:r>
              <w:rPr>
                <w:b/>
                <w:noProof/>
                <w:sz w:val="18"/>
              </w:rPr>
              <w:t>OUTPUTS</w:t>
            </w:r>
          </w:p>
        </w:tc>
      </w:tr>
      <w:tr w:rsidR="00BB1D84">
        <w:trPr>
          <w:cantSplit/>
          <w:trHeight w:val="1134"/>
          <w:jc w:val="center"/>
        </w:trPr>
        <w:tc>
          <w:tcPr>
            <w:tcW w:w="1423" w:type="dxa"/>
            <w:vMerge/>
            <w:vAlign w:val="center"/>
          </w:tcPr>
          <w:p w:rsidR="00BB1D84" w:rsidRDefault="00BB1D84">
            <w:pPr>
              <w:rPr>
                <w:noProof/>
                <w:sz w:val="18"/>
                <w:szCs w:val="18"/>
              </w:rPr>
            </w:pPr>
          </w:p>
        </w:tc>
        <w:tc>
          <w:tcPr>
            <w:tcW w:w="720" w:type="dxa"/>
            <w:vAlign w:val="center"/>
          </w:tcPr>
          <w:p w:rsidR="00BB1D84" w:rsidRDefault="00BB1D84">
            <w:pPr>
              <w:jc w:val="center"/>
              <w:rPr>
                <w:noProof/>
                <w:sz w:val="18"/>
                <w:szCs w:val="18"/>
              </w:rPr>
            </w:pPr>
            <w:r>
              <w:rPr>
                <w:noProof/>
                <w:sz w:val="18"/>
              </w:rPr>
              <w:t>Type</w:t>
            </w:r>
            <w:r>
              <w:rPr>
                <w:rStyle w:val="FootnoteReference"/>
                <w:noProof/>
                <w:sz w:val="18"/>
              </w:rPr>
              <w:footnoteReference w:id="49"/>
            </w:r>
          </w:p>
          <w:p w:rsidR="00BB1D84" w:rsidRDefault="00BB1D84">
            <w:pPr>
              <w:spacing w:before="0" w:after="0"/>
              <w:jc w:val="center"/>
              <w:rPr>
                <w:noProof/>
                <w:sz w:val="18"/>
                <w:szCs w:val="18"/>
              </w:rPr>
            </w:pPr>
          </w:p>
        </w:tc>
        <w:tc>
          <w:tcPr>
            <w:tcW w:w="701" w:type="dxa"/>
            <w:vAlign w:val="center"/>
          </w:tcPr>
          <w:p w:rsidR="00BB1D84" w:rsidRDefault="00BB1D84">
            <w:pPr>
              <w:jc w:val="center"/>
              <w:rPr>
                <w:noProof/>
                <w:sz w:val="18"/>
                <w:szCs w:val="18"/>
              </w:rPr>
            </w:pPr>
            <w:r>
              <w:rPr>
                <w:noProof/>
                <w:sz w:val="18"/>
              </w:rPr>
              <w:t>Average cost</w:t>
            </w:r>
          </w:p>
        </w:tc>
        <w:tc>
          <w:tcPr>
            <w:tcW w:w="504" w:type="dxa"/>
            <w:tcBorders>
              <w:left w:val="nil"/>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720" w:type="dxa"/>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900" w:type="dxa"/>
            <w:gridSpan w:val="2"/>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648"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432" w:type="dxa"/>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540" w:type="dxa"/>
            <w:tcBorders>
              <w:right w:val="dashSmallGap" w:sz="4" w:space="0" w:color="auto"/>
            </w:tcBorders>
            <w:shd w:val="pct10" w:color="auto" w:fill="auto"/>
            <w:textDirection w:val="btLr"/>
            <w:vAlign w:val="center"/>
          </w:tcPr>
          <w:p w:rsidR="00BB1D84" w:rsidRDefault="00BB1D84">
            <w:pPr>
              <w:ind w:left="113" w:right="113"/>
              <w:jc w:val="center"/>
              <w:rPr>
                <w:noProof/>
                <w:sz w:val="18"/>
                <w:szCs w:val="18"/>
              </w:rPr>
            </w:pPr>
            <w:r>
              <w:rPr>
                <w:noProof/>
                <w:sz w:val="18"/>
              </w:rPr>
              <w:t>No</w:t>
            </w:r>
          </w:p>
        </w:tc>
        <w:tc>
          <w:tcPr>
            <w:tcW w:w="72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Cost</w:t>
            </w:r>
          </w:p>
        </w:tc>
        <w:tc>
          <w:tcPr>
            <w:tcW w:w="720" w:type="dxa"/>
            <w:tcBorders>
              <w:right w:val="dashSmallGap" w:sz="4" w:space="0" w:color="auto"/>
            </w:tcBorders>
            <w:shd w:val="pct10" w:color="auto" w:fill="auto"/>
            <w:vAlign w:val="center"/>
          </w:tcPr>
          <w:p w:rsidR="00BB1D84" w:rsidRDefault="00BB1D84">
            <w:pPr>
              <w:jc w:val="center"/>
              <w:rPr>
                <w:noProof/>
                <w:sz w:val="18"/>
                <w:szCs w:val="18"/>
              </w:rPr>
            </w:pPr>
            <w:r>
              <w:rPr>
                <w:noProof/>
                <w:sz w:val="18"/>
              </w:rPr>
              <w:t>Total No</w:t>
            </w:r>
          </w:p>
        </w:tc>
        <w:tc>
          <w:tcPr>
            <w:tcW w:w="900" w:type="dxa"/>
            <w:tcBorders>
              <w:left w:val="dashSmallGap" w:sz="4" w:space="0" w:color="auto"/>
            </w:tcBorders>
            <w:shd w:val="pct10" w:color="auto" w:fill="auto"/>
            <w:vAlign w:val="center"/>
          </w:tcPr>
          <w:p w:rsidR="00BB1D84" w:rsidRDefault="00BB1D84">
            <w:pPr>
              <w:jc w:val="center"/>
              <w:rPr>
                <w:noProof/>
                <w:sz w:val="18"/>
                <w:szCs w:val="18"/>
              </w:rPr>
            </w:pPr>
            <w:r>
              <w:rPr>
                <w:noProof/>
                <w:sz w:val="18"/>
              </w:rPr>
              <w:t>Total cost</w:t>
            </w:r>
          </w:p>
        </w:tc>
      </w:tr>
      <w:tr w:rsidR="00BB1D84">
        <w:trPr>
          <w:jc w:val="center"/>
        </w:trPr>
        <w:tc>
          <w:tcPr>
            <w:tcW w:w="2844" w:type="dxa"/>
            <w:gridSpan w:val="3"/>
            <w:vAlign w:val="center"/>
          </w:tcPr>
          <w:p w:rsidR="00BB1D84" w:rsidRDefault="00BB1D84">
            <w:pPr>
              <w:spacing w:before="60" w:after="60"/>
              <w:ind w:right="-29"/>
              <w:jc w:val="center"/>
              <w:rPr>
                <w:noProof/>
                <w:sz w:val="18"/>
                <w:szCs w:val="18"/>
              </w:rPr>
            </w:pPr>
            <w:r>
              <w:rPr>
                <w:noProof/>
                <w:sz w:val="18"/>
              </w:rPr>
              <w:t>SPECIFIC OBJECTIVE No 1</w:t>
            </w:r>
            <w:r>
              <w:rPr>
                <w:rStyle w:val="FootnoteReference"/>
                <w:noProof/>
                <w:sz w:val="18"/>
              </w:rPr>
              <w:footnoteReference w:id="50"/>
            </w:r>
            <w:r>
              <w:rPr>
                <w:noProof/>
                <w:sz w:val="18"/>
              </w:rPr>
              <w:t>…</w:t>
            </w:r>
          </w:p>
        </w:tc>
        <w:tc>
          <w:tcPr>
            <w:tcW w:w="504"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900" w:type="dxa"/>
            <w:gridSpan w:val="2"/>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648" w:type="dxa"/>
            <w:tcBorders>
              <w:top w:val="nil"/>
              <w:left w:val="nil"/>
              <w:bottom w:val="nil"/>
              <w:right w:val="nil"/>
            </w:tcBorders>
          </w:tcPr>
          <w:p w:rsidR="00BB1D84" w:rsidRDefault="00BB1D84">
            <w:pPr>
              <w:spacing w:before="60" w:after="60"/>
              <w:ind w:right="-29"/>
              <w:jc w:val="center"/>
              <w:rPr>
                <w:noProof/>
                <w:sz w:val="18"/>
                <w:szCs w:val="18"/>
              </w:rPr>
            </w:pPr>
          </w:p>
        </w:tc>
        <w:tc>
          <w:tcPr>
            <w:tcW w:w="432"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900" w:type="dxa"/>
            <w:tcBorders>
              <w:top w:val="nil"/>
              <w:left w:val="nil"/>
              <w:bottom w:val="nil"/>
              <w:right w:val="nil"/>
            </w:tcBorders>
          </w:tcPr>
          <w:p w:rsidR="00BB1D84" w:rsidRDefault="00BB1D84">
            <w:pPr>
              <w:spacing w:before="60" w:after="60"/>
              <w:ind w:right="-29"/>
              <w:jc w:val="center"/>
              <w:rPr>
                <w:noProof/>
                <w:sz w:val="18"/>
                <w:szCs w:val="18"/>
              </w:rPr>
            </w:pPr>
          </w:p>
        </w:tc>
      </w:tr>
      <w:tr w:rsidR="00BB1D84">
        <w:trPr>
          <w:trHeight w:hRule="exact" w:val="369"/>
          <w:jc w:val="center"/>
        </w:trPr>
        <w:tc>
          <w:tcPr>
            <w:tcW w:w="1423" w:type="dxa"/>
          </w:tcPr>
          <w:p w:rsidR="00BB1D84" w:rsidRDefault="00BB1D84">
            <w:pPr>
              <w:ind w:right="-29"/>
              <w:jc w:val="center"/>
              <w:rPr>
                <w:noProof/>
                <w:sz w:val="18"/>
                <w:szCs w:val="18"/>
              </w:rPr>
            </w:pPr>
            <w:r>
              <w:rPr>
                <w:noProof/>
                <w:sz w:val="18"/>
              </w:rPr>
              <w:t>- Output</w:t>
            </w:r>
          </w:p>
        </w:tc>
        <w:tc>
          <w:tcPr>
            <w:tcW w:w="720" w:type="dxa"/>
          </w:tcPr>
          <w:p w:rsidR="00BB1D84" w:rsidRDefault="00BB1D84">
            <w:pPr>
              <w:ind w:right="-29"/>
              <w:jc w:val="center"/>
              <w:rPr>
                <w:noProof/>
                <w:sz w:val="18"/>
                <w:szCs w:val="18"/>
              </w:rPr>
            </w:pPr>
          </w:p>
        </w:tc>
        <w:tc>
          <w:tcPr>
            <w:tcW w:w="701" w:type="dxa"/>
          </w:tcPr>
          <w:p w:rsidR="00BB1D84" w:rsidRDefault="00BB1D84">
            <w:pPr>
              <w:ind w:right="-29"/>
              <w:jc w:val="center"/>
              <w:rPr>
                <w:noProof/>
                <w:sz w:val="18"/>
                <w:szCs w:val="18"/>
              </w:rPr>
            </w:pPr>
          </w:p>
        </w:tc>
        <w:tc>
          <w:tcPr>
            <w:tcW w:w="504"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72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900" w:type="dxa"/>
            <w:gridSpan w:val="2"/>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648" w:type="dxa"/>
            <w:tcBorders>
              <w:left w:val="dashSmallGap" w:sz="4" w:space="0" w:color="auto"/>
            </w:tcBorders>
          </w:tcPr>
          <w:p w:rsidR="00BB1D84" w:rsidRDefault="00BB1D84">
            <w:pPr>
              <w:ind w:right="-29"/>
              <w:jc w:val="center"/>
              <w:rPr>
                <w:noProof/>
                <w:sz w:val="18"/>
                <w:szCs w:val="18"/>
              </w:rPr>
            </w:pPr>
          </w:p>
        </w:tc>
        <w:tc>
          <w:tcPr>
            <w:tcW w:w="432"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tcPr>
          <w:p w:rsidR="00BB1D84" w:rsidRDefault="00BB1D84">
            <w:pPr>
              <w:ind w:right="-29"/>
              <w:jc w:val="center"/>
              <w:rPr>
                <w:noProof/>
                <w:sz w:val="18"/>
                <w:szCs w:val="18"/>
              </w:rPr>
            </w:pPr>
          </w:p>
        </w:tc>
      </w:tr>
      <w:tr w:rsidR="00BB1D84">
        <w:trPr>
          <w:trHeight w:hRule="exact" w:val="369"/>
          <w:jc w:val="center"/>
        </w:trPr>
        <w:tc>
          <w:tcPr>
            <w:tcW w:w="1423" w:type="dxa"/>
          </w:tcPr>
          <w:p w:rsidR="00BB1D84" w:rsidRDefault="00BB1D84">
            <w:pPr>
              <w:ind w:right="-29"/>
              <w:jc w:val="center"/>
              <w:rPr>
                <w:noProof/>
                <w:sz w:val="18"/>
                <w:szCs w:val="18"/>
              </w:rPr>
            </w:pPr>
            <w:r>
              <w:rPr>
                <w:noProof/>
                <w:sz w:val="18"/>
              </w:rPr>
              <w:t>- Output</w:t>
            </w:r>
          </w:p>
        </w:tc>
        <w:tc>
          <w:tcPr>
            <w:tcW w:w="720" w:type="dxa"/>
          </w:tcPr>
          <w:p w:rsidR="00BB1D84" w:rsidRDefault="00BB1D84">
            <w:pPr>
              <w:ind w:right="-29"/>
              <w:jc w:val="center"/>
              <w:rPr>
                <w:noProof/>
                <w:sz w:val="18"/>
                <w:szCs w:val="18"/>
              </w:rPr>
            </w:pPr>
          </w:p>
        </w:tc>
        <w:tc>
          <w:tcPr>
            <w:tcW w:w="701" w:type="dxa"/>
          </w:tcPr>
          <w:p w:rsidR="00BB1D84" w:rsidRDefault="00BB1D84">
            <w:pPr>
              <w:ind w:right="-29"/>
              <w:jc w:val="center"/>
              <w:rPr>
                <w:noProof/>
                <w:sz w:val="18"/>
                <w:szCs w:val="18"/>
              </w:rPr>
            </w:pPr>
          </w:p>
        </w:tc>
        <w:tc>
          <w:tcPr>
            <w:tcW w:w="504"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72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900" w:type="dxa"/>
            <w:gridSpan w:val="2"/>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648" w:type="dxa"/>
            <w:tcBorders>
              <w:left w:val="dashSmallGap" w:sz="4" w:space="0" w:color="auto"/>
            </w:tcBorders>
          </w:tcPr>
          <w:p w:rsidR="00BB1D84" w:rsidRDefault="00BB1D84">
            <w:pPr>
              <w:ind w:right="-29"/>
              <w:jc w:val="center"/>
              <w:rPr>
                <w:noProof/>
                <w:sz w:val="18"/>
                <w:szCs w:val="18"/>
              </w:rPr>
            </w:pPr>
          </w:p>
        </w:tc>
        <w:tc>
          <w:tcPr>
            <w:tcW w:w="432"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540" w:type="dxa"/>
            <w:tcBorders>
              <w:right w:val="dashSmallGap" w:sz="4" w:space="0" w:color="auto"/>
            </w:tcBorders>
          </w:tcPr>
          <w:p w:rsidR="00BB1D84" w:rsidRDefault="00BB1D84">
            <w:pPr>
              <w:ind w:right="-29"/>
              <w:jc w:val="center"/>
              <w:rPr>
                <w:noProof/>
                <w:sz w:val="18"/>
                <w:szCs w:val="18"/>
              </w:rPr>
            </w:pPr>
          </w:p>
        </w:tc>
        <w:tc>
          <w:tcPr>
            <w:tcW w:w="720" w:type="dxa"/>
            <w:tcBorders>
              <w:left w:val="dashSmallGap" w:sz="4" w:space="0" w:color="auto"/>
            </w:tcBorders>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tcPr>
          <w:p w:rsidR="00BB1D84" w:rsidRDefault="00BB1D84">
            <w:pPr>
              <w:ind w:right="-29"/>
              <w:jc w:val="center"/>
              <w:rPr>
                <w:noProof/>
                <w:sz w:val="18"/>
                <w:szCs w:val="18"/>
              </w:rPr>
            </w:pPr>
          </w:p>
        </w:tc>
      </w:tr>
      <w:tr w:rsidR="00BB1D84">
        <w:trPr>
          <w:trHeight w:hRule="exact" w:val="369"/>
          <w:jc w:val="center"/>
        </w:trPr>
        <w:tc>
          <w:tcPr>
            <w:tcW w:w="1423" w:type="dxa"/>
          </w:tcPr>
          <w:p w:rsidR="00BB1D84" w:rsidRDefault="00BB1D84">
            <w:pPr>
              <w:ind w:right="-29"/>
              <w:jc w:val="center"/>
              <w:rPr>
                <w:noProof/>
                <w:sz w:val="18"/>
                <w:szCs w:val="18"/>
              </w:rPr>
            </w:pPr>
            <w:r>
              <w:rPr>
                <w:noProof/>
                <w:sz w:val="18"/>
              </w:rPr>
              <w:t>- Output</w:t>
            </w:r>
          </w:p>
        </w:tc>
        <w:tc>
          <w:tcPr>
            <w:tcW w:w="720" w:type="dxa"/>
          </w:tcPr>
          <w:p w:rsidR="00BB1D84" w:rsidRDefault="00BB1D84">
            <w:pPr>
              <w:ind w:right="-29"/>
              <w:jc w:val="center"/>
              <w:rPr>
                <w:noProof/>
                <w:sz w:val="18"/>
                <w:szCs w:val="18"/>
              </w:rPr>
            </w:pPr>
          </w:p>
        </w:tc>
        <w:tc>
          <w:tcPr>
            <w:tcW w:w="701" w:type="dxa"/>
          </w:tcPr>
          <w:p w:rsidR="00BB1D84" w:rsidRDefault="00BB1D84">
            <w:pPr>
              <w:ind w:right="-29"/>
              <w:jc w:val="center"/>
              <w:rPr>
                <w:noProof/>
                <w:sz w:val="18"/>
                <w:szCs w:val="18"/>
              </w:rPr>
            </w:pPr>
          </w:p>
        </w:tc>
        <w:tc>
          <w:tcPr>
            <w:tcW w:w="504"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gridSpan w:val="2"/>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648" w:type="dxa"/>
          </w:tcPr>
          <w:p w:rsidR="00BB1D84" w:rsidRDefault="00BB1D84">
            <w:pPr>
              <w:ind w:right="-29"/>
              <w:jc w:val="center"/>
              <w:rPr>
                <w:noProof/>
                <w:sz w:val="18"/>
                <w:szCs w:val="18"/>
              </w:rPr>
            </w:pPr>
          </w:p>
        </w:tc>
        <w:tc>
          <w:tcPr>
            <w:tcW w:w="432"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tcPr>
          <w:p w:rsidR="00BB1D84" w:rsidRDefault="00BB1D84">
            <w:pPr>
              <w:ind w:right="-29"/>
              <w:jc w:val="center"/>
              <w:rPr>
                <w:noProof/>
                <w:sz w:val="18"/>
                <w:szCs w:val="18"/>
              </w:rPr>
            </w:pPr>
          </w:p>
        </w:tc>
      </w:tr>
      <w:tr w:rsidR="00BB1D84" w:rsidRPr="003A769F">
        <w:trPr>
          <w:trHeight w:val="77"/>
          <w:jc w:val="center"/>
        </w:trPr>
        <w:tc>
          <w:tcPr>
            <w:tcW w:w="2844" w:type="dxa"/>
            <w:gridSpan w:val="3"/>
            <w:tcBorders>
              <w:bottom w:val="single" w:sz="12" w:space="0" w:color="auto"/>
            </w:tcBorders>
            <w:vAlign w:val="center"/>
          </w:tcPr>
          <w:p w:rsidR="00BB1D84" w:rsidRPr="003A769F" w:rsidRDefault="00BB1D84">
            <w:pPr>
              <w:ind w:right="-29"/>
              <w:jc w:val="center"/>
              <w:rPr>
                <w:noProof/>
                <w:sz w:val="18"/>
                <w:szCs w:val="18"/>
                <w:lang w:val="en-IE"/>
              </w:rPr>
            </w:pPr>
            <w:r w:rsidRPr="003A769F">
              <w:rPr>
                <w:noProof/>
                <w:sz w:val="18"/>
                <w:lang w:val="en-IE"/>
              </w:rPr>
              <w:t>Subtotal for specific objective No 1</w:t>
            </w:r>
          </w:p>
        </w:tc>
        <w:tc>
          <w:tcPr>
            <w:tcW w:w="504"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900" w:type="dxa"/>
            <w:gridSpan w:val="2"/>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648" w:type="dxa"/>
            <w:tcBorders>
              <w:bottom w:val="single" w:sz="12" w:space="0" w:color="auto"/>
            </w:tcBorders>
          </w:tcPr>
          <w:p w:rsidR="00BB1D84" w:rsidRPr="003A769F" w:rsidRDefault="00BB1D84">
            <w:pPr>
              <w:ind w:right="-29"/>
              <w:jc w:val="center"/>
              <w:rPr>
                <w:noProof/>
                <w:sz w:val="18"/>
                <w:szCs w:val="18"/>
                <w:lang w:val="en-IE"/>
              </w:rPr>
            </w:pPr>
          </w:p>
        </w:tc>
        <w:tc>
          <w:tcPr>
            <w:tcW w:w="432"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900" w:type="dxa"/>
            <w:tcBorders>
              <w:bottom w:val="single" w:sz="12" w:space="0" w:color="auto"/>
            </w:tcBorders>
          </w:tcPr>
          <w:p w:rsidR="00BB1D84" w:rsidRPr="003A769F" w:rsidRDefault="00BB1D84">
            <w:pPr>
              <w:ind w:right="-29"/>
              <w:jc w:val="center"/>
              <w:rPr>
                <w:noProof/>
                <w:sz w:val="18"/>
                <w:szCs w:val="18"/>
                <w:lang w:val="en-IE"/>
              </w:rPr>
            </w:pPr>
          </w:p>
        </w:tc>
      </w:tr>
      <w:tr w:rsidR="00BB1D84">
        <w:trPr>
          <w:jc w:val="center"/>
        </w:trPr>
        <w:tc>
          <w:tcPr>
            <w:tcW w:w="2844" w:type="dxa"/>
            <w:gridSpan w:val="3"/>
            <w:vAlign w:val="center"/>
          </w:tcPr>
          <w:p w:rsidR="00BB1D84" w:rsidRDefault="00BB1D84">
            <w:pPr>
              <w:spacing w:before="60" w:after="60"/>
              <w:ind w:right="-29"/>
              <w:jc w:val="center"/>
              <w:rPr>
                <w:noProof/>
                <w:sz w:val="18"/>
                <w:szCs w:val="18"/>
              </w:rPr>
            </w:pPr>
            <w:r>
              <w:rPr>
                <w:noProof/>
                <w:sz w:val="18"/>
              </w:rPr>
              <w:t>SPECIFIC OBJECTIVE No 2 ...</w:t>
            </w:r>
          </w:p>
        </w:tc>
        <w:tc>
          <w:tcPr>
            <w:tcW w:w="504"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900" w:type="dxa"/>
            <w:gridSpan w:val="2"/>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648" w:type="dxa"/>
            <w:tcBorders>
              <w:top w:val="nil"/>
              <w:left w:val="nil"/>
              <w:bottom w:val="nil"/>
              <w:right w:val="nil"/>
            </w:tcBorders>
          </w:tcPr>
          <w:p w:rsidR="00BB1D84" w:rsidRDefault="00BB1D84">
            <w:pPr>
              <w:spacing w:before="60" w:after="60"/>
              <w:ind w:right="-29"/>
              <w:jc w:val="center"/>
              <w:rPr>
                <w:noProof/>
                <w:sz w:val="18"/>
                <w:szCs w:val="18"/>
              </w:rPr>
            </w:pPr>
          </w:p>
        </w:tc>
        <w:tc>
          <w:tcPr>
            <w:tcW w:w="432"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54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720" w:type="dxa"/>
            <w:tcBorders>
              <w:top w:val="nil"/>
              <w:left w:val="nil"/>
              <w:bottom w:val="nil"/>
              <w:right w:val="nil"/>
            </w:tcBorders>
          </w:tcPr>
          <w:p w:rsidR="00BB1D84" w:rsidRDefault="00BB1D84">
            <w:pPr>
              <w:spacing w:before="60" w:after="60"/>
              <w:ind w:right="-29"/>
              <w:jc w:val="center"/>
              <w:rPr>
                <w:noProof/>
                <w:sz w:val="18"/>
                <w:szCs w:val="18"/>
              </w:rPr>
            </w:pPr>
          </w:p>
        </w:tc>
        <w:tc>
          <w:tcPr>
            <w:tcW w:w="900" w:type="dxa"/>
            <w:tcBorders>
              <w:top w:val="nil"/>
              <w:left w:val="nil"/>
              <w:bottom w:val="nil"/>
              <w:right w:val="nil"/>
            </w:tcBorders>
          </w:tcPr>
          <w:p w:rsidR="00BB1D84" w:rsidRDefault="00BB1D84">
            <w:pPr>
              <w:spacing w:before="60" w:after="60"/>
              <w:ind w:right="-29"/>
              <w:jc w:val="center"/>
              <w:rPr>
                <w:noProof/>
                <w:sz w:val="18"/>
                <w:szCs w:val="18"/>
              </w:rPr>
            </w:pPr>
          </w:p>
        </w:tc>
      </w:tr>
      <w:tr w:rsidR="00BB1D84">
        <w:trPr>
          <w:trHeight w:hRule="exact" w:val="369"/>
          <w:jc w:val="center"/>
        </w:trPr>
        <w:tc>
          <w:tcPr>
            <w:tcW w:w="1423" w:type="dxa"/>
          </w:tcPr>
          <w:p w:rsidR="00BB1D84" w:rsidRDefault="00BB1D84">
            <w:pPr>
              <w:ind w:right="-29"/>
              <w:jc w:val="center"/>
              <w:rPr>
                <w:noProof/>
                <w:sz w:val="18"/>
                <w:szCs w:val="18"/>
              </w:rPr>
            </w:pPr>
            <w:r>
              <w:rPr>
                <w:noProof/>
                <w:sz w:val="18"/>
              </w:rPr>
              <w:t>- Output</w:t>
            </w:r>
          </w:p>
        </w:tc>
        <w:tc>
          <w:tcPr>
            <w:tcW w:w="720" w:type="dxa"/>
          </w:tcPr>
          <w:p w:rsidR="00BB1D84" w:rsidRDefault="00BB1D84">
            <w:pPr>
              <w:ind w:right="-29"/>
              <w:jc w:val="center"/>
              <w:rPr>
                <w:noProof/>
                <w:sz w:val="18"/>
                <w:szCs w:val="18"/>
              </w:rPr>
            </w:pPr>
          </w:p>
        </w:tc>
        <w:tc>
          <w:tcPr>
            <w:tcW w:w="701" w:type="dxa"/>
          </w:tcPr>
          <w:p w:rsidR="00BB1D84" w:rsidRDefault="00BB1D84">
            <w:pPr>
              <w:ind w:right="-29"/>
              <w:jc w:val="center"/>
              <w:rPr>
                <w:noProof/>
                <w:sz w:val="18"/>
                <w:szCs w:val="18"/>
              </w:rPr>
            </w:pPr>
          </w:p>
        </w:tc>
        <w:tc>
          <w:tcPr>
            <w:tcW w:w="504"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gridSpan w:val="2"/>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648" w:type="dxa"/>
          </w:tcPr>
          <w:p w:rsidR="00BB1D84" w:rsidRDefault="00BB1D84">
            <w:pPr>
              <w:ind w:right="-29"/>
              <w:jc w:val="center"/>
              <w:rPr>
                <w:noProof/>
                <w:sz w:val="18"/>
                <w:szCs w:val="18"/>
              </w:rPr>
            </w:pPr>
          </w:p>
        </w:tc>
        <w:tc>
          <w:tcPr>
            <w:tcW w:w="432"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54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720" w:type="dxa"/>
          </w:tcPr>
          <w:p w:rsidR="00BB1D84" w:rsidRDefault="00BB1D84">
            <w:pPr>
              <w:ind w:right="-29"/>
              <w:jc w:val="center"/>
              <w:rPr>
                <w:noProof/>
                <w:sz w:val="18"/>
                <w:szCs w:val="18"/>
              </w:rPr>
            </w:pPr>
          </w:p>
        </w:tc>
        <w:tc>
          <w:tcPr>
            <w:tcW w:w="900" w:type="dxa"/>
          </w:tcPr>
          <w:p w:rsidR="00BB1D84" w:rsidRDefault="00BB1D84">
            <w:pPr>
              <w:ind w:right="-29"/>
              <w:jc w:val="center"/>
              <w:rPr>
                <w:noProof/>
                <w:sz w:val="18"/>
                <w:szCs w:val="18"/>
              </w:rPr>
            </w:pPr>
          </w:p>
        </w:tc>
      </w:tr>
      <w:tr w:rsidR="00BB1D84" w:rsidRPr="003A769F">
        <w:trPr>
          <w:jc w:val="center"/>
        </w:trPr>
        <w:tc>
          <w:tcPr>
            <w:tcW w:w="2844" w:type="dxa"/>
            <w:gridSpan w:val="3"/>
            <w:tcBorders>
              <w:bottom w:val="single" w:sz="12" w:space="0" w:color="auto"/>
            </w:tcBorders>
            <w:vAlign w:val="center"/>
          </w:tcPr>
          <w:p w:rsidR="00BB1D84" w:rsidRPr="003A769F" w:rsidRDefault="00BB1D84">
            <w:pPr>
              <w:jc w:val="center"/>
              <w:rPr>
                <w:noProof/>
                <w:sz w:val="18"/>
                <w:szCs w:val="18"/>
                <w:lang w:val="en-IE"/>
              </w:rPr>
            </w:pPr>
            <w:r w:rsidRPr="003A769F">
              <w:rPr>
                <w:noProof/>
                <w:sz w:val="18"/>
                <w:lang w:val="en-IE"/>
              </w:rPr>
              <w:t>Subtotal for specific objective No 2</w:t>
            </w:r>
          </w:p>
        </w:tc>
        <w:tc>
          <w:tcPr>
            <w:tcW w:w="504"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882" w:type="dxa"/>
            <w:tcBorders>
              <w:bottom w:val="single" w:sz="12" w:space="0" w:color="auto"/>
            </w:tcBorders>
          </w:tcPr>
          <w:p w:rsidR="00BB1D84" w:rsidRPr="003A769F" w:rsidRDefault="00BB1D84">
            <w:pPr>
              <w:ind w:right="-29"/>
              <w:jc w:val="center"/>
              <w:rPr>
                <w:noProof/>
                <w:sz w:val="18"/>
                <w:szCs w:val="18"/>
                <w:lang w:val="en-IE"/>
              </w:rPr>
            </w:pPr>
          </w:p>
        </w:tc>
        <w:tc>
          <w:tcPr>
            <w:tcW w:w="738" w:type="dxa"/>
            <w:gridSpan w:val="2"/>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648" w:type="dxa"/>
            <w:tcBorders>
              <w:bottom w:val="single" w:sz="12" w:space="0" w:color="auto"/>
            </w:tcBorders>
          </w:tcPr>
          <w:p w:rsidR="00BB1D84" w:rsidRPr="003A769F" w:rsidRDefault="00BB1D84">
            <w:pPr>
              <w:ind w:right="-29"/>
              <w:jc w:val="center"/>
              <w:rPr>
                <w:noProof/>
                <w:sz w:val="18"/>
                <w:szCs w:val="18"/>
                <w:lang w:val="en-IE"/>
              </w:rPr>
            </w:pPr>
          </w:p>
        </w:tc>
        <w:tc>
          <w:tcPr>
            <w:tcW w:w="432"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54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720" w:type="dxa"/>
            <w:tcBorders>
              <w:bottom w:val="single" w:sz="12" w:space="0" w:color="auto"/>
            </w:tcBorders>
          </w:tcPr>
          <w:p w:rsidR="00BB1D84" w:rsidRPr="003A769F" w:rsidRDefault="00BB1D84">
            <w:pPr>
              <w:ind w:right="-29"/>
              <w:jc w:val="center"/>
              <w:rPr>
                <w:noProof/>
                <w:sz w:val="18"/>
                <w:szCs w:val="18"/>
                <w:lang w:val="en-IE"/>
              </w:rPr>
            </w:pPr>
          </w:p>
        </w:tc>
        <w:tc>
          <w:tcPr>
            <w:tcW w:w="900" w:type="dxa"/>
            <w:tcBorders>
              <w:bottom w:val="single" w:sz="12" w:space="0" w:color="auto"/>
            </w:tcBorders>
          </w:tcPr>
          <w:p w:rsidR="00BB1D84" w:rsidRPr="003A769F" w:rsidRDefault="00BB1D84">
            <w:pPr>
              <w:ind w:right="-29"/>
              <w:jc w:val="center"/>
              <w:rPr>
                <w:noProof/>
                <w:sz w:val="18"/>
                <w:szCs w:val="18"/>
                <w:lang w:val="en-IE"/>
              </w:rPr>
            </w:pPr>
          </w:p>
        </w:tc>
      </w:tr>
      <w:tr w:rsidR="00BB1D84">
        <w:trPr>
          <w:jc w:val="center"/>
        </w:trPr>
        <w:tc>
          <w:tcPr>
            <w:tcW w:w="2844" w:type="dxa"/>
            <w:gridSpan w:val="3"/>
            <w:tcBorders>
              <w:top w:val="single" w:sz="12" w:space="0" w:color="auto"/>
              <w:left w:val="single" w:sz="12" w:space="0" w:color="auto"/>
              <w:bottom w:val="single" w:sz="12" w:space="0" w:color="auto"/>
            </w:tcBorders>
            <w:vAlign w:val="center"/>
          </w:tcPr>
          <w:p w:rsidR="00BB1D84" w:rsidRDefault="00BB1D84">
            <w:pPr>
              <w:ind w:right="-29"/>
              <w:jc w:val="center"/>
              <w:rPr>
                <w:noProof/>
                <w:sz w:val="18"/>
                <w:szCs w:val="18"/>
              </w:rPr>
            </w:pPr>
            <w:r>
              <w:rPr>
                <w:b/>
                <w:noProof/>
                <w:sz w:val="18"/>
              </w:rPr>
              <w:t>TOTALS</w:t>
            </w:r>
          </w:p>
        </w:tc>
        <w:tc>
          <w:tcPr>
            <w:tcW w:w="504"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54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900" w:type="dxa"/>
            <w:gridSpan w:val="2"/>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54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648"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432"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54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720" w:type="dxa"/>
            <w:tcBorders>
              <w:top w:val="single" w:sz="12" w:space="0" w:color="auto"/>
              <w:bottom w:val="single" w:sz="12" w:space="0" w:color="auto"/>
            </w:tcBorders>
          </w:tcPr>
          <w:p w:rsidR="00BB1D84" w:rsidRDefault="00BB1D84">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BB1D84" w:rsidRDefault="00BB1D84">
            <w:pPr>
              <w:spacing w:before="180" w:after="180"/>
              <w:ind w:right="-29"/>
              <w:jc w:val="center"/>
              <w:rPr>
                <w:noProof/>
                <w:sz w:val="18"/>
                <w:szCs w:val="18"/>
              </w:rPr>
            </w:pPr>
          </w:p>
        </w:tc>
      </w:tr>
    </w:tbl>
    <w:p w:rsidR="00BB1D84" w:rsidRDefault="00BB1D84" w:rsidP="00BB1D84">
      <w:pPr>
        <w:rPr>
          <w:noProof/>
        </w:rPr>
        <w:sectPr w:rsidR="00BB1D84" w:rsidSect="00423DBB">
          <w:headerReference w:type="default" r:id="rId18"/>
          <w:footerReference w:type="default" r:id="rId19"/>
          <w:footnotePr>
            <w:numRestart w:val="eachSect"/>
          </w:footnotePr>
          <w:pgSz w:w="16840" w:h="11907" w:orient="landscape" w:code="9"/>
          <w:pgMar w:top="1134" w:right="1418" w:bottom="567" w:left="1418" w:header="709" w:footer="709" w:gutter="0"/>
          <w:cols w:space="708"/>
          <w:docGrid w:linePitch="360"/>
        </w:sectPr>
      </w:pPr>
    </w:p>
    <w:p w:rsidR="00BB1D84" w:rsidRPr="00235FE8" w:rsidRDefault="00BB1D84" w:rsidP="00BB1D84">
      <w:pPr>
        <w:pStyle w:val="ManualHeading3"/>
        <w:rPr>
          <w:i w:val="0"/>
          <w:noProof/>
        </w:rPr>
      </w:pPr>
      <w:bookmarkStart w:id="158" w:name="_Toc514938055"/>
      <w:bookmarkStart w:id="159" w:name="_Toc520485054"/>
      <w:bookmarkStart w:id="160" w:name="_Toc160804598"/>
      <w:bookmarkStart w:id="161" w:name="_Toc234245523"/>
      <w:r w:rsidRPr="0021790A">
        <w:rPr>
          <w:noProof/>
        </w:rPr>
        <w:t>3.2.3.</w:t>
      </w:r>
      <w:r w:rsidRPr="0021790A">
        <w:rPr>
          <w:noProof/>
        </w:rPr>
        <w:tab/>
      </w:r>
      <w:bookmarkStart w:id="162" w:name="_Hlk177486126"/>
      <w:r>
        <w:rPr>
          <w:noProof/>
        </w:rPr>
        <w:t>Summary of estimated impact on administrative appropriations</w:t>
      </w:r>
      <w:bookmarkEnd w:id="158"/>
      <w:bookmarkEnd w:id="159"/>
      <w:bookmarkEnd w:id="160"/>
      <w:bookmarkEnd w:id="161"/>
      <w:bookmarkEnd w:id="162"/>
    </w:p>
    <w:p w:rsidR="00BB1D84" w:rsidRDefault="00BB1D84" w:rsidP="00B24A04">
      <w:pPr>
        <w:pStyle w:val="Text1"/>
        <w:rPr>
          <w:noProof/>
        </w:rPr>
      </w:pPr>
      <w:r>
        <w:rPr>
          <w:rFonts w:ascii="Wingdings" w:eastAsia="Wingdings" w:hAnsi="Wingdings" w:cs="Wingdings"/>
          <w:noProof/>
        </w:rPr>
        <w:t></w:t>
      </w:r>
      <w:r>
        <w:rPr>
          <w:noProof/>
        </w:rPr>
        <w:tab/>
        <w:t xml:space="preserve">The proposal/initiative does not require the use of appropriations of an administrative nature </w:t>
      </w:r>
    </w:p>
    <w:p w:rsidR="00BB1D84" w:rsidRDefault="00BB1D84" w:rsidP="00B24A04">
      <w:pPr>
        <w:pStyle w:val="Text1"/>
        <w:rPr>
          <w:noProof/>
        </w:rPr>
      </w:pPr>
      <w:r>
        <w:rPr>
          <w:rFonts w:ascii="Wingdings" w:eastAsia="Wingdings" w:hAnsi="Wingdings" w:cs="Wingdings"/>
          <w:noProof/>
        </w:rPr>
        <w:t></w:t>
      </w:r>
      <w:r>
        <w:rPr>
          <w:noProof/>
        </w:rPr>
        <w:tab/>
        <w:t>The proposal/initiative requires the use of appropriations of an administrative nature, as explained below</w:t>
      </w:r>
    </w:p>
    <w:p w:rsidR="00BB1D84" w:rsidRDefault="00BB1D84" w:rsidP="007B26E6">
      <w:pPr>
        <w:pStyle w:val="ManualHeading4"/>
        <w:rPr>
          <w:noProof/>
        </w:rPr>
      </w:pPr>
      <w:r w:rsidRPr="003268F2">
        <w:rPr>
          <w:noProof/>
        </w:rPr>
        <w:t>3.2.3.1</w:t>
      </w:r>
      <w:r>
        <w:rPr>
          <w:noProof/>
        </w:rPr>
        <w:t>.</w:t>
      </w:r>
      <w:r w:rsidRPr="003268F2">
        <w:rPr>
          <w:noProof/>
        </w:rPr>
        <w:t xml:space="preserve"> </w:t>
      </w:r>
      <w:r w:rsidRPr="003A7A3D">
        <w:rPr>
          <w:noProof/>
        </w:rPr>
        <w:t>Appropriations</w:t>
      </w:r>
      <w:r>
        <w:rPr>
          <w:noProof/>
        </w:rPr>
        <w:t xml:space="preserve"> </w:t>
      </w:r>
      <w:r>
        <w:rPr>
          <w:rFonts w:eastAsia="Calibri"/>
          <w:noProof/>
        </w:rPr>
        <w:t>from</w:t>
      </w:r>
      <w:r>
        <w:rPr>
          <w:noProof/>
        </w:rPr>
        <w:t xml:space="preserve"> voted budget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6"/>
        <w:gridCol w:w="936"/>
        <w:gridCol w:w="936"/>
        <w:gridCol w:w="936"/>
        <w:gridCol w:w="897"/>
        <w:gridCol w:w="1011"/>
        <w:gridCol w:w="1007"/>
      </w:tblGrid>
      <w:tr w:rsidR="00BB1D84" w:rsidRPr="00290112" w:rsidTr="00A416DB">
        <w:trPr>
          <w:trHeight w:val="300"/>
        </w:trPr>
        <w:tc>
          <w:tcPr>
            <w:tcW w:w="1919" w:type="pct"/>
            <w:vMerge w:val="restar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VOTED APPROPRIATIONS</w:t>
            </w:r>
          </w:p>
        </w:tc>
        <w:tc>
          <w:tcPr>
            <w:tcW w:w="504" w:type="pct"/>
            <w:vAlign w:val="center"/>
            <w:hideMark/>
          </w:tcPr>
          <w:p w:rsidR="00BB1D84" w:rsidRPr="00290112" w:rsidRDefault="00BB1D84">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4" w:type="pct"/>
            <w:vAlign w:val="center"/>
            <w:hideMark/>
          </w:tcPr>
          <w:p w:rsidR="00BB1D84" w:rsidRPr="00290112" w:rsidRDefault="00BB1D84">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04" w:type="pct"/>
            <w:vAlign w:val="center"/>
            <w:hideMark/>
          </w:tcPr>
          <w:p w:rsidR="00BB1D84" w:rsidRPr="00290112" w:rsidRDefault="00BB1D84">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483" w:type="pct"/>
            <w:vAlign w:val="center"/>
            <w:hideMark/>
          </w:tcPr>
          <w:p w:rsidR="00BB1D84" w:rsidRPr="00290112" w:rsidRDefault="00BB1D84">
            <w:pPr>
              <w:spacing w:before="0" w:after="0"/>
              <w:jc w:val="center"/>
              <w:rPr>
                <w:noProof/>
                <w:color w:val="000000"/>
                <w:sz w:val="18"/>
                <w:szCs w:val="18"/>
                <w:lang w:val="en-IE" w:eastAsia="en-IE"/>
              </w:rPr>
            </w:pPr>
            <w:r w:rsidRPr="00290112">
              <w:rPr>
                <w:noProof/>
                <w:color w:val="000000"/>
                <w:sz w:val="18"/>
                <w:szCs w:val="18"/>
                <w:lang w:val="en-IE" w:eastAsia="en-IE"/>
              </w:rPr>
              <w:t>Year</w:t>
            </w:r>
          </w:p>
        </w:tc>
        <w:tc>
          <w:tcPr>
            <w:tcW w:w="544" w:type="pct"/>
            <w:vMerge w:val="restar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TOTAL</w:t>
            </w:r>
            <w:r>
              <w:rPr>
                <w:b/>
                <w:bCs/>
                <w:noProof/>
                <w:color w:val="000000"/>
                <w:sz w:val="18"/>
                <w:szCs w:val="18"/>
                <w:lang w:val="en-IE" w:eastAsia="en-IE"/>
              </w:rPr>
              <w:t xml:space="preserve"> </w:t>
            </w:r>
            <w:r w:rsidRPr="00290112">
              <w:rPr>
                <w:b/>
                <w:bCs/>
                <w:noProof/>
                <w:color w:val="000000"/>
                <w:sz w:val="18"/>
                <w:szCs w:val="18"/>
                <w:lang w:val="en-IE" w:eastAsia="en-IE"/>
              </w:rPr>
              <w:t>2021 - 2027</w:t>
            </w:r>
          </w:p>
        </w:tc>
        <w:tc>
          <w:tcPr>
            <w:tcW w:w="543" w:type="pct"/>
            <w:vMerge w:val="restart"/>
            <w:vAlign w:val="center"/>
          </w:tcPr>
          <w:p w:rsidR="00BB1D84" w:rsidRPr="00290112" w:rsidRDefault="00BB1D84">
            <w:pPr>
              <w:spacing w:before="0" w:after="0"/>
              <w:jc w:val="center"/>
              <w:rPr>
                <w:b/>
                <w:bCs/>
                <w:noProof/>
                <w:color w:val="000000"/>
                <w:sz w:val="18"/>
                <w:szCs w:val="18"/>
                <w:lang w:val="en-IE" w:eastAsia="en-IE"/>
              </w:rPr>
            </w:pPr>
            <w:r>
              <w:rPr>
                <w:b/>
                <w:bCs/>
                <w:noProof/>
                <w:color w:val="000000"/>
                <w:sz w:val="18"/>
                <w:szCs w:val="18"/>
                <w:lang w:val="en-IE" w:eastAsia="en-IE"/>
              </w:rPr>
              <w:t>TOTAL MFF 2028-2034</w:t>
            </w:r>
          </w:p>
        </w:tc>
      </w:tr>
      <w:tr w:rsidR="00BB1D84" w:rsidRPr="00290112" w:rsidTr="00A416DB">
        <w:trPr>
          <w:trHeight w:val="300"/>
        </w:trPr>
        <w:tc>
          <w:tcPr>
            <w:tcW w:w="1919" w:type="pct"/>
            <w:vMerge/>
            <w:vAlign w:val="center"/>
            <w:hideMark/>
          </w:tcPr>
          <w:p w:rsidR="00BB1D84" w:rsidRPr="00290112" w:rsidRDefault="00BB1D84">
            <w:pPr>
              <w:spacing w:before="0" w:after="0"/>
              <w:jc w:val="left"/>
              <w:rPr>
                <w:b/>
                <w:bCs/>
                <w:noProof/>
                <w:color w:val="000000"/>
                <w:sz w:val="18"/>
                <w:szCs w:val="18"/>
                <w:lang w:val="en-IE" w:eastAsia="en-IE"/>
              </w:rPr>
            </w:pPr>
          </w:p>
        </w:tc>
        <w:tc>
          <w:tcPr>
            <w:tcW w:w="504" w:type="pc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2024</w:t>
            </w:r>
          </w:p>
        </w:tc>
        <w:tc>
          <w:tcPr>
            <w:tcW w:w="504" w:type="pc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2025</w:t>
            </w:r>
          </w:p>
        </w:tc>
        <w:tc>
          <w:tcPr>
            <w:tcW w:w="504" w:type="pc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2026</w:t>
            </w:r>
          </w:p>
        </w:tc>
        <w:tc>
          <w:tcPr>
            <w:tcW w:w="483" w:type="pct"/>
            <w:vAlign w:val="center"/>
            <w:hideMark/>
          </w:tcPr>
          <w:p w:rsidR="00BB1D84" w:rsidRPr="00290112" w:rsidRDefault="00BB1D84">
            <w:pPr>
              <w:spacing w:before="0" w:after="0"/>
              <w:jc w:val="center"/>
              <w:rPr>
                <w:b/>
                <w:bCs/>
                <w:noProof/>
                <w:color w:val="000000"/>
                <w:sz w:val="18"/>
                <w:szCs w:val="18"/>
                <w:lang w:val="en-IE" w:eastAsia="en-IE"/>
              </w:rPr>
            </w:pPr>
            <w:r w:rsidRPr="00290112">
              <w:rPr>
                <w:b/>
                <w:bCs/>
                <w:noProof/>
                <w:color w:val="000000"/>
                <w:sz w:val="18"/>
                <w:szCs w:val="18"/>
                <w:lang w:val="en-IE" w:eastAsia="en-IE"/>
              </w:rPr>
              <w:t>2027</w:t>
            </w:r>
          </w:p>
        </w:tc>
        <w:tc>
          <w:tcPr>
            <w:tcW w:w="544" w:type="pct"/>
            <w:vMerge/>
            <w:vAlign w:val="center"/>
            <w:hideMark/>
          </w:tcPr>
          <w:p w:rsidR="00BB1D84" w:rsidRPr="00290112" w:rsidRDefault="00BB1D84">
            <w:pPr>
              <w:spacing w:before="0" w:after="0"/>
              <w:jc w:val="left"/>
              <w:rPr>
                <w:b/>
                <w:bCs/>
                <w:noProof/>
                <w:color w:val="000000"/>
                <w:sz w:val="18"/>
                <w:szCs w:val="18"/>
                <w:lang w:val="en-IE" w:eastAsia="en-IE"/>
              </w:rPr>
            </w:pPr>
          </w:p>
        </w:tc>
        <w:tc>
          <w:tcPr>
            <w:tcW w:w="543" w:type="pct"/>
            <w:vMerge/>
            <w:vAlign w:val="center"/>
          </w:tcPr>
          <w:p w:rsidR="00BB1D84" w:rsidRPr="00290112" w:rsidRDefault="00BB1D84">
            <w:pPr>
              <w:spacing w:before="0" w:after="0"/>
              <w:jc w:val="center"/>
              <w:rPr>
                <w:b/>
                <w:bCs/>
                <w:noProof/>
                <w:color w:val="000000"/>
                <w:sz w:val="18"/>
                <w:szCs w:val="18"/>
                <w:lang w:val="en-IE" w:eastAsia="en-IE"/>
              </w:rPr>
            </w:pPr>
          </w:p>
        </w:tc>
      </w:tr>
      <w:tr w:rsidR="00BB1D84" w:rsidRPr="00290112" w:rsidTr="00A416DB">
        <w:trPr>
          <w:trHeight w:val="300"/>
        </w:trPr>
        <w:tc>
          <w:tcPr>
            <w:tcW w:w="4457" w:type="pct"/>
            <w:gridSpan w:val="6"/>
            <w:vAlign w:val="center"/>
            <w:hideMark/>
          </w:tcPr>
          <w:p w:rsidR="00BB1D84" w:rsidRPr="00290112" w:rsidRDefault="00BB1D84">
            <w:pPr>
              <w:spacing w:before="0" w:after="0"/>
              <w:jc w:val="left"/>
              <w:rPr>
                <w:b/>
                <w:bCs/>
                <w:noProof/>
                <w:sz w:val="16"/>
                <w:szCs w:val="16"/>
                <w:lang w:val="en-IE" w:eastAsia="en-IE"/>
              </w:rPr>
            </w:pPr>
            <w:r w:rsidRPr="00290112">
              <w:rPr>
                <w:b/>
                <w:bCs/>
                <w:noProof/>
                <w:sz w:val="16"/>
                <w:szCs w:val="16"/>
                <w:lang w:val="en-IE" w:eastAsia="en-IE"/>
              </w:rPr>
              <w:t>HEADING 7</w:t>
            </w:r>
          </w:p>
        </w:tc>
        <w:tc>
          <w:tcPr>
            <w:tcW w:w="543" w:type="pct"/>
            <w:vAlign w:val="center"/>
          </w:tcPr>
          <w:p w:rsidR="00BB1D84" w:rsidRPr="00290112" w:rsidRDefault="00BB1D84">
            <w:pPr>
              <w:spacing w:before="0" w:after="0"/>
              <w:jc w:val="center"/>
              <w:rPr>
                <w:b/>
                <w:bCs/>
                <w:noProof/>
                <w:sz w:val="16"/>
                <w:szCs w:val="16"/>
                <w:lang w:val="en-IE" w:eastAsia="en-IE"/>
              </w:rPr>
            </w:pPr>
          </w:p>
        </w:tc>
      </w:tr>
      <w:tr w:rsidR="00BB1D84" w:rsidRPr="00290112" w:rsidTr="00A416DB">
        <w:trPr>
          <w:trHeight w:val="300"/>
        </w:trPr>
        <w:tc>
          <w:tcPr>
            <w:tcW w:w="1919" w:type="pct"/>
            <w:vAlign w:val="center"/>
            <w:hideMark/>
          </w:tcPr>
          <w:p w:rsidR="00BB1D84" w:rsidRPr="00290112" w:rsidRDefault="00BB1D84">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483"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6F470426">
              <w:rPr>
                <w:noProof/>
                <w:color w:val="000000" w:themeColor="text1"/>
                <w:sz w:val="16"/>
                <w:szCs w:val="16"/>
              </w:rPr>
              <w:t>0</w:t>
            </w:r>
            <w:r w:rsidR="000664F2">
              <w:rPr>
                <w:noProof/>
                <w:color w:val="000000" w:themeColor="text1"/>
                <w:sz w:val="16"/>
                <w:szCs w:val="16"/>
              </w:rPr>
              <w:t>.</w:t>
            </w:r>
            <w:r>
              <w:rPr>
                <w:noProof/>
                <w:color w:val="000000" w:themeColor="text1"/>
                <w:sz w:val="16"/>
                <w:szCs w:val="16"/>
              </w:rPr>
              <w:t>404</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lang w:eastAsia="en-IE"/>
              </w:rPr>
              <w:t>0</w:t>
            </w:r>
            <w:r w:rsidR="000664F2">
              <w:rPr>
                <w:b/>
                <w:bCs/>
                <w:noProof/>
                <w:color w:val="000000"/>
                <w:sz w:val="16"/>
                <w:szCs w:val="16"/>
                <w:lang w:eastAsia="en-IE"/>
              </w:rPr>
              <w:t>.</w:t>
            </w:r>
            <w:r>
              <w:rPr>
                <w:b/>
                <w:bCs/>
                <w:noProof/>
                <w:color w:val="000000"/>
                <w:sz w:val="16"/>
                <w:szCs w:val="16"/>
                <w:lang w:eastAsia="en-IE"/>
              </w:rPr>
              <w:t>404</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noProof/>
                <w:color w:val="000000"/>
                <w:sz w:val="16"/>
                <w:szCs w:val="16"/>
              </w:rPr>
              <w:t>2</w:t>
            </w:r>
            <w:r w:rsidR="000664F2">
              <w:rPr>
                <w:noProof/>
                <w:color w:val="000000"/>
                <w:sz w:val="16"/>
                <w:szCs w:val="16"/>
              </w:rPr>
              <w:t>.</w:t>
            </w:r>
            <w:r>
              <w:rPr>
                <w:noProof/>
                <w:color w:val="000000"/>
                <w:sz w:val="16"/>
                <w:szCs w:val="16"/>
              </w:rPr>
              <w:t>828</w:t>
            </w:r>
          </w:p>
        </w:tc>
      </w:tr>
      <w:tr w:rsidR="00BB1D84" w:rsidRPr="00290112" w:rsidTr="00A416DB">
        <w:trPr>
          <w:trHeight w:val="300"/>
        </w:trPr>
        <w:tc>
          <w:tcPr>
            <w:tcW w:w="1919" w:type="pct"/>
            <w:vAlign w:val="center"/>
            <w:hideMark/>
          </w:tcPr>
          <w:p w:rsidR="00BB1D84" w:rsidRPr="00290112" w:rsidRDefault="00BB1D84">
            <w:pPr>
              <w:spacing w:before="0" w:after="0"/>
              <w:jc w:val="left"/>
              <w:rPr>
                <w:noProof/>
                <w:color w:val="000000"/>
                <w:sz w:val="16"/>
                <w:szCs w:val="16"/>
                <w:lang w:val="en-IE" w:eastAsia="en-IE"/>
              </w:rPr>
            </w:pPr>
            <w:r w:rsidRPr="00290112">
              <w:rPr>
                <w:noProof/>
                <w:color w:val="000000"/>
                <w:sz w:val="16"/>
                <w:szCs w:val="16"/>
                <w:lang w:val="en-IE" w:eastAsia="en-IE"/>
              </w:rPr>
              <w:t xml:space="preserve">Other administrative expenditure </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sidRPr="007969F9">
              <w:rPr>
                <w:noProof/>
                <w:color w:val="000000"/>
                <w:sz w:val="16"/>
                <w:szCs w:val="16"/>
                <w:lang w:val="en-IE" w:eastAsia="en-IE"/>
              </w:rPr>
              <w:t>0</w:t>
            </w:r>
            <w:r w:rsidR="000664F2" w:rsidRPr="007969F9">
              <w:rPr>
                <w:noProof/>
                <w:color w:val="000000"/>
                <w:sz w:val="16"/>
                <w:szCs w:val="16"/>
                <w:lang w:val="en-IE" w:eastAsia="en-IE"/>
              </w:rPr>
              <w:t>.</w:t>
            </w:r>
            <w:r w:rsidRPr="007969F9">
              <w:rPr>
                <w:noProof/>
                <w:color w:val="000000"/>
                <w:sz w:val="16"/>
                <w:szCs w:val="16"/>
                <w:lang w:val="en-IE" w:eastAsia="en-IE"/>
              </w:rPr>
              <w:t>000</w:t>
            </w:r>
          </w:p>
        </w:tc>
        <w:tc>
          <w:tcPr>
            <w:tcW w:w="483"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Pr>
                <w:noProof/>
                <w:color w:val="000000"/>
                <w:sz w:val="16"/>
                <w:szCs w:val="16"/>
              </w:rPr>
              <w:t>0</w:t>
            </w:r>
            <w:r w:rsidR="000664F2">
              <w:rPr>
                <w:noProof/>
                <w:color w:val="000000"/>
                <w:sz w:val="16"/>
                <w:szCs w:val="16"/>
              </w:rPr>
              <w:t>.</w:t>
            </w:r>
            <w:r>
              <w:rPr>
                <w:noProof/>
                <w:color w:val="000000"/>
                <w:sz w:val="16"/>
                <w:szCs w:val="16"/>
              </w:rPr>
              <w:t>018</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0664F2">
              <w:rPr>
                <w:b/>
                <w:bCs/>
                <w:noProof/>
                <w:color w:val="000000"/>
                <w:sz w:val="16"/>
                <w:szCs w:val="16"/>
              </w:rPr>
              <w:t>.</w:t>
            </w:r>
            <w:r>
              <w:rPr>
                <w:b/>
                <w:bCs/>
                <w:noProof/>
                <w:color w:val="000000"/>
                <w:sz w:val="16"/>
                <w:szCs w:val="16"/>
              </w:rPr>
              <w:t>018</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noProof/>
                <w:color w:val="000000"/>
                <w:sz w:val="16"/>
                <w:szCs w:val="16"/>
              </w:rPr>
              <w:t>0</w:t>
            </w:r>
            <w:r w:rsidR="000664F2">
              <w:rPr>
                <w:noProof/>
                <w:color w:val="000000"/>
                <w:sz w:val="16"/>
                <w:szCs w:val="16"/>
              </w:rPr>
              <w:t>.</w:t>
            </w:r>
            <w:r>
              <w:rPr>
                <w:noProof/>
                <w:color w:val="000000"/>
                <w:sz w:val="16"/>
                <w:szCs w:val="16"/>
              </w:rPr>
              <w:t>126</w:t>
            </w:r>
          </w:p>
        </w:tc>
      </w:tr>
      <w:tr w:rsidR="00BB1D84" w:rsidRPr="00290112" w:rsidTr="00A416DB">
        <w:trPr>
          <w:trHeight w:val="300"/>
        </w:trPr>
        <w:tc>
          <w:tcPr>
            <w:tcW w:w="1919" w:type="pct"/>
            <w:shd w:val="clear" w:color="auto" w:fill="CCCCCC"/>
            <w:vAlign w:val="center"/>
            <w:hideMark/>
          </w:tcPr>
          <w:p w:rsidR="00BB1D84" w:rsidRPr="00290112" w:rsidRDefault="00BB1D84">
            <w:pPr>
              <w:spacing w:before="0" w:after="0"/>
              <w:jc w:val="center"/>
              <w:rPr>
                <w:b/>
                <w:bCs/>
                <w:noProof/>
                <w:color w:val="000000"/>
                <w:sz w:val="16"/>
                <w:szCs w:val="16"/>
                <w:lang w:val="en-IE" w:eastAsia="en-IE"/>
              </w:rPr>
            </w:pPr>
            <w:r w:rsidRPr="00290112">
              <w:rPr>
                <w:b/>
                <w:bCs/>
                <w:noProof/>
                <w:color w:val="000000"/>
                <w:sz w:val="16"/>
                <w:szCs w:val="16"/>
                <w:lang w:val="en-IE" w:eastAsia="en-IE"/>
              </w:rPr>
              <w:t>Subtotal HEADING 7</w:t>
            </w:r>
          </w:p>
        </w:tc>
        <w:tc>
          <w:tcPr>
            <w:tcW w:w="50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sidRPr="007969F9">
              <w:rPr>
                <w:b/>
                <w:noProof/>
                <w:color w:val="000000"/>
                <w:sz w:val="16"/>
                <w:szCs w:val="16"/>
                <w:lang w:val="en-IE" w:eastAsia="en-IE"/>
              </w:rPr>
              <w:t>0</w:t>
            </w:r>
            <w:r w:rsidR="000664F2" w:rsidRPr="007969F9">
              <w:rPr>
                <w:b/>
                <w:bCs/>
                <w:noProof/>
                <w:color w:val="000000"/>
                <w:sz w:val="16"/>
                <w:szCs w:val="16"/>
                <w:lang w:val="en-IE" w:eastAsia="en-IE"/>
              </w:rPr>
              <w:t>.</w:t>
            </w:r>
            <w:r w:rsidRPr="007969F9">
              <w:rPr>
                <w:b/>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sidRPr="007969F9">
              <w:rPr>
                <w:b/>
                <w:noProof/>
                <w:color w:val="000000"/>
                <w:sz w:val="16"/>
                <w:szCs w:val="16"/>
                <w:lang w:val="en-IE" w:eastAsia="en-IE"/>
              </w:rPr>
              <w:t>0</w:t>
            </w:r>
            <w:r w:rsidR="000664F2" w:rsidRPr="007969F9">
              <w:rPr>
                <w:b/>
                <w:bCs/>
                <w:noProof/>
                <w:color w:val="000000"/>
                <w:sz w:val="16"/>
                <w:szCs w:val="16"/>
                <w:lang w:val="en-IE" w:eastAsia="en-IE"/>
              </w:rPr>
              <w:t>.</w:t>
            </w:r>
            <w:r w:rsidRPr="007969F9">
              <w:rPr>
                <w:b/>
                <w:noProof/>
                <w:color w:val="000000"/>
                <w:sz w:val="16"/>
                <w:szCs w:val="16"/>
                <w:lang w:val="en-IE" w:eastAsia="en-IE"/>
              </w:rPr>
              <w:t>000</w:t>
            </w:r>
          </w:p>
        </w:tc>
        <w:tc>
          <w:tcPr>
            <w:tcW w:w="50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sidRPr="007969F9">
              <w:rPr>
                <w:b/>
                <w:noProof/>
                <w:color w:val="000000"/>
                <w:sz w:val="16"/>
                <w:szCs w:val="16"/>
                <w:lang w:val="en-IE" w:eastAsia="en-IE"/>
              </w:rPr>
              <w:t>0</w:t>
            </w:r>
            <w:r w:rsidR="000664F2" w:rsidRPr="007969F9">
              <w:rPr>
                <w:b/>
                <w:bCs/>
                <w:noProof/>
                <w:color w:val="000000"/>
                <w:sz w:val="16"/>
                <w:szCs w:val="16"/>
                <w:lang w:val="en-IE" w:eastAsia="en-IE"/>
              </w:rPr>
              <w:t>.</w:t>
            </w:r>
            <w:r w:rsidRPr="007969F9">
              <w:rPr>
                <w:b/>
                <w:noProof/>
                <w:color w:val="000000"/>
                <w:sz w:val="16"/>
                <w:szCs w:val="16"/>
                <w:lang w:val="en-IE" w:eastAsia="en-IE"/>
              </w:rPr>
              <w:t>000</w:t>
            </w:r>
          </w:p>
        </w:tc>
        <w:tc>
          <w:tcPr>
            <w:tcW w:w="483"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0664F2">
              <w:rPr>
                <w:b/>
                <w:bCs/>
                <w:noProof/>
                <w:color w:val="000000"/>
                <w:sz w:val="16"/>
                <w:szCs w:val="16"/>
              </w:rPr>
              <w:t>.</w:t>
            </w:r>
            <w:r>
              <w:rPr>
                <w:b/>
                <w:bCs/>
                <w:noProof/>
                <w:color w:val="000000"/>
                <w:sz w:val="16"/>
                <w:szCs w:val="16"/>
              </w:rPr>
              <w:t>422</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0664F2">
              <w:rPr>
                <w:b/>
                <w:bCs/>
                <w:noProof/>
                <w:color w:val="000000"/>
                <w:sz w:val="16"/>
                <w:szCs w:val="16"/>
              </w:rPr>
              <w:t>.</w:t>
            </w:r>
            <w:r>
              <w:rPr>
                <w:b/>
                <w:bCs/>
                <w:noProof/>
                <w:color w:val="000000"/>
                <w:sz w:val="16"/>
                <w:szCs w:val="16"/>
              </w:rPr>
              <w:t>422</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b/>
                <w:bCs/>
                <w:noProof/>
                <w:color w:val="000000"/>
                <w:sz w:val="16"/>
                <w:szCs w:val="16"/>
              </w:rPr>
              <w:t>2</w:t>
            </w:r>
            <w:r w:rsidR="000664F2">
              <w:rPr>
                <w:b/>
                <w:bCs/>
                <w:noProof/>
                <w:color w:val="000000"/>
                <w:sz w:val="16"/>
                <w:szCs w:val="16"/>
              </w:rPr>
              <w:t>.</w:t>
            </w:r>
            <w:r>
              <w:rPr>
                <w:b/>
                <w:bCs/>
                <w:noProof/>
                <w:color w:val="000000"/>
                <w:sz w:val="16"/>
                <w:szCs w:val="16"/>
              </w:rPr>
              <w:t>954</w:t>
            </w:r>
          </w:p>
        </w:tc>
      </w:tr>
      <w:tr w:rsidR="00BB1D84" w:rsidRPr="00290112" w:rsidTr="00A416DB">
        <w:trPr>
          <w:trHeight w:val="300"/>
        </w:trPr>
        <w:tc>
          <w:tcPr>
            <w:tcW w:w="4457" w:type="pct"/>
            <w:gridSpan w:val="6"/>
            <w:vAlign w:val="center"/>
            <w:hideMark/>
          </w:tcPr>
          <w:p w:rsidR="00BB1D84" w:rsidRPr="00290112" w:rsidRDefault="00BB1D84">
            <w:pPr>
              <w:spacing w:before="0" w:after="0"/>
              <w:jc w:val="left"/>
              <w:rPr>
                <w:b/>
                <w:bCs/>
                <w:noProof/>
                <w:sz w:val="16"/>
                <w:szCs w:val="16"/>
                <w:lang w:val="en-IE" w:eastAsia="en-IE"/>
              </w:rPr>
            </w:pPr>
            <w:r w:rsidRPr="00290112">
              <w:rPr>
                <w:b/>
                <w:bCs/>
                <w:noProof/>
                <w:sz w:val="16"/>
                <w:szCs w:val="16"/>
                <w:lang w:val="en-IE" w:eastAsia="en-IE"/>
              </w:rPr>
              <w:t>Outside HEADING 7</w:t>
            </w:r>
          </w:p>
        </w:tc>
        <w:tc>
          <w:tcPr>
            <w:tcW w:w="543" w:type="pct"/>
            <w:vAlign w:val="center"/>
          </w:tcPr>
          <w:p w:rsidR="00BB1D84" w:rsidRPr="00290112" w:rsidRDefault="00BB1D84">
            <w:pPr>
              <w:spacing w:before="0" w:after="0"/>
              <w:jc w:val="center"/>
              <w:rPr>
                <w:b/>
                <w:bCs/>
                <w:noProof/>
                <w:sz w:val="16"/>
                <w:szCs w:val="16"/>
                <w:lang w:val="en-IE" w:eastAsia="en-IE"/>
              </w:rPr>
            </w:pPr>
          </w:p>
        </w:tc>
      </w:tr>
      <w:tr w:rsidR="00BB1D84" w:rsidRPr="00290112" w:rsidTr="00A416DB">
        <w:trPr>
          <w:trHeight w:val="300"/>
        </w:trPr>
        <w:tc>
          <w:tcPr>
            <w:tcW w:w="1919" w:type="pct"/>
            <w:vAlign w:val="center"/>
            <w:hideMark/>
          </w:tcPr>
          <w:p w:rsidR="00BB1D84" w:rsidRPr="00290112" w:rsidRDefault="00BB1D84">
            <w:pPr>
              <w:spacing w:before="0" w:after="0"/>
              <w:jc w:val="left"/>
              <w:rPr>
                <w:noProof/>
                <w:color w:val="000000"/>
                <w:sz w:val="16"/>
                <w:szCs w:val="16"/>
                <w:lang w:val="en-IE" w:eastAsia="en-IE"/>
              </w:rPr>
            </w:pPr>
            <w:r w:rsidRPr="00290112">
              <w:rPr>
                <w:noProof/>
                <w:color w:val="000000"/>
                <w:sz w:val="16"/>
                <w:szCs w:val="16"/>
                <w:lang w:val="en-IE" w:eastAsia="en-IE"/>
              </w:rPr>
              <w:t xml:space="preserve">Human resources </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483"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Pr>
                <w:noProof/>
                <w:color w:val="000000"/>
                <w:sz w:val="16"/>
                <w:szCs w:val="16"/>
              </w:rPr>
              <w:t>0</w:t>
            </w:r>
            <w:r w:rsidR="00A416DB">
              <w:rPr>
                <w:noProof/>
                <w:color w:val="000000"/>
                <w:sz w:val="16"/>
                <w:szCs w:val="16"/>
              </w:rPr>
              <w:t>.</w:t>
            </w:r>
            <w:r>
              <w:rPr>
                <w:noProof/>
                <w:color w:val="000000"/>
                <w:sz w:val="16"/>
                <w:szCs w:val="16"/>
              </w:rPr>
              <w:t>255</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255</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noProof/>
                <w:color w:val="000000"/>
                <w:sz w:val="16"/>
                <w:szCs w:val="16"/>
              </w:rPr>
              <w:t>1</w:t>
            </w:r>
            <w:r w:rsidR="00A416DB">
              <w:rPr>
                <w:noProof/>
                <w:color w:val="000000"/>
                <w:sz w:val="16"/>
                <w:szCs w:val="16"/>
              </w:rPr>
              <w:t>.</w:t>
            </w:r>
            <w:r>
              <w:rPr>
                <w:noProof/>
                <w:color w:val="000000"/>
                <w:sz w:val="16"/>
                <w:szCs w:val="16"/>
              </w:rPr>
              <w:t>782</w:t>
            </w:r>
          </w:p>
        </w:tc>
      </w:tr>
      <w:tr w:rsidR="00BB1D84" w:rsidRPr="00290112" w:rsidTr="00A416DB">
        <w:trPr>
          <w:trHeight w:val="300"/>
        </w:trPr>
        <w:tc>
          <w:tcPr>
            <w:tcW w:w="1919" w:type="pct"/>
            <w:vAlign w:val="center"/>
            <w:hideMark/>
          </w:tcPr>
          <w:p w:rsidR="00BB1D84" w:rsidRPr="00290112" w:rsidRDefault="00BB1D84">
            <w:pPr>
              <w:spacing w:before="0" w:after="0"/>
              <w:jc w:val="left"/>
              <w:rPr>
                <w:noProof/>
                <w:color w:val="000000"/>
                <w:sz w:val="16"/>
                <w:szCs w:val="16"/>
                <w:lang w:val="en-IE" w:eastAsia="en-IE"/>
              </w:rPr>
            </w:pPr>
            <w:r w:rsidRPr="00290112">
              <w:rPr>
                <w:noProof/>
                <w:color w:val="000000"/>
                <w:sz w:val="16"/>
                <w:szCs w:val="16"/>
                <w:lang w:val="en-IE" w:eastAsia="en-IE"/>
              </w:rPr>
              <w:t>Other expenditure of an administrative nature</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noProof/>
                <w:color w:val="000000"/>
                <w:sz w:val="16"/>
                <w:szCs w:val="16"/>
                <w:lang w:val="en-IE" w:eastAsia="en-IE"/>
              </w:rPr>
            </w:pPr>
            <w:r w:rsidRPr="00AA7EF7">
              <w:rPr>
                <w:noProof/>
                <w:color w:val="000000"/>
                <w:sz w:val="16"/>
                <w:szCs w:val="16"/>
                <w:lang w:val="en-IE" w:eastAsia="en-IE"/>
              </w:rPr>
              <w:t>0.000</w:t>
            </w:r>
          </w:p>
        </w:tc>
        <w:tc>
          <w:tcPr>
            <w:tcW w:w="483" w:type="pct"/>
            <w:shd w:val="clear" w:color="auto" w:fill="D9D9D9" w:themeFill="background1" w:themeFillShade="D9"/>
            <w:vAlign w:val="center"/>
            <w:hideMark/>
          </w:tcPr>
          <w:p w:rsidR="00BB1D84" w:rsidRPr="00290112" w:rsidRDefault="00BB1D84">
            <w:pPr>
              <w:spacing w:before="0" w:after="0"/>
              <w:jc w:val="right"/>
              <w:rPr>
                <w:noProof/>
                <w:color w:val="000000"/>
                <w:sz w:val="16"/>
                <w:szCs w:val="16"/>
                <w:lang w:val="en-IE" w:eastAsia="en-IE"/>
              </w:rPr>
            </w:pPr>
            <w:r>
              <w:rPr>
                <w:noProof/>
                <w:color w:val="000000"/>
                <w:sz w:val="16"/>
                <w:szCs w:val="16"/>
              </w:rPr>
              <w:t>0</w:t>
            </w:r>
            <w:r w:rsidR="00A416DB">
              <w:rPr>
                <w:noProof/>
                <w:color w:val="000000"/>
                <w:sz w:val="16"/>
                <w:szCs w:val="16"/>
              </w:rPr>
              <w:t>.</w:t>
            </w:r>
            <w:r>
              <w:rPr>
                <w:noProof/>
                <w:color w:val="000000"/>
                <w:sz w:val="16"/>
                <w:szCs w:val="16"/>
              </w:rPr>
              <w:t>000</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000</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noProof/>
                <w:color w:val="000000"/>
                <w:sz w:val="16"/>
                <w:szCs w:val="16"/>
              </w:rPr>
              <w:t>0</w:t>
            </w:r>
            <w:r w:rsidR="00A416DB">
              <w:rPr>
                <w:noProof/>
                <w:color w:val="000000"/>
                <w:sz w:val="16"/>
                <w:szCs w:val="16"/>
              </w:rPr>
              <w:t>.</w:t>
            </w:r>
            <w:r>
              <w:rPr>
                <w:noProof/>
                <w:color w:val="000000"/>
                <w:sz w:val="16"/>
                <w:szCs w:val="16"/>
              </w:rPr>
              <w:t>000</w:t>
            </w:r>
          </w:p>
        </w:tc>
      </w:tr>
      <w:tr w:rsidR="00BB1D84" w:rsidRPr="00290112" w:rsidTr="00A416DB">
        <w:trPr>
          <w:trHeight w:val="300"/>
        </w:trPr>
        <w:tc>
          <w:tcPr>
            <w:tcW w:w="1919" w:type="pct"/>
            <w:shd w:val="clear" w:color="auto" w:fill="CCCCCC"/>
            <w:vAlign w:val="center"/>
            <w:hideMark/>
          </w:tcPr>
          <w:p w:rsidR="00BB1D84" w:rsidRPr="00290112" w:rsidRDefault="00BB1D84">
            <w:pPr>
              <w:spacing w:before="0" w:after="0"/>
              <w:jc w:val="center"/>
              <w:rPr>
                <w:b/>
                <w:bCs/>
                <w:noProof/>
                <w:color w:val="000000"/>
                <w:sz w:val="16"/>
                <w:szCs w:val="16"/>
                <w:lang w:val="en-IE" w:eastAsia="en-IE"/>
              </w:rPr>
            </w:pPr>
            <w:r w:rsidRPr="00290112">
              <w:rPr>
                <w:b/>
                <w:bCs/>
                <w:noProof/>
                <w:color w:val="000000"/>
                <w:sz w:val="16"/>
                <w:szCs w:val="16"/>
                <w:lang w:val="en-IE" w:eastAsia="en-IE"/>
              </w:rPr>
              <w:t>Subtotal outside HEADING 7</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483"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255</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255</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b/>
                <w:bCs/>
                <w:noProof/>
                <w:color w:val="000000"/>
                <w:sz w:val="16"/>
                <w:szCs w:val="16"/>
              </w:rPr>
              <w:t>1</w:t>
            </w:r>
            <w:r w:rsidR="00A416DB">
              <w:rPr>
                <w:b/>
                <w:bCs/>
                <w:noProof/>
                <w:color w:val="000000"/>
                <w:sz w:val="16"/>
                <w:szCs w:val="16"/>
              </w:rPr>
              <w:t>.</w:t>
            </w:r>
            <w:r>
              <w:rPr>
                <w:b/>
                <w:bCs/>
                <w:noProof/>
                <w:color w:val="000000"/>
                <w:sz w:val="16"/>
                <w:szCs w:val="16"/>
              </w:rPr>
              <w:t>782</w:t>
            </w:r>
          </w:p>
        </w:tc>
      </w:tr>
      <w:tr w:rsidR="00BB1D84" w:rsidRPr="00290112" w:rsidTr="00A416DB">
        <w:trPr>
          <w:trHeight w:val="300"/>
        </w:trPr>
        <w:tc>
          <w:tcPr>
            <w:tcW w:w="4457" w:type="pct"/>
            <w:gridSpan w:val="6"/>
            <w:noWrap/>
            <w:vAlign w:val="center"/>
            <w:hideMark/>
          </w:tcPr>
          <w:p w:rsidR="00BB1D84" w:rsidRPr="00290112" w:rsidRDefault="00BB1D84">
            <w:pPr>
              <w:spacing w:before="0" w:after="0"/>
              <w:jc w:val="center"/>
              <w:rPr>
                <w:noProof/>
                <w:color w:val="000000"/>
                <w:sz w:val="16"/>
                <w:szCs w:val="16"/>
                <w:lang w:val="en-IE" w:eastAsia="en-IE"/>
              </w:rPr>
            </w:pPr>
            <w:r w:rsidRPr="00290112">
              <w:rPr>
                <w:noProof/>
                <w:color w:val="000000"/>
                <w:sz w:val="16"/>
                <w:szCs w:val="16"/>
                <w:lang w:val="en-IE" w:eastAsia="en-IE"/>
              </w:rPr>
              <w:t> </w:t>
            </w:r>
          </w:p>
        </w:tc>
        <w:tc>
          <w:tcPr>
            <w:tcW w:w="543" w:type="pct"/>
            <w:vAlign w:val="center"/>
          </w:tcPr>
          <w:p w:rsidR="00BB1D84" w:rsidRPr="00290112" w:rsidRDefault="00BB1D84">
            <w:pPr>
              <w:spacing w:before="0" w:after="0"/>
              <w:jc w:val="center"/>
              <w:rPr>
                <w:noProof/>
                <w:color w:val="000000"/>
                <w:sz w:val="16"/>
                <w:szCs w:val="16"/>
                <w:lang w:val="en-IE" w:eastAsia="en-IE"/>
              </w:rPr>
            </w:pPr>
          </w:p>
        </w:tc>
      </w:tr>
      <w:tr w:rsidR="00BB1D84" w:rsidRPr="00290112" w:rsidTr="00A416DB">
        <w:trPr>
          <w:trHeight w:val="300"/>
        </w:trPr>
        <w:tc>
          <w:tcPr>
            <w:tcW w:w="1919" w:type="pct"/>
            <w:vAlign w:val="center"/>
            <w:hideMark/>
          </w:tcPr>
          <w:p w:rsidR="00BB1D84" w:rsidRPr="00290112" w:rsidRDefault="00BB1D84">
            <w:pPr>
              <w:spacing w:before="0" w:after="0"/>
              <w:jc w:val="center"/>
              <w:rPr>
                <w:b/>
                <w:bCs/>
                <w:noProof/>
                <w:color w:val="000000"/>
                <w:sz w:val="16"/>
                <w:szCs w:val="16"/>
                <w:lang w:val="en-IE" w:eastAsia="en-IE"/>
              </w:rPr>
            </w:pPr>
            <w:r w:rsidRPr="00290112">
              <w:rPr>
                <w:b/>
                <w:bCs/>
                <w:noProof/>
                <w:color w:val="000000"/>
                <w:sz w:val="16"/>
                <w:szCs w:val="16"/>
                <w:lang w:val="en-IE" w:eastAsia="en-IE"/>
              </w:rPr>
              <w:t>TOTAL</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504" w:type="pct"/>
            <w:shd w:val="clear" w:color="auto" w:fill="D9D9D9" w:themeFill="background1" w:themeFillShade="D9"/>
            <w:vAlign w:val="center"/>
            <w:hideMark/>
          </w:tcPr>
          <w:p w:rsidR="00BB1D84" w:rsidRPr="00290112" w:rsidRDefault="00A416DB">
            <w:pPr>
              <w:spacing w:before="0" w:after="0"/>
              <w:jc w:val="right"/>
              <w:rPr>
                <w:b/>
                <w:bCs/>
                <w:noProof/>
                <w:color w:val="000000"/>
                <w:sz w:val="16"/>
                <w:szCs w:val="16"/>
                <w:lang w:val="en-IE" w:eastAsia="en-IE"/>
              </w:rPr>
            </w:pPr>
            <w:r w:rsidRPr="00AA7EF7">
              <w:rPr>
                <w:b/>
                <w:bCs/>
                <w:noProof/>
                <w:color w:val="000000"/>
                <w:sz w:val="16"/>
                <w:szCs w:val="16"/>
                <w:lang w:val="en-IE" w:eastAsia="en-IE"/>
              </w:rPr>
              <w:t>0.000</w:t>
            </w:r>
          </w:p>
        </w:tc>
        <w:tc>
          <w:tcPr>
            <w:tcW w:w="483"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677</w:t>
            </w:r>
          </w:p>
        </w:tc>
        <w:tc>
          <w:tcPr>
            <w:tcW w:w="544" w:type="pct"/>
            <w:shd w:val="clear" w:color="auto" w:fill="D9D9D9" w:themeFill="background1" w:themeFillShade="D9"/>
            <w:vAlign w:val="center"/>
            <w:hideMark/>
          </w:tcPr>
          <w:p w:rsidR="00BB1D84" w:rsidRPr="00290112" w:rsidRDefault="00BB1D84">
            <w:pPr>
              <w:spacing w:before="0" w:after="0"/>
              <w:jc w:val="right"/>
              <w:rPr>
                <w:b/>
                <w:bCs/>
                <w:noProof/>
                <w:color w:val="000000"/>
                <w:sz w:val="16"/>
                <w:szCs w:val="16"/>
                <w:lang w:val="en-IE" w:eastAsia="en-IE"/>
              </w:rPr>
            </w:pPr>
            <w:r>
              <w:rPr>
                <w:b/>
                <w:bCs/>
                <w:noProof/>
                <w:color w:val="000000"/>
                <w:sz w:val="16"/>
                <w:szCs w:val="16"/>
              </w:rPr>
              <w:t>0</w:t>
            </w:r>
            <w:r w:rsidR="00A416DB">
              <w:rPr>
                <w:b/>
                <w:bCs/>
                <w:noProof/>
                <w:color w:val="000000"/>
                <w:sz w:val="16"/>
                <w:szCs w:val="16"/>
              </w:rPr>
              <w:t>.</w:t>
            </w:r>
            <w:r>
              <w:rPr>
                <w:b/>
                <w:bCs/>
                <w:noProof/>
                <w:color w:val="000000"/>
                <w:sz w:val="16"/>
                <w:szCs w:val="16"/>
              </w:rPr>
              <w:t>677</w:t>
            </w:r>
          </w:p>
        </w:tc>
        <w:tc>
          <w:tcPr>
            <w:tcW w:w="543" w:type="pct"/>
            <w:shd w:val="clear" w:color="auto" w:fill="D9D9D9" w:themeFill="background1" w:themeFillShade="D9"/>
            <w:vAlign w:val="center"/>
          </w:tcPr>
          <w:p w:rsidR="00BB1D84" w:rsidRPr="00290112" w:rsidRDefault="00BB1D84">
            <w:pPr>
              <w:spacing w:before="0" w:after="0"/>
              <w:jc w:val="center"/>
              <w:rPr>
                <w:b/>
                <w:bCs/>
                <w:noProof/>
                <w:color w:val="000000"/>
                <w:sz w:val="16"/>
                <w:szCs w:val="16"/>
                <w:lang w:val="en-IE" w:eastAsia="en-IE"/>
              </w:rPr>
            </w:pPr>
            <w:r>
              <w:rPr>
                <w:b/>
                <w:bCs/>
                <w:noProof/>
                <w:color w:val="000000"/>
                <w:sz w:val="16"/>
                <w:szCs w:val="16"/>
              </w:rPr>
              <w:t>4</w:t>
            </w:r>
            <w:r w:rsidR="00A416DB">
              <w:rPr>
                <w:b/>
                <w:bCs/>
                <w:noProof/>
                <w:color w:val="000000"/>
                <w:sz w:val="16"/>
                <w:szCs w:val="16"/>
              </w:rPr>
              <w:t>.</w:t>
            </w:r>
            <w:r>
              <w:rPr>
                <w:b/>
                <w:bCs/>
                <w:noProof/>
                <w:color w:val="000000"/>
                <w:sz w:val="16"/>
                <w:szCs w:val="16"/>
              </w:rPr>
              <w:t>736</w:t>
            </w:r>
          </w:p>
        </w:tc>
      </w:tr>
    </w:tbl>
    <w:p w:rsidR="002C63AD" w:rsidRPr="00725495" w:rsidRDefault="002C63AD" w:rsidP="002C63AD">
      <w:pPr>
        <w:spacing w:after="40"/>
        <w:rPr>
          <w:noProof/>
        </w:rPr>
      </w:pPr>
      <w:r w:rsidRPr="187D69C2">
        <w:rPr>
          <w:rFonts w:eastAsia="Times New Roman"/>
          <w:noProof/>
          <w:sz w:val="22"/>
        </w:rPr>
        <w:t>In 2027, 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r>
        <w:rPr>
          <w:noProof/>
        </w:rPr>
        <w:t xml:space="preserve"> </w:t>
      </w:r>
    </w:p>
    <w:p w:rsidR="00BB1D84" w:rsidRPr="00725495" w:rsidRDefault="00BB1D84" w:rsidP="00BB1D84">
      <w:pPr>
        <w:spacing w:after="40"/>
        <w:rPr>
          <w:noProof/>
        </w:rPr>
      </w:pPr>
      <w:r w:rsidRPr="00725495">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rsidR="00BB1D84" w:rsidRPr="00235FE8" w:rsidRDefault="00BB1D84" w:rsidP="00BB1D84">
      <w:pPr>
        <w:pStyle w:val="ManualHeading3"/>
        <w:rPr>
          <w:i w:val="0"/>
          <w:noProof/>
        </w:rPr>
      </w:pPr>
      <w:bookmarkStart w:id="163" w:name="_Toc234245524"/>
      <w:r w:rsidRPr="0021790A">
        <w:rPr>
          <w:noProof/>
        </w:rPr>
        <w:t>3.2.</w:t>
      </w:r>
      <w:r>
        <w:rPr>
          <w:noProof/>
        </w:rPr>
        <w:t>4</w:t>
      </w:r>
      <w:r w:rsidRPr="0021790A">
        <w:rPr>
          <w:noProof/>
        </w:rPr>
        <w:t>.</w:t>
      </w:r>
      <w:r w:rsidRPr="0021790A">
        <w:rPr>
          <w:noProof/>
        </w:rPr>
        <w:tab/>
      </w:r>
      <w:bookmarkStart w:id="164" w:name="_Hlk177486230"/>
      <w:r w:rsidRPr="00A238FB">
        <w:rPr>
          <w:noProof/>
        </w:rPr>
        <w:t>Estimated requirements of human resources</w:t>
      </w:r>
      <w:bookmarkEnd w:id="163"/>
      <w:bookmarkEnd w:id="164"/>
    </w:p>
    <w:p w:rsidR="00BB1D84" w:rsidRDefault="00BB1D84" w:rsidP="00B24A04">
      <w:pPr>
        <w:pStyle w:val="Text1"/>
        <w:rPr>
          <w:noProof/>
        </w:rPr>
      </w:pPr>
      <w:r>
        <w:rPr>
          <w:rFonts w:ascii="Wingdings" w:eastAsia="Wingdings" w:hAnsi="Wingdings" w:cs="Wingdings"/>
          <w:noProof/>
        </w:rPr>
        <w:t></w:t>
      </w:r>
      <w:r>
        <w:rPr>
          <w:noProof/>
        </w:rPr>
        <w:tab/>
        <w:t xml:space="preserve">The proposal/initiative does not require the use of human resources </w:t>
      </w:r>
    </w:p>
    <w:p w:rsidR="00BB1D84" w:rsidRDefault="00BB1D84" w:rsidP="00B24A04">
      <w:pPr>
        <w:pStyle w:val="Text1"/>
        <w:rPr>
          <w:noProof/>
        </w:rPr>
      </w:pPr>
      <w:r>
        <w:rPr>
          <w:rFonts w:ascii="Wingdings" w:eastAsia="Wingdings" w:hAnsi="Wingdings" w:cs="Wingdings"/>
          <w:noProof/>
        </w:rPr>
        <w:t></w:t>
      </w:r>
      <w:r>
        <w:rPr>
          <w:noProof/>
        </w:rPr>
        <w:tab/>
        <w:t>The proposal/initiative requires the use of human resources, as explained below</w:t>
      </w:r>
    </w:p>
    <w:p w:rsidR="00BB1D84" w:rsidRDefault="00BB1D84">
      <w:pPr>
        <w:spacing w:before="0" w:after="200" w:line="276" w:lineRule="auto"/>
        <w:jc w:val="left"/>
        <w:rPr>
          <w:rFonts w:eastAsia="Times New Roman"/>
          <w:noProof/>
          <w:lang w:eastAsia="de-DE"/>
        </w:rPr>
      </w:pPr>
      <w:r>
        <w:rPr>
          <w:noProof/>
        </w:rPr>
        <w:br w:type="page"/>
      </w:r>
    </w:p>
    <w:p w:rsidR="00BB1D84" w:rsidRDefault="00BB1D84" w:rsidP="007B26E6">
      <w:pPr>
        <w:pStyle w:val="ManualHeading4"/>
        <w:rPr>
          <w:noProof/>
        </w:rPr>
      </w:pPr>
      <w:r w:rsidRPr="003268F2">
        <w:rPr>
          <w:noProof/>
        </w:rPr>
        <w:t>3.2.</w:t>
      </w:r>
      <w:r>
        <w:rPr>
          <w:noProof/>
        </w:rPr>
        <w:t>4</w:t>
      </w:r>
      <w:r w:rsidRPr="003268F2">
        <w:rPr>
          <w:noProof/>
        </w:rPr>
        <w:t>.1</w:t>
      </w:r>
      <w:r>
        <w:rPr>
          <w:noProof/>
        </w:rPr>
        <w:t>.</w:t>
      </w:r>
      <w:r>
        <w:rPr>
          <w:noProof/>
        </w:rPr>
        <w:tab/>
        <w:t>Financed from voted budget</w:t>
      </w:r>
    </w:p>
    <w:p w:rsidR="00BB1D84" w:rsidRDefault="00BB1D84" w:rsidP="00BB1D84">
      <w:pPr>
        <w:spacing w:after="60"/>
        <w:jc w:val="right"/>
        <w:rPr>
          <w:i/>
          <w:noProof/>
          <w:sz w:val="20"/>
          <w:lang w:val="en-IE"/>
        </w:rPr>
      </w:pPr>
      <w:r w:rsidRPr="003A769F">
        <w:rPr>
          <w:i/>
          <w:noProof/>
          <w:sz w:val="20"/>
          <w:lang w:val="en-IE"/>
        </w:rPr>
        <w:t>Estimate to be expressed in full</w:t>
      </w:r>
      <w:r>
        <w:rPr>
          <w:i/>
          <w:noProof/>
          <w:sz w:val="20"/>
          <w:lang w:val="en-IE"/>
        </w:rPr>
        <w:t>-</w:t>
      </w:r>
      <w:r w:rsidRPr="003A769F">
        <w:rPr>
          <w:i/>
          <w:noProof/>
          <w:sz w:val="20"/>
          <w:lang w:val="en-IE"/>
        </w:rPr>
        <w:t>time equivalent units</w:t>
      </w:r>
      <w:r>
        <w:rPr>
          <w:i/>
          <w:noProof/>
          <w:sz w:val="20"/>
          <w:lang w:val="en-IE"/>
        </w:rPr>
        <w:t xml:space="preserve"> (FTEs)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535"/>
        <w:gridCol w:w="879"/>
        <w:gridCol w:w="879"/>
        <w:gridCol w:w="879"/>
        <w:gridCol w:w="877"/>
        <w:gridCol w:w="875"/>
      </w:tblGrid>
      <w:tr w:rsidR="00BB1D84" w:rsidRPr="00E52FD3" w:rsidTr="00BB1D84">
        <w:trPr>
          <w:trHeight w:val="300"/>
        </w:trPr>
        <w:tc>
          <w:tcPr>
            <w:tcW w:w="2638" w:type="pct"/>
            <w:gridSpan w:val="2"/>
            <w:vMerge w:val="restart"/>
            <w:vAlign w:val="center"/>
            <w:hideMark/>
          </w:tcPr>
          <w:p w:rsidR="00BB1D84" w:rsidRPr="00E52FD3" w:rsidRDefault="00BB1D84">
            <w:pPr>
              <w:spacing w:before="0" w:after="0"/>
              <w:jc w:val="center"/>
              <w:rPr>
                <w:b/>
                <w:bCs/>
                <w:noProof/>
                <w:color w:val="000000"/>
                <w:sz w:val="18"/>
                <w:szCs w:val="18"/>
                <w:lang w:val="en-IE" w:eastAsia="en-IE"/>
              </w:rPr>
            </w:pPr>
            <w:bookmarkStart w:id="165" w:name="_Hlk156979231"/>
            <w:r w:rsidRPr="00E52FD3">
              <w:rPr>
                <w:b/>
                <w:bCs/>
                <w:noProof/>
                <w:color w:val="000000"/>
                <w:sz w:val="18"/>
                <w:szCs w:val="18"/>
                <w:lang w:val="en-IE" w:eastAsia="en-IE"/>
              </w:rPr>
              <w:t>VOTED APPROPRIATIONS</w:t>
            </w:r>
          </w:p>
        </w:tc>
        <w:tc>
          <w:tcPr>
            <w:tcW w:w="473" w:type="pct"/>
            <w:vAlign w:val="center"/>
            <w:hideMark/>
          </w:tcPr>
          <w:p w:rsidR="00BB1D84" w:rsidRPr="00E52FD3" w:rsidRDefault="00BB1D84">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473" w:type="pct"/>
            <w:vAlign w:val="center"/>
            <w:hideMark/>
          </w:tcPr>
          <w:p w:rsidR="00BB1D84" w:rsidRPr="00E52FD3" w:rsidRDefault="00BB1D84">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473" w:type="pct"/>
            <w:vAlign w:val="center"/>
            <w:hideMark/>
          </w:tcPr>
          <w:p w:rsidR="00BB1D84" w:rsidRPr="00E52FD3" w:rsidRDefault="00BB1D84">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472" w:type="pct"/>
            <w:vAlign w:val="center"/>
            <w:hideMark/>
          </w:tcPr>
          <w:p w:rsidR="00BB1D84" w:rsidRPr="00E52FD3" w:rsidRDefault="00BB1D84">
            <w:pPr>
              <w:spacing w:before="0" w:after="0"/>
              <w:jc w:val="center"/>
              <w:rPr>
                <w:noProof/>
                <w:color w:val="000000"/>
                <w:sz w:val="20"/>
                <w:szCs w:val="20"/>
                <w:lang w:val="en-IE" w:eastAsia="en-IE"/>
              </w:rPr>
            </w:pPr>
            <w:r w:rsidRPr="00E52FD3">
              <w:rPr>
                <w:noProof/>
                <w:color w:val="000000"/>
                <w:sz w:val="20"/>
                <w:szCs w:val="20"/>
                <w:lang w:val="en-IE" w:eastAsia="en-IE"/>
              </w:rPr>
              <w:t>Year</w:t>
            </w:r>
          </w:p>
        </w:tc>
        <w:tc>
          <w:tcPr>
            <w:tcW w:w="471" w:type="pct"/>
            <w:vMerge w:val="restart"/>
            <w:vAlign w:val="center"/>
          </w:tcPr>
          <w:p w:rsidR="00BB1D84" w:rsidRPr="00B423BF" w:rsidRDefault="00BB1D84">
            <w:pPr>
              <w:spacing w:before="0" w:after="0"/>
              <w:jc w:val="center"/>
              <w:rPr>
                <w:b/>
                <w:bCs/>
                <w:noProof/>
                <w:color w:val="000000"/>
                <w:sz w:val="20"/>
                <w:szCs w:val="20"/>
                <w:lang w:val="en-IE" w:eastAsia="en-IE"/>
              </w:rPr>
            </w:pPr>
            <w:r w:rsidRPr="00B423BF">
              <w:rPr>
                <w:b/>
                <w:bCs/>
                <w:noProof/>
                <w:color w:val="000000"/>
                <w:sz w:val="20"/>
                <w:szCs w:val="20"/>
                <w:lang w:val="en-IE" w:eastAsia="en-IE"/>
              </w:rPr>
              <w:t>Post 2027</w:t>
            </w:r>
          </w:p>
        </w:tc>
      </w:tr>
      <w:tr w:rsidR="00BB1D84" w:rsidRPr="00E52FD3" w:rsidTr="00BB1D84">
        <w:trPr>
          <w:trHeight w:val="300"/>
        </w:trPr>
        <w:tc>
          <w:tcPr>
            <w:tcW w:w="2638" w:type="pct"/>
            <w:gridSpan w:val="2"/>
            <w:vMerge/>
            <w:vAlign w:val="center"/>
            <w:hideMark/>
          </w:tcPr>
          <w:p w:rsidR="00BB1D84" w:rsidRPr="00E52FD3" w:rsidRDefault="00BB1D84">
            <w:pPr>
              <w:spacing w:before="0" w:after="0"/>
              <w:jc w:val="left"/>
              <w:rPr>
                <w:b/>
                <w:bCs/>
                <w:noProof/>
                <w:color w:val="000000"/>
                <w:sz w:val="18"/>
                <w:szCs w:val="18"/>
                <w:lang w:val="en-IE" w:eastAsia="en-IE"/>
              </w:rPr>
            </w:pPr>
          </w:p>
        </w:tc>
        <w:tc>
          <w:tcPr>
            <w:tcW w:w="473" w:type="pct"/>
            <w:vAlign w:val="center"/>
            <w:hideMark/>
          </w:tcPr>
          <w:p w:rsidR="00BB1D84" w:rsidRPr="00E52FD3" w:rsidRDefault="00BB1D84">
            <w:pPr>
              <w:spacing w:before="0" w:after="0"/>
              <w:jc w:val="center"/>
              <w:rPr>
                <w:b/>
                <w:bCs/>
                <w:noProof/>
                <w:color w:val="000000"/>
                <w:sz w:val="20"/>
                <w:szCs w:val="20"/>
                <w:lang w:val="en-IE" w:eastAsia="en-IE"/>
              </w:rPr>
            </w:pPr>
            <w:r w:rsidRPr="00E52FD3">
              <w:rPr>
                <w:b/>
                <w:bCs/>
                <w:noProof/>
                <w:color w:val="000000"/>
                <w:sz w:val="20"/>
                <w:szCs w:val="20"/>
                <w:lang w:val="en-IE" w:eastAsia="en-IE"/>
              </w:rPr>
              <w:t>2024</w:t>
            </w:r>
          </w:p>
        </w:tc>
        <w:tc>
          <w:tcPr>
            <w:tcW w:w="473" w:type="pct"/>
            <w:vAlign w:val="center"/>
            <w:hideMark/>
          </w:tcPr>
          <w:p w:rsidR="00BB1D84" w:rsidRPr="00E52FD3" w:rsidRDefault="00BB1D84">
            <w:pPr>
              <w:spacing w:before="0" w:after="0"/>
              <w:jc w:val="center"/>
              <w:rPr>
                <w:b/>
                <w:bCs/>
                <w:noProof/>
                <w:color w:val="000000"/>
                <w:sz w:val="20"/>
                <w:szCs w:val="20"/>
                <w:lang w:val="en-IE" w:eastAsia="en-IE"/>
              </w:rPr>
            </w:pPr>
            <w:r w:rsidRPr="00E52FD3">
              <w:rPr>
                <w:b/>
                <w:bCs/>
                <w:noProof/>
                <w:color w:val="000000"/>
                <w:sz w:val="20"/>
                <w:szCs w:val="20"/>
                <w:lang w:val="en-IE" w:eastAsia="en-IE"/>
              </w:rPr>
              <w:t>2025</w:t>
            </w:r>
          </w:p>
        </w:tc>
        <w:tc>
          <w:tcPr>
            <w:tcW w:w="473" w:type="pct"/>
            <w:vAlign w:val="center"/>
            <w:hideMark/>
          </w:tcPr>
          <w:p w:rsidR="00BB1D84" w:rsidRPr="00E52FD3" w:rsidRDefault="00BB1D84">
            <w:pPr>
              <w:spacing w:before="0" w:after="0"/>
              <w:jc w:val="center"/>
              <w:rPr>
                <w:b/>
                <w:bCs/>
                <w:noProof/>
                <w:color w:val="000000"/>
                <w:sz w:val="20"/>
                <w:szCs w:val="20"/>
                <w:lang w:val="en-IE" w:eastAsia="en-IE"/>
              </w:rPr>
            </w:pPr>
            <w:r w:rsidRPr="00E52FD3">
              <w:rPr>
                <w:b/>
                <w:bCs/>
                <w:noProof/>
                <w:color w:val="000000"/>
                <w:sz w:val="20"/>
                <w:szCs w:val="20"/>
                <w:lang w:val="en-IE" w:eastAsia="en-IE"/>
              </w:rPr>
              <w:t>2026</w:t>
            </w:r>
          </w:p>
        </w:tc>
        <w:tc>
          <w:tcPr>
            <w:tcW w:w="472" w:type="pct"/>
            <w:vAlign w:val="center"/>
            <w:hideMark/>
          </w:tcPr>
          <w:p w:rsidR="00BB1D84" w:rsidRPr="00E52FD3" w:rsidRDefault="00BB1D84">
            <w:pPr>
              <w:spacing w:before="0" w:after="0"/>
              <w:jc w:val="center"/>
              <w:rPr>
                <w:b/>
                <w:bCs/>
                <w:noProof/>
                <w:color w:val="000000"/>
                <w:sz w:val="20"/>
                <w:szCs w:val="20"/>
                <w:lang w:val="en-IE" w:eastAsia="en-IE"/>
              </w:rPr>
            </w:pPr>
            <w:r w:rsidRPr="00E52FD3">
              <w:rPr>
                <w:b/>
                <w:bCs/>
                <w:noProof/>
                <w:color w:val="000000"/>
                <w:sz w:val="20"/>
                <w:szCs w:val="20"/>
                <w:lang w:val="en-IE" w:eastAsia="en-IE"/>
              </w:rPr>
              <w:t>2027</w:t>
            </w:r>
          </w:p>
        </w:tc>
        <w:tc>
          <w:tcPr>
            <w:tcW w:w="471" w:type="pct"/>
            <w:vMerge/>
            <w:vAlign w:val="center"/>
          </w:tcPr>
          <w:p w:rsidR="00BB1D84" w:rsidRPr="00E52FD3" w:rsidRDefault="00BB1D84">
            <w:pPr>
              <w:spacing w:before="0" w:after="0"/>
              <w:jc w:val="center"/>
              <w:rPr>
                <w:b/>
                <w:bCs/>
                <w:noProof/>
                <w:color w:val="000000"/>
                <w:sz w:val="20"/>
                <w:szCs w:val="20"/>
                <w:lang w:val="en-IE" w:eastAsia="en-IE"/>
              </w:rPr>
            </w:pPr>
          </w:p>
        </w:tc>
      </w:tr>
      <w:tr w:rsidR="00BB1D84" w:rsidRPr="00E52FD3" w:rsidTr="00BB1D84">
        <w:trPr>
          <w:trHeight w:val="300"/>
        </w:trPr>
        <w:tc>
          <w:tcPr>
            <w:tcW w:w="4529" w:type="pct"/>
            <w:gridSpan w:val="6"/>
            <w:vAlign w:val="center"/>
            <w:hideMark/>
          </w:tcPr>
          <w:p w:rsidR="00BB1D84" w:rsidRPr="00E52FD3" w:rsidRDefault="00BB1D84">
            <w:pPr>
              <w:spacing w:before="0" w:after="0"/>
              <w:jc w:val="left"/>
              <w:rPr>
                <w:rFonts w:ascii="Wingdings" w:hAnsi="Wingdings" w:cs="Calibri"/>
                <w:b/>
                <w:bCs/>
                <w:noProof/>
                <w:color w:val="000000"/>
                <w:sz w:val="16"/>
                <w:szCs w:val="16"/>
                <w:lang w:val="en-IE" w:eastAsia="en-IE"/>
              </w:rPr>
            </w:pPr>
            <w:r w:rsidRPr="00E52FD3">
              <w:rPr>
                <w:rFonts w:ascii="Wingdings" w:hAnsi="Wingdings" w:cs="Calibri"/>
                <w:b/>
                <w:bCs/>
                <w:noProof/>
                <w:color w:val="000000"/>
                <w:sz w:val="16"/>
                <w:szCs w:val="16"/>
                <w:lang w:val="en-IE" w:eastAsia="en-IE"/>
              </w:rPr>
              <w:t></w:t>
            </w:r>
            <w:r w:rsidRPr="00E52FD3">
              <w:rPr>
                <w:b/>
                <w:bCs/>
                <w:noProof/>
                <w:color w:val="000000"/>
                <w:sz w:val="16"/>
                <w:szCs w:val="16"/>
                <w:lang w:val="en-IE" w:eastAsia="en-IE"/>
              </w:rPr>
              <w:t xml:space="preserve"> Establishment plan posts (officials and temporary staff)</w:t>
            </w:r>
          </w:p>
        </w:tc>
        <w:tc>
          <w:tcPr>
            <w:tcW w:w="471" w:type="pct"/>
            <w:vAlign w:val="center"/>
          </w:tcPr>
          <w:p w:rsidR="00BB1D84" w:rsidRPr="00E52FD3" w:rsidRDefault="00BB1D84">
            <w:pPr>
              <w:spacing w:before="0" w:after="0"/>
              <w:jc w:val="center"/>
              <w:rPr>
                <w:rFonts w:ascii="Wingdings" w:hAnsi="Wingdings" w:cs="Calibri"/>
                <w:b/>
                <w:bCs/>
                <w:noProof/>
                <w:color w:val="000000"/>
                <w:sz w:val="16"/>
                <w:szCs w:val="16"/>
                <w:lang w:val="en-IE" w:eastAsia="en-IE"/>
              </w:rPr>
            </w:pP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(Headquarters and Commission’s Representation Offices)</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1</w:t>
            </w:r>
          </w:p>
        </w:tc>
        <w:tc>
          <w:tcPr>
            <w:tcW w:w="471" w:type="pct"/>
            <w:shd w:val="clear" w:color="auto" w:fill="D9D9D9" w:themeFill="background1" w:themeFillShade="D9"/>
            <w:vAlign w:val="center"/>
          </w:tcPr>
          <w:p w:rsidR="00BB1D84" w:rsidRDefault="00BB1D84">
            <w:pPr>
              <w:spacing w:before="0" w:after="0"/>
              <w:jc w:val="center"/>
              <w:rPr>
                <w:noProof/>
                <w:color w:val="000000"/>
                <w:sz w:val="16"/>
                <w:szCs w:val="16"/>
                <w:lang w:val="en-IE" w:eastAsia="en-IE"/>
              </w:rPr>
            </w:pPr>
            <w:r>
              <w:rPr>
                <w:noProof/>
                <w:color w:val="000000"/>
                <w:sz w:val="16"/>
                <w:szCs w:val="16"/>
                <w:lang w:val="en-IE" w:eastAsia="en-IE"/>
              </w:rPr>
              <w:t>1</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01 02 03 (EU Delegations)</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01 (Indirect research)</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11 (Direct research)</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0.5</w:t>
            </w:r>
          </w:p>
        </w:tc>
        <w:tc>
          <w:tcPr>
            <w:tcW w:w="471" w:type="pct"/>
            <w:shd w:val="clear" w:color="auto" w:fill="D9D9D9" w:themeFill="background1" w:themeFillShade="D9"/>
            <w:vAlign w:val="center"/>
          </w:tcPr>
          <w:p w:rsidR="00BB1D84" w:rsidRDefault="00BB1D84">
            <w:pPr>
              <w:spacing w:before="0" w:after="0"/>
              <w:jc w:val="center"/>
              <w:rPr>
                <w:noProof/>
                <w:color w:val="000000"/>
                <w:sz w:val="16"/>
                <w:szCs w:val="16"/>
                <w:lang w:val="en-IE" w:eastAsia="en-IE"/>
              </w:rPr>
            </w:pPr>
            <w:r>
              <w:rPr>
                <w:noProof/>
                <w:color w:val="000000"/>
                <w:sz w:val="16"/>
                <w:szCs w:val="16"/>
                <w:lang w:val="en-IE" w:eastAsia="en-IE"/>
              </w:rPr>
              <w:t>0.5</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BB1D84" w:rsidRPr="00E52FD3" w:rsidTr="00BB1D84">
        <w:trPr>
          <w:trHeight w:val="300"/>
        </w:trPr>
        <w:tc>
          <w:tcPr>
            <w:tcW w:w="4529" w:type="pct"/>
            <w:gridSpan w:val="6"/>
            <w:vAlign w:val="center"/>
            <w:hideMark/>
          </w:tcPr>
          <w:p w:rsidR="00BB1D84" w:rsidRPr="00E52FD3" w:rsidRDefault="00BB1D84">
            <w:pPr>
              <w:spacing w:before="0" w:after="0"/>
              <w:jc w:val="left"/>
              <w:rPr>
                <w:rFonts w:ascii="Wingdings" w:hAnsi="Wingdings" w:cs="Calibri"/>
                <w:b/>
                <w:bCs/>
                <w:noProof/>
                <w:color w:val="000000"/>
                <w:sz w:val="16"/>
                <w:szCs w:val="16"/>
                <w:lang w:val="en-IE" w:eastAsia="en-IE"/>
              </w:rPr>
            </w:pPr>
            <w:r w:rsidRPr="00E52FD3">
              <w:rPr>
                <w:rFonts w:ascii="Calibri" w:hAnsi="Calibri" w:cs="Calibri"/>
                <w:b/>
                <w:bCs/>
                <w:noProof/>
                <w:color w:val="000000"/>
                <w:sz w:val="16"/>
                <w:szCs w:val="16"/>
                <w:lang w:val="en-IE" w:eastAsia="en-IE"/>
              </w:rPr>
              <w:t>•</w:t>
            </w:r>
            <w:r w:rsidRPr="00E52FD3">
              <w:rPr>
                <w:b/>
                <w:bCs/>
                <w:noProof/>
                <w:color w:val="000000"/>
                <w:sz w:val="16"/>
                <w:szCs w:val="16"/>
                <w:lang w:val="en-IE" w:eastAsia="en-IE"/>
              </w:rPr>
              <w:t xml:space="preserve"> External staff (in F</w:t>
            </w:r>
            <w:r>
              <w:rPr>
                <w:b/>
                <w:bCs/>
                <w:noProof/>
                <w:color w:val="000000"/>
                <w:sz w:val="16"/>
                <w:szCs w:val="16"/>
                <w:lang w:val="en-IE" w:eastAsia="en-IE"/>
              </w:rPr>
              <w:t>TEs</w:t>
            </w:r>
            <w:r w:rsidRPr="00E52FD3">
              <w:rPr>
                <w:b/>
                <w:bCs/>
                <w:noProof/>
                <w:color w:val="000000"/>
                <w:sz w:val="16"/>
                <w:szCs w:val="16"/>
                <w:lang w:val="en-IE" w:eastAsia="en-IE"/>
              </w:rPr>
              <w:t>)</w:t>
            </w:r>
          </w:p>
        </w:tc>
        <w:tc>
          <w:tcPr>
            <w:tcW w:w="471" w:type="pct"/>
            <w:vAlign w:val="center"/>
          </w:tcPr>
          <w:p w:rsidR="00BB1D84" w:rsidRPr="00E52FD3" w:rsidRDefault="00BB1D84">
            <w:pPr>
              <w:spacing w:before="0" w:after="0"/>
              <w:jc w:val="center"/>
              <w:rPr>
                <w:rFonts w:ascii="Calibri" w:hAnsi="Calibri" w:cs="Calibri"/>
                <w:b/>
                <w:bCs/>
                <w:noProof/>
                <w:color w:val="000000"/>
                <w:sz w:val="16"/>
                <w:szCs w:val="16"/>
                <w:lang w:val="en-IE" w:eastAsia="en-IE"/>
              </w:rPr>
            </w:pP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20 02 01</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from the ‘global envelope’)</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2</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2</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20 02 03 (AC, AL, END and JPD in the EU Delegations)</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0</w:t>
            </w:r>
          </w:p>
        </w:tc>
      </w:tr>
      <w:tr w:rsidR="00BB1D84" w:rsidRPr="00E52FD3" w:rsidTr="00BB1D84">
        <w:trPr>
          <w:trHeight w:val="300"/>
        </w:trPr>
        <w:tc>
          <w:tcPr>
            <w:tcW w:w="735" w:type="pct"/>
            <w:vMerge w:val="restart"/>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Admin. Support line</w:t>
            </w:r>
            <w:r w:rsidRPr="00E52FD3">
              <w:rPr>
                <w:noProof/>
                <w:color w:val="000000"/>
                <w:sz w:val="16"/>
                <w:szCs w:val="16"/>
                <w:lang w:val="en-IE" w:eastAsia="en-IE"/>
              </w:rPr>
              <w:br/>
              <w:t>[XX.01.YY.YY]</w:t>
            </w:r>
          </w:p>
        </w:tc>
        <w:tc>
          <w:tcPr>
            <w:tcW w:w="1903" w:type="pct"/>
            <w:vAlign w:val="center"/>
            <w:hideMark/>
          </w:tcPr>
          <w:p w:rsidR="00BB1D84" w:rsidRPr="00E52FD3" w:rsidRDefault="00BB1D84">
            <w:pPr>
              <w:spacing w:before="0" w:after="0"/>
              <w:ind w:firstLineChars="100" w:firstLine="160"/>
              <w:jc w:val="center"/>
              <w:rPr>
                <w:noProof/>
                <w:color w:val="000000"/>
                <w:sz w:val="16"/>
                <w:szCs w:val="16"/>
                <w:lang w:val="en-IE" w:eastAsia="en-IE"/>
              </w:rPr>
            </w:pPr>
            <w:r w:rsidRPr="00E52FD3">
              <w:rPr>
                <w:noProof/>
                <w:color w:val="000000"/>
                <w:sz w:val="16"/>
                <w:szCs w:val="16"/>
                <w:lang w:val="en-IE" w:eastAsia="en-IE"/>
              </w:rPr>
              <w:t>- at Headquarters</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0</w:t>
            </w:r>
          </w:p>
        </w:tc>
        <w:tc>
          <w:tcPr>
            <w:tcW w:w="471" w:type="pct"/>
            <w:shd w:val="clear" w:color="auto" w:fill="D9D9D9" w:themeFill="background1" w:themeFillShade="D9"/>
            <w:vAlign w:val="center"/>
          </w:tcPr>
          <w:p w:rsidR="00BB1D84" w:rsidRDefault="00BB1D84">
            <w:pPr>
              <w:spacing w:before="0" w:after="0"/>
              <w:jc w:val="center"/>
              <w:rPr>
                <w:noProof/>
                <w:color w:val="000000"/>
                <w:sz w:val="16"/>
                <w:szCs w:val="16"/>
                <w:lang w:val="en-IE" w:eastAsia="en-IE"/>
              </w:rPr>
            </w:pPr>
            <w:r>
              <w:rPr>
                <w:noProof/>
                <w:color w:val="000000"/>
                <w:sz w:val="16"/>
                <w:szCs w:val="16"/>
                <w:lang w:val="en-IE" w:eastAsia="en-IE"/>
              </w:rPr>
              <w:t>0</w:t>
            </w:r>
          </w:p>
        </w:tc>
      </w:tr>
      <w:tr w:rsidR="00BB1D84" w:rsidRPr="00E52FD3" w:rsidTr="00BB1D84">
        <w:trPr>
          <w:trHeight w:val="300"/>
        </w:trPr>
        <w:tc>
          <w:tcPr>
            <w:tcW w:w="735" w:type="pct"/>
            <w:vMerge/>
            <w:vAlign w:val="center"/>
            <w:hideMark/>
          </w:tcPr>
          <w:p w:rsidR="00BB1D84" w:rsidRPr="00E52FD3" w:rsidRDefault="00BB1D84">
            <w:pPr>
              <w:spacing w:before="0" w:after="0"/>
              <w:jc w:val="left"/>
              <w:rPr>
                <w:noProof/>
                <w:color w:val="000000"/>
                <w:sz w:val="16"/>
                <w:szCs w:val="16"/>
                <w:lang w:val="en-IE" w:eastAsia="en-IE"/>
              </w:rPr>
            </w:pPr>
          </w:p>
        </w:tc>
        <w:tc>
          <w:tcPr>
            <w:tcW w:w="1903" w:type="pct"/>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in EU Delegations </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01 01 01 02</w:t>
            </w:r>
            <w:r w:rsidRPr="00E52FD3">
              <w:rPr>
                <w:rFonts w:ascii="Arial Narrow" w:hAnsi="Arial Narrow"/>
                <w:noProof/>
                <w:color w:val="000000"/>
                <w:sz w:val="20"/>
                <w:szCs w:val="20"/>
                <w:lang w:val="en-IE" w:eastAsia="en-IE"/>
              </w:rPr>
              <w:t xml:space="preserve"> </w:t>
            </w:r>
            <w:r w:rsidRPr="00E52FD3">
              <w:rPr>
                <w:noProof/>
                <w:color w:val="000000"/>
                <w:sz w:val="16"/>
                <w:szCs w:val="16"/>
                <w:lang w:val="en-IE" w:eastAsia="en-IE"/>
              </w:rPr>
              <w:t>(AC, END - Indirect research)</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 xml:space="preserve"> 01 01 01 12 (AC, END - Direct research)</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1.5</w:t>
            </w:r>
          </w:p>
        </w:tc>
        <w:tc>
          <w:tcPr>
            <w:tcW w:w="471" w:type="pct"/>
            <w:shd w:val="clear" w:color="auto" w:fill="D9D9D9" w:themeFill="background1" w:themeFillShade="D9"/>
            <w:vAlign w:val="center"/>
          </w:tcPr>
          <w:p w:rsidR="00BB1D84" w:rsidRDefault="00BB1D84">
            <w:pPr>
              <w:spacing w:before="0" w:after="0"/>
              <w:jc w:val="center"/>
              <w:rPr>
                <w:noProof/>
                <w:color w:val="000000"/>
                <w:sz w:val="16"/>
                <w:szCs w:val="16"/>
                <w:lang w:val="en-IE" w:eastAsia="en-IE"/>
              </w:rPr>
            </w:pPr>
            <w:r>
              <w:rPr>
                <w:noProof/>
                <w:color w:val="000000"/>
                <w:sz w:val="16"/>
                <w:szCs w:val="16"/>
                <w:lang w:val="en-IE" w:eastAsia="en-IE"/>
              </w:rPr>
              <w:t>1.5</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00E52FD3">
              <w:rPr>
                <w:noProof/>
                <w:color w:val="000000"/>
                <w:sz w:val="16"/>
                <w:szCs w:val="16"/>
                <w:lang w:val="en-IE" w:eastAsia="en-IE"/>
              </w:rPr>
              <w:t>Other budget lines (specify) - Heading 7</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noProof/>
                <w:color w:val="000000"/>
                <w:sz w:val="16"/>
                <w:szCs w:val="16"/>
                <w:lang w:val="en-IE" w:eastAsia="en-IE"/>
              </w:rPr>
            </w:pPr>
            <w:r w:rsidRPr="7EAE1125">
              <w:rPr>
                <w:noProof/>
                <w:color w:val="000000" w:themeColor="text1"/>
                <w:sz w:val="16"/>
                <w:szCs w:val="16"/>
                <w:lang w:val="en-IE" w:eastAsia="en-IE"/>
              </w:rPr>
              <w:t>Other budget lines (specify) - Outside Heading 7</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noProof/>
                <w:color w:val="000000"/>
                <w:sz w:val="16"/>
                <w:szCs w:val="16"/>
                <w:lang w:val="en-IE" w:eastAsia="en-IE"/>
              </w:rPr>
            </w:pPr>
            <w:r w:rsidRPr="00E52FD3">
              <w:rPr>
                <w:noProof/>
                <w:color w:val="000000"/>
                <w:sz w:val="16"/>
                <w:szCs w:val="16"/>
                <w:lang w:val="en-IE" w:eastAsia="en-IE"/>
              </w:rPr>
              <w:t>0</w:t>
            </w:r>
          </w:p>
        </w:tc>
        <w:tc>
          <w:tcPr>
            <w:tcW w:w="471" w:type="pct"/>
            <w:shd w:val="clear" w:color="auto" w:fill="D9D9D9" w:themeFill="background1" w:themeFillShade="D9"/>
            <w:vAlign w:val="center"/>
          </w:tcPr>
          <w:p w:rsidR="00BB1D84" w:rsidRPr="00E52FD3" w:rsidRDefault="00BB1D84">
            <w:pPr>
              <w:spacing w:before="0" w:after="0"/>
              <w:jc w:val="center"/>
              <w:rPr>
                <w:noProof/>
                <w:color w:val="000000"/>
                <w:sz w:val="16"/>
                <w:szCs w:val="16"/>
                <w:lang w:val="en-IE" w:eastAsia="en-IE"/>
              </w:rPr>
            </w:pPr>
            <w:r>
              <w:rPr>
                <w:noProof/>
                <w:color w:val="000000"/>
                <w:sz w:val="16"/>
                <w:szCs w:val="16"/>
                <w:lang w:val="en-IE" w:eastAsia="en-IE"/>
              </w:rPr>
              <w:t>0</w:t>
            </w:r>
          </w:p>
        </w:tc>
      </w:tr>
      <w:tr w:rsidR="00BB1D84" w:rsidRPr="00E52FD3" w:rsidTr="00BB1D84">
        <w:trPr>
          <w:trHeight w:val="300"/>
        </w:trPr>
        <w:tc>
          <w:tcPr>
            <w:tcW w:w="2638" w:type="pct"/>
            <w:gridSpan w:val="2"/>
            <w:vAlign w:val="center"/>
            <w:hideMark/>
          </w:tcPr>
          <w:p w:rsidR="00BB1D84" w:rsidRPr="00E52FD3" w:rsidRDefault="00BB1D84">
            <w:pPr>
              <w:spacing w:before="0" w:after="0"/>
              <w:ind w:firstLineChars="100" w:firstLine="160"/>
              <w:jc w:val="left"/>
              <w:rPr>
                <w:b/>
                <w:bCs/>
                <w:noProof/>
                <w:color w:val="000000"/>
                <w:sz w:val="16"/>
                <w:szCs w:val="16"/>
                <w:lang w:val="en-IE" w:eastAsia="en-IE"/>
              </w:rPr>
            </w:pPr>
            <w:r w:rsidRPr="00E52FD3">
              <w:rPr>
                <w:b/>
                <w:bCs/>
                <w:noProof/>
                <w:color w:val="000000"/>
                <w:sz w:val="16"/>
                <w:szCs w:val="16"/>
                <w:lang w:val="en-IE" w:eastAsia="en-IE"/>
              </w:rPr>
              <w:t>TOTAL</w:t>
            </w:r>
          </w:p>
        </w:tc>
        <w:tc>
          <w:tcPr>
            <w:tcW w:w="473" w:type="pct"/>
            <w:shd w:val="clear" w:color="auto" w:fill="D9D9D9" w:themeFill="background1" w:themeFillShade="D9"/>
            <w:vAlign w:val="center"/>
            <w:hideMark/>
          </w:tcPr>
          <w:p w:rsidR="00BB1D84" w:rsidRPr="00E52FD3" w:rsidRDefault="00BB1D84">
            <w:pPr>
              <w:spacing w:before="0" w:after="0"/>
              <w:jc w:val="center"/>
              <w:rPr>
                <w:b/>
                <w:bCs/>
                <w:noProof/>
                <w:color w:val="000000"/>
                <w:sz w:val="16"/>
                <w:szCs w:val="16"/>
                <w:lang w:val="en-IE" w:eastAsia="en-IE"/>
              </w:rPr>
            </w:pPr>
            <w:r w:rsidRPr="00E52FD3">
              <w:rPr>
                <w:b/>
                <w:bCs/>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b/>
                <w:bCs/>
                <w:noProof/>
                <w:color w:val="000000"/>
                <w:sz w:val="16"/>
                <w:szCs w:val="16"/>
                <w:lang w:val="en-IE" w:eastAsia="en-IE"/>
              </w:rPr>
            </w:pPr>
            <w:r w:rsidRPr="00E52FD3">
              <w:rPr>
                <w:b/>
                <w:bCs/>
                <w:noProof/>
                <w:color w:val="000000"/>
                <w:sz w:val="16"/>
                <w:szCs w:val="16"/>
                <w:lang w:val="en-IE" w:eastAsia="en-IE"/>
              </w:rPr>
              <w:t>0</w:t>
            </w:r>
          </w:p>
        </w:tc>
        <w:tc>
          <w:tcPr>
            <w:tcW w:w="473" w:type="pct"/>
            <w:shd w:val="clear" w:color="auto" w:fill="D9D9D9" w:themeFill="background1" w:themeFillShade="D9"/>
            <w:vAlign w:val="center"/>
            <w:hideMark/>
          </w:tcPr>
          <w:p w:rsidR="00BB1D84" w:rsidRPr="00E52FD3" w:rsidRDefault="00BB1D84">
            <w:pPr>
              <w:spacing w:before="0" w:after="0"/>
              <w:jc w:val="center"/>
              <w:rPr>
                <w:b/>
                <w:bCs/>
                <w:noProof/>
                <w:color w:val="000000"/>
                <w:sz w:val="16"/>
                <w:szCs w:val="16"/>
                <w:lang w:val="en-IE" w:eastAsia="en-IE"/>
              </w:rPr>
            </w:pPr>
            <w:r w:rsidRPr="00E52FD3">
              <w:rPr>
                <w:b/>
                <w:bCs/>
                <w:noProof/>
                <w:color w:val="000000"/>
                <w:sz w:val="16"/>
                <w:szCs w:val="16"/>
                <w:lang w:val="en-IE" w:eastAsia="en-IE"/>
              </w:rPr>
              <w:t>0</w:t>
            </w:r>
          </w:p>
        </w:tc>
        <w:tc>
          <w:tcPr>
            <w:tcW w:w="472" w:type="pct"/>
            <w:shd w:val="clear" w:color="auto" w:fill="D9D9D9" w:themeFill="background1" w:themeFillShade="D9"/>
            <w:vAlign w:val="center"/>
            <w:hideMark/>
          </w:tcPr>
          <w:p w:rsidR="00BB1D84" w:rsidRPr="00E52FD3" w:rsidRDefault="00BB1D84">
            <w:pPr>
              <w:spacing w:before="0" w:after="0"/>
              <w:jc w:val="center"/>
              <w:rPr>
                <w:b/>
                <w:bCs/>
                <w:noProof/>
                <w:color w:val="000000"/>
                <w:sz w:val="16"/>
                <w:szCs w:val="16"/>
                <w:lang w:val="en-IE" w:eastAsia="en-IE"/>
              </w:rPr>
            </w:pPr>
            <w:r>
              <w:rPr>
                <w:b/>
                <w:bCs/>
                <w:noProof/>
                <w:color w:val="000000"/>
                <w:sz w:val="16"/>
                <w:szCs w:val="16"/>
                <w:lang w:val="en-IE" w:eastAsia="en-IE"/>
              </w:rPr>
              <w:t>5</w:t>
            </w:r>
          </w:p>
        </w:tc>
        <w:tc>
          <w:tcPr>
            <w:tcW w:w="471" w:type="pct"/>
            <w:shd w:val="clear" w:color="auto" w:fill="D9D9D9" w:themeFill="background1" w:themeFillShade="D9"/>
            <w:vAlign w:val="center"/>
          </w:tcPr>
          <w:p w:rsidR="00BB1D84" w:rsidRPr="00E52FD3" w:rsidRDefault="00BB1D84">
            <w:pPr>
              <w:spacing w:before="0" w:after="0"/>
              <w:jc w:val="center"/>
              <w:rPr>
                <w:b/>
                <w:bCs/>
                <w:noProof/>
                <w:color w:val="000000"/>
                <w:sz w:val="16"/>
                <w:szCs w:val="16"/>
                <w:lang w:val="en-IE" w:eastAsia="en-IE"/>
              </w:rPr>
            </w:pPr>
            <w:r>
              <w:rPr>
                <w:b/>
                <w:bCs/>
                <w:noProof/>
                <w:color w:val="000000"/>
                <w:sz w:val="16"/>
                <w:szCs w:val="16"/>
                <w:lang w:val="en-IE" w:eastAsia="en-IE"/>
              </w:rPr>
              <w:t>5</w:t>
            </w:r>
          </w:p>
        </w:tc>
      </w:tr>
    </w:tbl>
    <w:tbl>
      <w:tblPr>
        <w:tblStyle w:val="TableGrid"/>
        <w:tblW w:w="9356" w:type="dxa"/>
        <w:tblInd w:w="-34" w:type="dxa"/>
        <w:tblLook w:val="04A0" w:firstRow="1" w:lastRow="0" w:firstColumn="1" w:lastColumn="0" w:noHBand="0" w:noVBand="1"/>
      </w:tblPr>
      <w:tblGrid>
        <w:gridCol w:w="2061"/>
        <w:gridCol w:w="1993"/>
        <w:gridCol w:w="1747"/>
        <w:gridCol w:w="1938"/>
        <w:gridCol w:w="1617"/>
      </w:tblGrid>
      <w:tr w:rsidR="00BB1D84" w:rsidTr="003B4D7A">
        <w:tc>
          <w:tcPr>
            <w:tcW w:w="2061" w:type="dxa"/>
          </w:tcPr>
          <w:p w:rsidR="00BB1D84" w:rsidRPr="00310A4B" w:rsidRDefault="00BB1D84">
            <w:pPr>
              <w:pStyle w:val="Text1"/>
              <w:ind w:left="0"/>
              <w:jc w:val="center"/>
              <w:rPr>
                <w:b/>
                <w:bCs/>
                <w:noProof/>
                <w:sz w:val="22"/>
                <w:szCs w:val="28"/>
              </w:rPr>
            </w:pPr>
          </w:p>
        </w:tc>
        <w:tc>
          <w:tcPr>
            <w:tcW w:w="1993" w:type="dxa"/>
          </w:tcPr>
          <w:p w:rsidR="00BB1D84" w:rsidRPr="00310A4B" w:rsidRDefault="00BB1D84">
            <w:pPr>
              <w:pStyle w:val="Text1"/>
              <w:ind w:left="0"/>
              <w:jc w:val="center"/>
              <w:rPr>
                <w:b/>
                <w:bCs/>
                <w:noProof/>
                <w:sz w:val="22"/>
                <w:szCs w:val="28"/>
              </w:rPr>
            </w:pPr>
            <w:r>
              <w:rPr>
                <w:b/>
                <w:bCs/>
                <w:noProof/>
                <w:sz w:val="22"/>
                <w:szCs w:val="28"/>
              </w:rPr>
              <w:t>Current staff available in the Commission services</w:t>
            </w:r>
          </w:p>
        </w:tc>
        <w:tc>
          <w:tcPr>
            <w:tcW w:w="5302" w:type="dxa"/>
            <w:gridSpan w:val="3"/>
          </w:tcPr>
          <w:p w:rsidR="00BB1D84" w:rsidRPr="00310A4B" w:rsidRDefault="00BB1D84">
            <w:pPr>
              <w:pStyle w:val="Text1"/>
              <w:ind w:left="0"/>
              <w:jc w:val="center"/>
              <w:rPr>
                <w:b/>
                <w:bCs/>
                <w:noProof/>
                <w:sz w:val="22"/>
                <w:szCs w:val="28"/>
              </w:rPr>
            </w:pPr>
            <w:r w:rsidRPr="00310A4B">
              <w:rPr>
                <w:b/>
                <w:bCs/>
                <w:noProof/>
                <w:sz w:val="22"/>
                <w:szCs w:val="28"/>
              </w:rPr>
              <w:t>Additional staff</w:t>
            </w:r>
            <w:r>
              <w:rPr>
                <w:b/>
                <w:bCs/>
                <w:noProof/>
                <w:sz w:val="22"/>
                <w:szCs w:val="28"/>
              </w:rPr>
              <w:t>*</w:t>
            </w:r>
          </w:p>
        </w:tc>
      </w:tr>
      <w:tr w:rsidR="00BB1D84" w:rsidTr="003B4D7A">
        <w:tc>
          <w:tcPr>
            <w:tcW w:w="2061" w:type="dxa"/>
          </w:tcPr>
          <w:p w:rsidR="00BB1D84" w:rsidRPr="00310A4B" w:rsidRDefault="00BB1D84">
            <w:pPr>
              <w:pStyle w:val="Text1"/>
              <w:ind w:left="0"/>
              <w:jc w:val="center"/>
              <w:rPr>
                <w:b/>
                <w:bCs/>
                <w:noProof/>
                <w:sz w:val="22"/>
                <w:szCs w:val="28"/>
              </w:rPr>
            </w:pPr>
          </w:p>
        </w:tc>
        <w:tc>
          <w:tcPr>
            <w:tcW w:w="1993" w:type="dxa"/>
          </w:tcPr>
          <w:p w:rsidR="00BB1D84" w:rsidRPr="00310A4B" w:rsidRDefault="00BB1D84">
            <w:pPr>
              <w:pStyle w:val="Text1"/>
              <w:ind w:left="0"/>
              <w:jc w:val="center"/>
              <w:rPr>
                <w:b/>
                <w:bCs/>
                <w:noProof/>
                <w:sz w:val="22"/>
                <w:szCs w:val="28"/>
              </w:rPr>
            </w:pPr>
          </w:p>
        </w:tc>
        <w:tc>
          <w:tcPr>
            <w:tcW w:w="1747" w:type="dxa"/>
          </w:tcPr>
          <w:p w:rsidR="00BB1D84" w:rsidRPr="00310A4B" w:rsidRDefault="00BB1D84">
            <w:pPr>
              <w:pStyle w:val="Text1"/>
              <w:ind w:left="0"/>
              <w:jc w:val="center"/>
              <w:rPr>
                <w:b/>
                <w:bCs/>
                <w:noProof/>
                <w:sz w:val="22"/>
                <w:szCs w:val="28"/>
              </w:rPr>
            </w:pPr>
            <w:r w:rsidRPr="00310A4B">
              <w:rPr>
                <w:b/>
                <w:bCs/>
                <w:noProof/>
                <w:sz w:val="22"/>
                <w:szCs w:val="28"/>
              </w:rPr>
              <w:t xml:space="preserve">To be financed </w:t>
            </w:r>
            <w:r>
              <w:rPr>
                <w:b/>
                <w:bCs/>
                <w:noProof/>
                <w:sz w:val="22"/>
                <w:szCs w:val="28"/>
              </w:rPr>
              <w:t xml:space="preserve">under </w:t>
            </w:r>
            <w:r w:rsidRPr="00310A4B">
              <w:rPr>
                <w:b/>
                <w:bCs/>
                <w:noProof/>
                <w:sz w:val="22"/>
                <w:szCs w:val="28"/>
              </w:rPr>
              <w:t>Heading 7 / Research</w:t>
            </w:r>
          </w:p>
        </w:tc>
        <w:tc>
          <w:tcPr>
            <w:tcW w:w="1938" w:type="dxa"/>
          </w:tcPr>
          <w:p w:rsidR="00BB1D84" w:rsidRPr="00310A4B" w:rsidRDefault="00BB1D84">
            <w:pPr>
              <w:pStyle w:val="Text1"/>
              <w:ind w:left="0"/>
              <w:jc w:val="center"/>
              <w:rPr>
                <w:b/>
                <w:bCs/>
                <w:noProof/>
                <w:sz w:val="22"/>
                <w:szCs w:val="28"/>
              </w:rPr>
            </w:pPr>
            <w:r w:rsidRPr="00310A4B">
              <w:rPr>
                <w:b/>
                <w:bCs/>
                <w:noProof/>
                <w:sz w:val="22"/>
                <w:szCs w:val="28"/>
              </w:rPr>
              <w:t>To be financed from BA line</w:t>
            </w:r>
          </w:p>
        </w:tc>
        <w:tc>
          <w:tcPr>
            <w:tcW w:w="1617" w:type="dxa"/>
          </w:tcPr>
          <w:p w:rsidR="00BB1D84" w:rsidRPr="00310A4B" w:rsidRDefault="00BB1D84">
            <w:pPr>
              <w:pStyle w:val="Text1"/>
              <w:ind w:left="0"/>
              <w:jc w:val="center"/>
              <w:rPr>
                <w:b/>
                <w:bCs/>
                <w:noProof/>
                <w:sz w:val="22"/>
                <w:szCs w:val="28"/>
              </w:rPr>
            </w:pPr>
            <w:r w:rsidRPr="00310A4B">
              <w:rPr>
                <w:b/>
                <w:bCs/>
                <w:noProof/>
                <w:sz w:val="22"/>
                <w:szCs w:val="28"/>
              </w:rPr>
              <w:t>To be financed from fees</w:t>
            </w:r>
          </w:p>
        </w:tc>
      </w:tr>
      <w:tr w:rsidR="00BB1D84" w:rsidTr="003B4D7A">
        <w:tc>
          <w:tcPr>
            <w:tcW w:w="2061" w:type="dxa"/>
          </w:tcPr>
          <w:p w:rsidR="00BB1D84" w:rsidRDefault="00BB1D84">
            <w:pPr>
              <w:pStyle w:val="Text1"/>
              <w:ind w:left="0"/>
              <w:rPr>
                <w:noProof/>
                <w:sz w:val="22"/>
                <w:szCs w:val="28"/>
              </w:rPr>
            </w:pPr>
            <w:r>
              <w:rPr>
                <w:noProof/>
                <w:sz w:val="22"/>
                <w:szCs w:val="28"/>
              </w:rPr>
              <w:t>Establishment plan posts</w:t>
            </w:r>
          </w:p>
        </w:tc>
        <w:tc>
          <w:tcPr>
            <w:tcW w:w="1993" w:type="dxa"/>
          </w:tcPr>
          <w:p w:rsidR="00BB1D84" w:rsidRPr="00A93BAD" w:rsidRDefault="00BB1D84">
            <w:pPr>
              <w:pStyle w:val="Text1"/>
              <w:ind w:left="0"/>
              <w:rPr>
                <w:noProof/>
                <w:sz w:val="22"/>
                <w:szCs w:val="28"/>
                <w:lang w:val="da-DK"/>
              </w:rPr>
            </w:pPr>
            <w:r w:rsidRPr="00A93BAD">
              <w:rPr>
                <w:noProof/>
                <w:sz w:val="22"/>
                <w:szCs w:val="28"/>
                <w:lang w:val="da-DK"/>
              </w:rPr>
              <w:t>1 DG ENER</w:t>
            </w:r>
          </w:p>
          <w:p w:rsidR="00BB1D84" w:rsidRPr="00A93BAD" w:rsidRDefault="00BB1D84">
            <w:pPr>
              <w:pStyle w:val="Text1"/>
              <w:ind w:left="0"/>
              <w:rPr>
                <w:noProof/>
                <w:sz w:val="22"/>
                <w:szCs w:val="22"/>
                <w:lang w:val="da-DK"/>
              </w:rPr>
            </w:pPr>
            <w:r w:rsidRPr="00A93BAD">
              <w:rPr>
                <w:noProof/>
                <w:sz w:val="22"/>
                <w:szCs w:val="22"/>
                <w:lang w:val="da-DK"/>
              </w:rPr>
              <w:t>0.5 AD DG JRC</w:t>
            </w:r>
          </w:p>
        </w:tc>
        <w:tc>
          <w:tcPr>
            <w:tcW w:w="1747" w:type="dxa"/>
          </w:tcPr>
          <w:p w:rsidR="00BB1D84" w:rsidRPr="00A93BAD" w:rsidRDefault="00BB1D84">
            <w:pPr>
              <w:pStyle w:val="Text1"/>
              <w:ind w:left="0"/>
              <w:rPr>
                <w:noProof/>
                <w:sz w:val="22"/>
                <w:szCs w:val="28"/>
                <w:lang w:val="da-DK"/>
              </w:rPr>
            </w:pPr>
          </w:p>
        </w:tc>
        <w:tc>
          <w:tcPr>
            <w:tcW w:w="1938" w:type="dxa"/>
          </w:tcPr>
          <w:p w:rsidR="00BB1D84" w:rsidRDefault="00BB1D84">
            <w:pPr>
              <w:pStyle w:val="Text1"/>
              <w:ind w:left="0"/>
              <w:rPr>
                <w:noProof/>
                <w:sz w:val="22"/>
                <w:szCs w:val="28"/>
              </w:rPr>
            </w:pPr>
            <w:r>
              <w:rPr>
                <w:noProof/>
                <w:sz w:val="22"/>
                <w:szCs w:val="28"/>
              </w:rPr>
              <w:t>N/A</w:t>
            </w:r>
          </w:p>
        </w:tc>
        <w:tc>
          <w:tcPr>
            <w:tcW w:w="1617" w:type="dxa"/>
          </w:tcPr>
          <w:p w:rsidR="00BB1D84" w:rsidRDefault="00BB1D84">
            <w:pPr>
              <w:pStyle w:val="Text1"/>
              <w:ind w:left="0"/>
              <w:rPr>
                <w:noProof/>
                <w:sz w:val="22"/>
                <w:szCs w:val="28"/>
              </w:rPr>
            </w:pPr>
          </w:p>
        </w:tc>
      </w:tr>
      <w:tr w:rsidR="00BB1D84" w:rsidTr="003B4D7A">
        <w:tc>
          <w:tcPr>
            <w:tcW w:w="2061" w:type="dxa"/>
          </w:tcPr>
          <w:p w:rsidR="00BB1D84" w:rsidRDefault="00BB1D84">
            <w:pPr>
              <w:pStyle w:val="Text1"/>
              <w:ind w:left="0"/>
              <w:rPr>
                <w:noProof/>
                <w:sz w:val="22"/>
                <w:szCs w:val="28"/>
              </w:rPr>
            </w:pPr>
            <w:r>
              <w:rPr>
                <w:noProof/>
                <w:sz w:val="22"/>
                <w:szCs w:val="28"/>
              </w:rPr>
              <w:t>External staff (CA, SNEs, INT)</w:t>
            </w:r>
          </w:p>
        </w:tc>
        <w:tc>
          <w:tcPr>
            <w:tcW w:w="1993" w:type="dxa"/>
          </w:tcPr>
          <w:p w:rsidR="00BB1D84" w:rsidRDefault="00BB1D84">
            <w:pPr>
              <w:pStyle w:val="Text1"/>
              <w:ind w:left="0"/>
              <w:rPr>
                <w:noProof/>
                <w:sz w:val="22"/>
                <w:szCs w:val="28"/>
              </w:rPr>
            </w:pPr>
            <w:r>
              <w:rPr>
                <w:noProof/>
                <w:sz w:val="22"/>
                <w:szCs w:val="28"/>
              </w:rPr>
              <w:t>2 CA DG ENER</w:t>
            </w:r>
          </w:p>
          <w:p w:rsidR="00BB1D84" w:rsidRDefault="00BB1D84">
            <w:pPr>
              <w:pStyle w:val="Text1"/>
              <w:ind w:left="0"/>
              <w:rPr>
                <w:noProof/>
                <w:sz w:val="22"/>
                <w:szCs w:val="22"/>
              </w:rPr>
            </w:pPr>
            <w:r w:rsidRPr="54C39D0C">
              <w:rPr>
                <w:noProof/>
                <w:sz w:val="22"/>
                <w:szCs w:val="22"/>
              </w:rPr>
              <w:t xml:space="preserve">1.5 </w:t>
            </w:r>
            <w:r w:rsidRPr="7A95766A">
              <w:rPr>
                <w:noProof/>
                <w:sz w:val="22"/>
                <w:szCs w:val="22"/>
              </w:rPr>
              <w:t>CA DG</w:t>
            </w:r>
            <w:r w:rsidRPr="54C39D0C">
              <w:rPr>
                <w:noProof/>
                <w:sz w:val="22"/>
                <w:szCs w:val="22"/>
              </w:rPr>
              <w:t xml:space="preserve"> JRC</w:t>
            </w:r>
          </w:p>
        </w:tc>
        <w:tc>
          <w:tcPr>
            <w:tcW w:w="1747" w:type="dxa"/>
          </w:tcPr>
          <w:p w:rsidR="00BB1D84" w:rsidRDefault="00BB1D84">
            <w:pPr>
              <w:pStyle w:val="Text1"/>
              <w:ind w:left="0"/>
              <w:rPr>
                <w:noProof/>
                <w:sz w:val="22"/>
                <w:szCs w:val="28"/>
              </w:rPr>
            </w:pPr>
          </w:p>
        </w:tc>
        <w:tc>
          <w:tcPr>
            <w:tcW w:w="1938" w:type="dxa"/>
          </w:tcPr>
          <w:p w:rsidR="00BB1D84" w:rsidRDefault="00BB1D84">
            <w:pPr>
              <w:pStyle w:val="Text1"/>
              <w:ind w:left="0"/>
              <w:rPr>
                <w:noProof/>
                <w:sz w:val="22"/>
                <w:szCs w:val="28"/>
              </w:rPr>
            </w:pPr>
          </w:p>
        </w:tc>
        <w:tc>
          <w:tcPr>
            <w:tcW w:w="1617" w:type="dxa"/>
          </w:tcPr>
          <w:p w:rsidR="00BB1D84" w:rsidRDefault="00BB1D84">
            <w:pPr>
              <w:pStyle w:val="Text1"/>
              <w:ind w:left="0"/>
              <w:rPr>
                <w:noProof/>
                <w:sz w:val="22"/>
                <w:szCs w:val="28"/>
              </w:rPr>
            </w:pPr>
          </w:p>
        </w:tc>
      </w:tr>
    </w:tbl>
    <w:p w:rsidR="00BB1D84" w:rsidRPr="00725495" w:rsidRDefault="00BB1D84" w:rsidP="00BB1D84">
      <w:pPr>
        <w:rPr>
          <w:noProof/>
        </w:rPr>
      </w:pPr>
      <w:r w:rsidRPr="00725495">
        <w:rPr>
          <w:noProof/>
        </w:rPr>
        <w:t>The estimated impact on expenditure and staffing for 2028 and beyond is added for illustrative purposes only and does not pre-judge the next Multiannual Financial Framework. The source of financing and scope of Union financial commitment in the post-2027 period remain subject to the outcome of interinstitutional negotiations on the MFF 2028-2034 and thereafter shall be determined through the annual budgetary procedure. All appropriations and staffing allocations as of 2028 are indicative.</w:t>
      </w:r>
    </w:p>
    <w:p w:rsidR="00BB1D84" w:rsidRPr="00725495" w:rsidRDefault="00BB1D84">
      <w:pPr>
        <w:spacing w:before="0" w:after="200" w:line="276" w:lineRule="auto"/>
        <w:jc w:val="left"/>
        <w:rPr>
          <w:noProof/>
        </w:rPr>
      </w:pPr>
      <w:r w:rsidRPr="00725495">
        <w:rPr>
          <w:noProof/>
        </w:rPr>
        <w:br w:type="page"/>
      </w:r>
    </w:p>
    <w:p w:rsidR="00BB1D84" w:rsidRDefault="00BB1D84" w:rsidP="00BB1D84">
      <w:pPr>
        <w:pStyle w:val="Text1"/>
        <w:ind w:left="-426" w:right="-427"/>
        <w:rPr>
          <w:noProof/>
          <w:lang w:val="en-IE"/>
        </w:rPr>
      </w:pPr>
      <w:r>
        <w:rPr>
          <w:noProof/>
          <w:lang w:val="en-IE"/>
        </w:rPr>
        <w:t>D</w:t>
      </w:r>
      <w:r w:rsidRPr="003A769F">
        <w:rPr>
          <w:noProof/>
          <w:lang w:val="en-IE"/>
        </w:rPr>
        <w:t>escription of tasks to be carried out</w:t>
      </w:r>
      <w:r>
        <w:rPr>
          <w:noProof/>
          <w:lang w:val="en-IE"/>
        </w:rPr>
        <w:t xml:space="preserve"> by</w:t>
      </w:r>
      <w:r w:rsidRPr="003A769F">
        <w:rPr>
          <w:noProof/>
          <w:lang w:val="en-IE"/>
        </w:rPr>
        <w:t>:</w:t>
      </w:r>
    </w:p>
    <w:tbl>
      <w:tblPr>
        <w:tblW w:w="9896" w:type="dxa"/>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6656"/>
      </w:tblGrid>
      <w:tr w:rsidR="00BB1D84" w:rsidTr="00BB1D84">
        <w:tc>
          <w:tcPr>
            <w:tcW w:w="3240" w:type="dxa"/>
          </w:tcPr>
          <w:p w:rsidR="00BB1D84" w:rsidRDefault="00BB1D84">
            <w:pPr>
              <w:rPr>
                <w:noProof/>
                <w:sz w:val="20"/>
              </w:rPr>
            </w:pPr>
            <w:r>
              <w:rPr>
                <w:noProof/>
                <w:sz w:val="20"/>
              </w:rPr>
              <w:t>Officials and temporary staff</w:t>
            </w:r>
          </w:p>
        </w:tc>
        <w:tc>
          <w:tcPr>
            <w:tcW w:w="6656" w:type="dxa"/>
          </w:tcPr>
          <w:p w:rsidR="00BB1D84" w:rsidRPr="00BC0E8A" w:rsidRDefault="00BB1D84">
            <w:pPr>
              <w:rPr>
                <w:noProof/>
                <w:sz w:val="22"/>
                <w:u w:val="single"/>
                <w:lang w:val="en-IE"/>
              </w:rPr>
            </w:pPr>
            <w:r w:rsidRPr="00BC0E8A">
              <w:rPr>
                <w:noProof/>
                <w:sz w:val="22"/>
                <w:lang w:val="en-IE"/>
              </w:rPr>
              <w:t xml:space="preserve">The implementation of the provisions on </w:t>
            </w:r>
            <w:r>
              <w:rPr>
                <w:noProof/>
                <w:sz w:val="22"/>
                <w:lang w:val="en-IE"/>
              </w:rPr>
              <w:t xml:space="preserve">network charges, </w:t>
            </w:r>
            <w:r w:rsidRPr="00BC0E8A">
              <w:rPr>
                <w:noProof/>
                <w:sz w:val="22"/>
                <w:lang w:val="en-IE"/>
              </w:rPr>
              <w:t>smart grid indicators, electricity grid data exchange and the reuse of electricity grid data for research and innovation purposes introduces a set of new tasks for the Commission</w:t>
            </w:r>
            <w:r>
              <w:rPr>
                <w:noProof/>
                <w:sz w:val="22"/>
                <w:lang w:val="en-IE"/>
              </w:rPr>
              <w:t xml:space="preserve">, which require resources </w:t>
            </w:r>
            <w:r w:rsidRPr="00BC0E8A">
              <w:rPr>
                <w:noProof/>
                <w:sz w:val="22"/>
                <w:lang w:val="en-IE"/>
              </w:rPr>
              <w:t>to ensure effective and timely implementation. These tasks are of a cross-cutting nature, combining energy regulation, digital policy, data governance, cybersecurity and innovation support, and require sustained interaction with a wide range of actors at Union and national level.</w:t>
            </w:r>
            <w:r w:rsidRPr="7DA94E51">
              <w:rPr>
                <w:noProof/>
                <w:sz w:val="22"/>
                <w:lang w:val="en-IE"/>
              </w:rPr>
              <w:t xml:space="preserve"> </w:t>
            </w:r>
          </w:p>
          <w:p w:rsidR="00BB1D84" w:rsidRDefault="00BB1D84">
            <w:pPr>
              <w:rPr>
                <w:noProof/>
                <w:sz w:val="22"/>
                <w:u w:val="single"/>
              </w:rPr>
            </w:pPr>
            <w:r w:rsidRPr="00F664F4">
              <w:rPr>
                <w:noProof/>
                <w:sz w:val="22"/>
                <w:u w:val="single"/>
              </w:rPr>
              <w:t>DG ENER</w:t>
            </w:r>
          </w:p>
          <w:p w:rsidR="00BB1D84" w:rsidRDefault="00BB1D84">
            <w:pPr>
              <w:rPr>
                <w:noProof/>
                <w:sz w:val="22"/>
              </w:rPr>
            </w:pPr>
            <w:r w:rsidRPr="00BC145D">
              <w:rPr>
                <w:noProof/>
                <w:sz w:val="22"/>
              </w:rPr>
              <w:t xml:space="preserve">The allocation of </w:t>
            </w:r>
            <w:r w:rsidRPr="00370B33">
              <w:rPr>
                <w:b/>
                <w:bCs/>
                <w:noProof/>
                <w:sz w:val="22"/>
              </w:rPr>
              <w:t>1 permanent official (AD) FTE</w:t>
            </w:r>
            <w:r w:rsidRPr="00BC145D">
              <w:rPr>
                <w:noProof/>
                <w:sz w:val="22"/>
              </w:rPr>
              <w:t xml:space="preserve"> within DG ENER is required to ensure the long-term governance, coordination and regulatory oversight of the new framework established under Article 18a. This includes steering the implementation of the electricity grid data exchange framework, ensuring coherence with the broader Union legal framework (including the Data Act, AI Act and cybersecurity legislation), coordinating with ACER, ENTSO-E, the EU DSO Entity and Member States, and overseeing the follow-up to the Commission opinion on the coordinated arrangement.</w:t>
            </w:r>
          </w:p>
          <w:p w:rsidR="00BB1D84" w:rsidRPr="00F35FC3" w:rsidRDefault="00BB1D84">
            <w:pPr>
              <w:rPr>
                <w:noProof/>
                <w:sz w:val="22"/>
              </w:rPr>
            </w:pPr>
            <w:r w:rsidRPr="7DA94E51">
              <w:rPr>
                <w:noProof/>
                <w:sz w:val="22"/>
              </w:rPr>
              <w:t>These</w:t>
            </w:r>
            <w:r w:rsidRPr="00F35FC3">
              <w:rPr>
                <w:noProof/>
                <w:sz w:val="22"/>
              </w:rPr>
              <w:t xml:space="preserve"> resources would </w:t>
            </w:r>
            <w:r>
              <w:rPr>
                <w:noProof/>
                <w:sz w:val="22"/>
              </w:rPr>
              <w:t xml:space="preserve">be related to Requirement 1 and </w:t>
            </w:r>
            <w:r w:rsidRPr="00F35FC3">
              <w:rPr>
                <w:noProof/>
                <w:sz w:val="22"/>
              </w:rPr>
              <w:t>cover in particular:</w:t>
            </w:r>
          </w:p>
          <w:p w:rsidR="00BB1D84" w:rsidRPr="00F35FC3" w:rsidRDefault="00BB1D84">
            <w:pPr>
              <w:rPr>
                <w:noProof/>
                <w:sz w:val="22"/>
                <w:u w:val="single"/>
              </w:rPr>
            </w:pPr>
            <w:r w:rsidRPr="00F35FC3">
              <w:rPr>
                <w:noProof/>
                <w:sz w:val="22"/>
                <w:u w:val="single"/>
              </w:rPr>
              <w:t>Process steering and regulatory coordination</w:t>
            </w:r>
          </w:p>
          <w:p w:rsidR="00BB1D84" w:rsidRPr="00F35FC3" w:rsidRDefault="00BB1D84" w:rsidP="00263AE0">
            <w:pPr>
              <w:numPr>
                <w:ilvl w:val="0"/>
                <w:numId w:val="17"/>
              </w:numPr>
              <w:rPr>
                <w:noProof/>
                <w:sz w:val="22"/>
              </w:rPr>
            </w:pPr>
            <w:r w:rsidRPr="00F35FC3">
              <w:rPr>
                <w:noProof/>
                <w:sz w:val="22"/>
              </w:rPr>
              <w:t xml:space="preserve">Coordinate the overall implementation process with ACER, ENTSO for Electricity, the EU DSO Entity, TSOs, DSOs, Member States and other relevant stakeholders. </w:t>
            </w:r>
          </w:p>
          <w:p w:rsidR="00BB1D84" w:rsidRPr="00F35FC3" w:rsidRDefault="00BB1D84" w:rsidP="00263AE0">
            <w:pPr>
              <w:numPr>
                <w:ilvl w:val="0"/>
                <w:numId w:val="17"/>
              </w:numPr>
              <w:rPr>
                <w:noProof/>
                <w:sz w:val="22"/>
              </w:rPr>
            </w:pPr>
            <w:r w:rsidRPr="00F35FC3">
              <w:rPr>
                <w:noProof/>
                <w:sz w:val="22"/>
              </w:rPr>
              <w:t xml:space="preserve">Manage the preparation of a Commission opinion on the coordinated arrangement communicated under Article 18a(5), including the assessment of governance, participation, technical, operational, transparency and cybersecurity elements. </w:t>
            </w:r>
          </w:p>
          <w:p w:rsidR="00BB1D84" w:rsidRPr="00F35FC3" w:rsidRDefault="00BB1D84" w:rsidP="00263AE0">
            <w:pPr>
              <w:numPr>
                <w:ilvl w:val="0"/>
                <w:numId w:val="17"/>
              </w:numPr>
              <w:rPr>
                <w:noProof/>
                <w:sz w:val="22"/>
              </w:rPr>
            </w:pPr>
            <w:r w:rsidRPr="00F35FC3">
              <w:rPr>
                <w:noProof/>
                <w:sz w:val="22"/>
              </w:rPr>
              <w:t>Ensure coherence of the initiative with the broader Union framework on electricity markets, digitalisation, cybersecurity, data protection, AI and industrial policy.</w:t>
            </w:r>
          </w:p>
          <w:p w:rsidR="00BB1D84" w:rsidRPr="00F35FC3" w:rsidRDefault="00BB1D84">
            <w:pPr>
              <w:rPr>
                <w:noProof/>
                <w:sz w:val="22"/>
                <w:u w:val="single"/>
              </w:rPr>
            </w:pPr>
            <w:r w:rsidRPr="00F35FC3">
              <w:rPr>
                <w:noProof/>
                <w:sz w:val="22"/>
                <w:u w:val="single"/>
              </w:rPr>
              <w:t>Policy and legal follow-up</w:t>
            </w:r>
          </w:p>
          <w:p w:rsidR="00BB1D84" w:rsidRPr="00F35FC3" w:rsidRDefault="00BB1D84" w:rsidP="00263AE0">
            <w:pPr>
              <w:numPr>
                <w:ilvl w:val="0"/>
                <w:numId w:val="17"/>
              </w:numPr>
              <w:rPr>
                <w:noProof/>
                <w:sz w:val="22"/>
              </w:rPr>
            </w:pPr>
            <w:r w:rsidRPr="00F35FC3">
              <w:rPr>
                <w:noProof/>
                <w:sz w:val="22"/>
              </w:rPr>
              <w:t xml:space="preserve">Assess the regulatory implications of ACER recommendations and progress reports on smart grid indicators. </w:t>
            </w:r>
          </w:p>
          <w:p w:rsidR="00BB1D84" w:rsidRPr="00F35FC3" w:rsidRDefault="00BB1D84" w:rsidP="00263AE0">
            <w:pPr>
              <w:numPr>
                <w:ilvl w:val="0"/>
                <w:numId w:val="17"/>
              </w:numPr>
              <w:rPr>
                <w:noProof/>
                <w:sz w:val="22"/>
              </w:rPr>
            </w:pPr>
            <w:r w:rsidRPr="00F35FC3">
              <w:rPr>
                <w:noProof/>
                <w:sz w:val="22"/>
              </w:rPr>
              <w:t xml:space="preserve">Follow up on the implementation of the voluntary electricity grid data exchange framework, including how the Commission opinion is taken into account. </w:t>
            </w:r>
          </w:p>
          <w:p w:rsidR="00BB1D84" w:rsidRPr="00F35FC3" w:rsidRDefault="00BB1D84" w:rsidP="00263AE0">
            <w:pPr>
              <w:numPr>
                <w:ilvl w:val="0"/>
                <w:numId w:val="17"/>
              </w:numPr>
              <w:rPr>
                <w:noProof/>
                <w:sz w:val="22"/>
              </w:rPr>
            </w:pPr>
            <w:r w:rsidRPr="00F35FC3">
              <w:rPr>
                <w:noProof/>
                <w:sz w:val="22"/>
              </w:rPr>
              <w:t xml:space="preserve">Coordinate with relevant Commission services, in particular on issues related to data governance, cybersecurity, AI, and critical infrastructure. </w:t>
            </w:r>
          </w:p>
          <w:p w:rsidR="00BB1D84" w:rsidRPr="00F35FC3" w:rsidRDefault="00BB1D84">
            <w:pPr>
              <w:rPr>
                <w:noProof/>
                <w:sz w:val="22"/>
                <w:u w:val="single"/>
              </w:rPr>
            </w:pPr>
            <w:r w:rsidRPr="00F35FC3">
              <w:rPr>
                <w:noProof/>
                <w:sz w:val="22"/>
                <w:u w:val="single"/>
              </w:rPr>
              <w:t>Stakeholder engagement and monitoring</w:t>
            </w:r>
          </w:p>
          <w:p w:rsidR="00BB1D84" w:rsidRPr="00F35FC3" w:rsidRDefault="00BB1D84" w:rsidP="00263AE0">
            <w:pPr>
              <w:numPr>
                <w:ilvl w:val="0"/>
                <w:numId w:val="17"/>
              </w:numPr>
              <w:rPr>
                <w:noProof/>
                <w:sz w:val="22"/>
              </w:rPr>
            </w:pPr>
            <w:r w:rsidRPr="00F35FC3">
              <w:rPr>
                <w:noProof/>
                <w:sz w:val="22"/>
              </w:rPr>
              <w:t xml:space="preserve">Organise and follow up meetings, expert workshops and targeted consultations with TSOs, DSOs, ENTSO-E, the EU DSO Entity, ACER, industry, research actors and other stakeholders. </w:t>
            </w:r>
          </w:p>
          <w:p w:rsidR="00BB1D84" w:rsidRPr="00F35FC3" w:rsidRDefault="00BB1D84" w:rsidP="00263AE0">
            <w:pPr>
              <w:numPr>
                <w:ilvl w:val="0"/>
                <w:numId w:val="17"/>
              </w:numPr>
              <w:rPr>
                <w:noProof/>
                <w:sz w:val="22"/>
              </w:rPr>
            </w:pPr>
            <w:r w:rsidRPr="00F35FC3">
              <w:rPr>
                <w:noProof/>
                <w:sz w:val="22"/>
              </w:rPr>
              <w:t xml:space="preserve">Monitor implementation progress and support future updates of the implementing framework where necessary. </w:t>
            </w:r>
          </w:p>
          <w:p w:rsidR="00BB1D84" w:rsidRDefault="00BB1D84">
            <w:pPr>
              <w:rPr>
                <w:noProof/>
                <w:sz w:val="22"/>
              </w:rPr>
            </w:pPr>
            <w:r w:rsidRPr="00BC145D">
              <w:rPr>
                <w:noProof/>
                <w:sz w:val="22"/>
              </w:rPr>
              <w:t xml:space="preserve">These tasks are structural and long-term in nature, as they relate to the continuous monitoring, evolution and governance of the digitalisation of electricity networks at Union level. They go beyond the current scope of DG ENER’s activities, which do not include the operational oversight of a Union-level framework for grid data exchange and innovation. </w:t>
            </w:r>
          </w:p>
          <w:p w:rsidR="00BB1D84" w:rsidRPr="00F664F4" w:rsidRDefault="00BB1D84">
            <w:pPr>
              <w:rPr>
                <w:noProof/>
                <w:sz w:val="22"/>
              </w:rPr>
            </w:pPr>
            <w:r w:rsidRPr="00F664F4">
              <w:rPr>
                <w:noProof/>
                <w:sz w:val="22"/>
              </w:rPr>
              <w:t>This would also include limited implementation follow-up related to Article</w:t>
            </w:r>
            <w:r w:rsidR="00126532">
              <w:rPr>
                <w:rFonts w:eastAsia="Times New Roman"/>
                <w:noProof/>
              </w:rPr>
              <w:t> </w:t>
            </w:r>
            <w:r w:rsidRPr="00F664F4">
              <w:rPr>
                <w:noProof/>
                <w:sz w:val="22"/>
              </w:rPr>
              <w:t>18b on smart metering systems.</w:t>
            </w:r>
          </w:p>
          <w:p w:rsidR="00BB1D84" w:rsidRDefault="00BB1D84">
            <w:pPr>
              <w:rPr>
                <w:noProof/>
                <w:sz w:val="22"/>
              </w:rPr>
            </w:pPr>
          </w:p>
          <w:p w:rsidR="00BB1D84" w:rsidRDefault="00BB1D84">
            <w:pPr>
              <w:rPr>
                <w:noProof/>
                <w:sz w:val="22"/>
                <w:u w:val="single"/>
              </w:rPr>
            </w:pPr>
            <w:r w:rsidRPr="331E5540">
              <w:rPr>
                <w:noProof/>
                <w:sz w:val="22"/>
                <w:u w:val="single"/>
              </w:rPr>
              <w:t>DG JRC</w:t>
            </w:r>
          </w:p>
          <w:p w:rsidR="00BB1D84" w:rsidRPr="00BB1D84" w:rsidRDefault="00BB1D84">
            <w:pPr>
              <w:rPr>
                <w:noProof/>
                <w:sz w:val="22"/>
              </w:rPr>
            </w:pPr>
            <w:r w:rsidRPr="00D01CAA">
              <w:rPr>
                <w:noProof/>
                <w:sz w:val="22"/>
              </w:rPr>
              <w:t xml:space="preserve">DG JRC has conducted a detailed assessment of the technical and scientific support required to implement the proposal and has reviewed the possibility of internal redeployment. </w:t>
            </w:r>
            <w:r w:rsidRPr="1EFEA093">
              <w:rPr>
                <w:noProof/>
                <w:sz w:val="22"/>
              </w:rPr>
              <w:t>Considering that</w:t>
            </w:r>
            <w:r w:rsidRPr="00D01CAA">
              <w:rPr>
                <w:noProof/>
                <w:sz w:val="22"/>
              </w:rPr>
              <w:t xml:space="preserve"> some synergies exist with ongoing activities in the areas of digitalisation </w:t>
            </w:r>
            <w:r w:rsidRPr="58E4F7AD">
              <w:rPr>
                <w:noProof/>
                <w:sz w:val="22"/>
              </w:rPr>
              <w:t xml:space="preserve">of the energy system </w:t>
            </w:r>
            <w:r w:rsidRPr="00D01CAA">
              <w:rPr>
                <w:noProof/>
                <w:sz w:val="22"/>
              </w:rPr>
              <w:t xml:space="preserve">and cybersecurity, </w:t>
            </w:r>
            <w:r w:rsidRPr="36EDF3C5">
              <w:rPr>
                <w:noProof/>
                <w:sz w:val="22"/>
              </w:rPr>
              <w:t>to</w:t>
            </w:r>
            <w:r w:rsidRPr="00384C4F">
              <w:rPr>
                <w:noProof/>
                <w:sz w:val="22"/>
              </w:rPr>
              <w:t xml:space="preserve"> implement these additional activities</w:t>
            </w:r>
            <w:r>
              <w:rPr>
                <w:noProof/>
                <w:sz w:val="22"/>
              </w:rPr>
              <w:t xml:space="preserve">, </w:t>
            </w:r>
            <w:r w:rsidRPr="00384C4F">
              <w:rPr>
                <w:noProof/>
                <w:sz w:val="22"/>
              </w:rPr>
              <w:t xml:space="preserve">with an effort of </w:t>
            </w:r>
            <w:r w:rsidRPr="004A5AD3">
              <w:rPr>
                <w:b/>
                <w:bCs/>
                <w:noProof/>
                <w:sz w:val="22"/>
              </w:rPr>
              <w:t xml:space="preserve">0.5 AD FTE – redeployed from its internal resources </w:t>
            </w:r>
            <w:r>
              <w:rPr>
                <w:noProof/>
                <w:sz w:val="22"/>
              </w:rPr>
              <w:t>-</w:t>
            </w:r>
            <w:r w:rsidRPr="0B4E0E0E">
              <w:rPr>
                <w:noProof/>
                <w:sz w:val="22"/>
              </w:rPr>
              <w:t xml:space="preserve"> </w:t>
            </w:r>
            <w:r>
              <w:rPr>
                <w:noProof/>
                <w:sz w:val="22"/>
              </w:rPr>
              <w:t xml:space="preserve">which </w:t>
            </w:r>
            <w:r w:rsidRPr="0B4E0E0E">
              <w:rPr>
                <w:noProof/>
                <w:sz w:val="22"/>
              </w:rPr>
              <w:t xml:space="preserve">will be dedicated to the support to the development of implementing acts. </w:t>
            </w:r>
            <w:r w:rsidRPr="009C04D5">
              <w:rPr>
                <w:noProof/>
                <w:sz w:val="22"/>
              </w:rPr>
              <w:t xml:space="preserve"> This includes providing technical input for the preparation of implementing acts under Article 61.5b, including on data models, ontologies, interfaces, interoperability architectures and technical specifications.</w:t>
            </w:r>
          </w:p>
        </w:tc>
      </w:tr>
      <w:tr w:rsidR="00BB1D84" w:rsidTr="00BB1D84">
        <w:tc>
          <w:tcPr>
            <w:tcW w:w="3240" w:type="dxa"/>
          </w:tcPr>
          <w:p w:rsidR="00BB1D84" w:rsidRPr="00D01CAA" w:rsidRDefault="00BB1D84">
            <w:pPr>
              <w:spacing w:before="60" w:after="60"/>
              <w:rPr>
                <w:noProof/>
                <w:sz w:val="22"/>
                <w:szCs w:val="24"/>
              </w:rPr>
            </w:pPr>
            <w:r w:rsidRPr="00D01CAA">
              <w:rPr>
                <w:noProof/>
                <w:sz w:val="22"/>
                <w:szCs w:val="24"/>
              </w:rPr>
              <w:t>External staff</w:t>
            </w:r>
          </w:p>
        </w:tc>
        <w:tc>
          <w:tcPr>
            <w:tcW w:w="6656" w:type="dxa"/>
          </w:tcPr>
          <w:p w:rsidR="00BB1D84" w:rsidRPr="00D01CAA" w:rsidRDefault="00BB1D84">
            <w:pPr>
              <w:rPr>
                <w:noProof/>
                <w:sz w:val="22"/>
                <w:szCs w:val="24"/>
                <w:u w:val="single"/>
              </w:rPr>
            </w:pPr>
            <w:r w:rsidRPr="00D01CAA">
              <w:rPr>
                <w:noProof/>
                <w:sz w:val="22"/>
                <w:szCs w:val="24"/>
                <w:u w:val="single"/>
              </w:rPr>
              <w:t>DG ENER</w:t>
            </w:r>
          </w:p>
          <w:p w:rsidR="00BB1D84" w:rsidRDefault="00BB1D84">
            <w:pPr>
              <w:rPr>
                <w:noProof/>
                <w:sz w:val="22"/>
                <w:szCs w:val="24"/>
                <w:lang w:val="en-IE"/>
              </w:rPr>
            </w:pPr>
            <w:r>
              <w:rPr>
                <w:b/>
                <w:bCs/>
                <w:noProof/>
                <w:sz w:val="22"/>
                <w:szCs w:val="24"/>
                <w:lang w:val="en-IE"/>
              </w:rPr>
              <w:t>2</w:t>
            </w:r>
            <w:r w:rsidRPr="00D01CAA">
              <w:rPr>
                <w:b/>
                <w:bCs/>
                <w:noProof/>
                <w:sz w:val="22"/>
                <w:szCs w:val="24"/>
                <w:lang w:val="en-IE"/>
              </w:rPr>
              <w:t xml:space="preserve"> temporary Contract Agent (CA) FTEs</w:t>
            </w:r>
            <w:r w:rsidRPr="00D01CAA">
              <w:rPr>
                <w:noProof/>
                <w:sz w:val="22"/>
                <w:szCs w:val="24"/>
                <w:lang w:val="en-IE"/>
              </w:rPr>
              <w:t xml:space="preserve"> are required to support the preparation, drafting and adoption of </w:t>
            </w:r>
            <w:r w:rsidRPr="00D01CAA">
              <w:rPr>
                <w:b/>
                <w:bCs/>
                <w:noProof/>
                <w:sz w:val="22"/>
                <w:szCs w:val="24"/>
                <w:lang w:val="en-IE"/>
              </w:rPr>
              <w:t>implementing acts</w:t>
            </w:r>
            <w:r w:rsidRPr="00D01CAA">
              <w:rPr>
                <w:noProof/>
                <w:sz w:val="22"/>
                <w:szCs w:val="24"/>
                <w:lang w:val="en-IE"/>
              </w:rPr>
              <w:t xml:space="preserve"> under Article 61 (</w:t>
            </w:r>
            <w:r>
              <w:rPr>
                <w:noProof/>
                <w:sz w:val="22"/>
                <w:szCs w:val="24"/>
                <w:lang w:val="en-IE"/>
              </w:rPr>
              <w:t xml:space="preserve">tariff methodology and </w:t>
            </w:r>
            <w:r w:rsidRPr="00D01CAA">
              <w:rPr>
                <w:noProof/>
                <w:sz w:val="22"/>
                <w:szCs w:val="24"/>
                <w:lang w:val="en-IE"/>
              </w:rPr>
              <w:t xml:space="preserve">smart grid indicators </w:t>
            </w:r>
            <w:r>
              <w:rPr>
                <w:noProof/>
                <w:sz w:val="22"/>
                <w:szCs w:val="24"/>
                <w:lang w:val="en-IE"/>
              </w:rPr>
              <w:t>&amp;</w:t>
            </w:r>
            <w:r w:rsidRPr="00D01CAA">
              <w:rPr>
                <w:noProof/>
                <w:sz w:val="22"/>
                <w:szCs w:val="24"/>
                <w:lang w:val="en-IE"/>
              </w:rPr>
              <w:t xml:space="preserve"> data reuse)</w:t>
            </w:r>
            <w:r>
              <w:rPr>
                <w:noProof/>
                <w:sz w:val="22"/>
                <w:szCs w:val="24"/>
                <w:lang w:val="en-IE"/>
              </w:rPr>
              <w:t xml:space="preserve"> related to the following requirements:</w:t>
            </w:r>
          </w:p>
          <w:p w:rsidR="00BB1D84" w:rsidRDefault="00BB1D84" w:rsidP="00263AE0">
            <w:pPr>
              <w:pStyle w:val="ListParagraph"/>
              <w:numPr>
                <w:ilvl w:val="0"/>
                <w:numId w:val="17"/>
              </w:numPr>
              <w:rPr>
                <w:noProof/>
                <w:sz w:val="22"/>
                <w:szCs w:val="24"/>
                <w:lang w:val="en-IE"/>
              </w:rPr>
            </w:pPr>
            <w:r w:rsidRPr="00CA7376">
              <w:rPr>
                <w:noProof/>
                <w:sz w:val="22"/>
                <w:szCs w:val="24"/>
                <w:lang w:val="en-IE"/>
              </w:rPr>
              <w:t xml:space="preserve">Requirement 2: The Commission is empowered to adopt implementing acts setting out guidelines to enable the lawful, secure and controlled reuse of electricity grid data for research and innovation public-interest purposes supporting the operation and optimisation of the electricity system pursuant to Article 18a (Article 61(5b)). This includes technical and legal preparation, stakeholder consultation, drafting and implementation follow-up. This task requires an estimated 0.5 FTE from DG ENER. </w:t>
            </w:r>
            <w:r w:rsidRPr="7DD7521C">
              <w:rPr>
                <w:noProof/>
                <w:sz w:val="22"/>
                <w:lang w:val="en-IE"/>
              </w:rPr>
              <w:t>These</w:t>
            </w:r>
            <w:r w:rsidRPr="00CA7376">
              <w:rPr>
                <w:noProof/>
                <w:sz w:val="22"/>
                <w:szCs w:val="24"/>
                <w:lang w:val="en-IE"/>
              </w:rPr>
              <w:t xml:space="preserve"> resources would cover in particular preparing, drafting and steering the adoption of implementing acts under Article 61.5a and 5b, including interservice consultation and consultation of Member States under the relevant comitology procedure. </w:t>
            </w:r>
          </w:p>
          <w:p w:rsidR="00BB1D84" w:rsidRDefault="00BB1D84" w:rsidP="00263AE0">
            <w:pPr>
              <w:pStyle w:val="ListParagraph"/>
              <w:numPr>
                <w:ilvl w:val="0"/>
                <w:numId w:val="17"/>
              </w:numPr>
              <w:rPr>
                <w:noProof/>
                <w:sz w:val="22"/>
                <w:lang w:val="en-IE"/>
              </w:rPr>
            </w:pPr>
            <w:r w:rsidRPr="7DA94E51">
              <w:rPr>
                <w:noProof/>
                <w:sz w:val="22"/>
                <w:lang w:val="en-IE"/>
              </w:rPr>
              <w:t>Requirement 3: The Commission may adopt an implementing act setting out guidelines on a harmonised methodology on tariffs pursuant to Article 18 (Article 61(5a)). This task requires additional analytical, regulatory and coordination capacity within DG ENER, including an estimated 1 FTE for the preparation of an implementing act. These resources would cover in particular policy and legal follow-up.</w:t>
            </w:r>
          </w:p>
          <w:p w:rsidR="00BB1D84" w:rsidRPr="00CA7376" w:rsidRDefault="00BB1D84" w:rsidP="00263AE0">
            <w:pPr>
              <w:pStyle w:val="ListParagraph"/>
              <w:numPr>
                <w:ilvl w:val="0"/>
                <w:numId w:val="17"/>
              </w:numPr>
              <w:rPr>
                <w:noProof/>
                <w:sz w:val="22"/>
                <w:lang w:val="en-IE"/>
              </w:rPr>
            </w:pPr>
            <w:r w:rsidRPr="7DA94E51">
              <w:rPr>
                <w:noProof/>
                <w:sz w:val="22"/>
                <w:lang w:val="en-IE"/>
              </w:rPr>
              <w:t>Requirement 4: The Commission may adopt an implementing act on smart grid indicators pursuant to Article 18a (Article 61(5a)). This task requires nalytical, regulatory and coordination capacity within DG ENER, including an estimated 0.5 FTE for the preparation of an implementing act. These resources would cover in particular policy and legal follow-up.</w:t>
            </w:r>
          </w:p>
          <w:p w:rsidR="00BB1D84" w:rsidRDefault="00BB1D84">
            <w:pPr>
              <w:rPr>
                <w:noProof/>
                <w:sz w:val="22"/>
                <w:lang w:val="en-IE"/>
              </w:rPr>
            </w:pPr>
            <w:r w:rsidRPr="7DA94E51">
              <w:rPr>
                <w:noProof/>
                <w:sz w:val="22"/>
                <w:lang w:val="en-IE"/>
              </w:rPr>
              <w:t xml:space="preserve">These activities are more concentrated in the initial phase of implementation and during periodic updates of the implementing framework. They require significant analytical and coordination capacity over a defined period, but are not expected to require permanent reinforcement once the main implementing framework is established. </w:t>
            </w:r>
          </w:p>
          <w:p w:rsidR="00BB1D84" w:rsidRDefault="00BB1D84">
            <w:pPr>
              <w:rPr>
                <w:rFonts w:asciiTheme="minorHAnsi" w:eastAsiaTheme="minorEastAsia" w:hAnsiTheme="minorHAnsi" w:cstheme="minorBidi"/>
                <w:noProof/>
                <w:sz w:val="22"/>
              </w:rPr>
            </w:pPr>
            <w:r w:rsidRPr="00F664F4">
              <w:rPr>
                <w:noProof/>
                <w:sz w:val="22"/>
                <w:u w:val="single"/>
              </w:rPr>
              <w:t>JRC</w:t>
            </w:r>
            <w:r>
              <w:rPr>
                <w:noProof/>
              </w:rPr>
              <w:br/>
            </w:r>
            <w:r w:rsidRPr="00D01CAA">
              <w:rPr>
                <w:noProof/>
                <w:sz w:val="22"/>
              </w:rPr>
              <w:t xml:space="preserve">DG JRC has conducted a detailed assessment of the technical and scientific support required to implement the proposal and has reviewed the possibility of internal redeployment. </w:t>
            </w:r>
            <w:r w:rsidRPr="1EFEA093">
              <w:rPr>
                <w:noProof/>
                <w:sz w:val="22"/>
              </w:rPr>
              <w:t>Considering that</w:t>
            </w:r>
            <w:r w:rsidRPr="00D01CAA">
              <w:rPr>
                <w:noProof/>
                <w:sz w:val="22"/>
              </w:rPr>
              <w:t xml:space="preserve"> some synergies exist with ongoing activities in the areas of digitalisation </w:t>
            </w:r>
            <w:r w:rsidRPr="58E4F7AD">
              <w:rPr>
                <w:noProof/>
                <w:sz w:val="22"/>
              </w:rPr>
              <w:t xml:space="preserve">of the energy system </w:t>
            </w:r>
            <w:r w:rsidRPr="00D01CAA">
              <w:rPr>
                <w:noProof/>
                <w:sz w:val="22"/>
              </w:rPr>
              <w:t xml:space="preserve">and cybersecurity, </w:t>
            </w:r>
            <w:r w:rsidRPr="36EDF3C5">
              <w:rPr>
                <w:noProof/>
                <w:sz w:val="22"/>
              </w:rPr>
              <w:t>to</w:t>
            </w:r>
            <w:r w:rsidRPr="00384C4F">
              <w:rPr>
                <w:noProof/>
                <w:sz w:val="22"/>
              </w:rPr>
              <w:t xml:space="preserve"> implement these additional activities</w:t>
            </w:r>
            <w:r>
              <w:rPr>
                <w:noProof/>
                <w:sz w:val="22"/>
              </w:rPr>
              <w:t xml:space="preserve">, </w:t>
            </w:r>
            <w:r w:rsidRPr="00384C4F">
              <w:rPr>
                <w:noProof/>
                <w:sz w:val="22"/>
              </w:rPr>
              <w:t xml:space="preserve">with an effort of </w:t>
            </w:r>
            <w:r w:rsidRPr="009C04D5">
              <w:rPr>
                <w:b/>
                <w:bCs/>
                <w:noProof/>
                <w:sz w:val="22"/>
              </w:rPr>
              <w:t xml:space="preserve">1.5 CA FTEs, the JRC will redeploy its internal resources </w:t>
            </w:r>
            <w:r w:rsidRPr="00D01CAA">
              <w:rPr>
                <w:noProof/>
                <w:sz w:val="22"/>
              </w:rPr>
              <w:t xml:space="preserve">to </w:t>
            </w:r>
            <w:r w:rsidRPr="62AA9660">
              <w:rPr>
                <w:noProof/>
                <w:sz w:val="22"/>
              </w:rPr>
              <w:t xml:space="preserve">provide </w:t>
            </w:r>
            <w:r w:rsidRPr="009C04D5">
              <w:rPr>
                <w:noProof/>
                <w:sz w:val="22"/>
              </w:rPr>
              <w:t>technical and scientific advice for the development of the voluntary secure electricity data exchange framework under Article 18a(5). This includes the provision of guidelines on testing and validation approaches, and essential cybersecurity requirements.</w:t>
            </w:r>
            <w:r w:rsidRPr="3B413C48">
              <w:rPr>
                <w:rFonts w:asciiTheme="minorHAnsi" w:eastAsiaTheme="minorEastAsia" w:hAnsiTheme="minorHAnsi" w:cstheme="minorBidi"/>
                <w:noProof/>
                <w:sz w:val="22"/>
              </w:rPr>
              <w:t xml:space="preserve"> </w:t>
            </w:r>
          </w:p>
          <w:p w:rsidR="00BB1D84" w:rsidRDefault="00BB1D84">
            <w:pPr>
              <w:rPr>
                <w:noProof/>
                <w:sz w:val="22"/>
              </w:rPr>
            </w:pPr>
            <w:r>
              <w:rPr>
                <w:noProof/>
                <w:sz w:val="22"/>
              </w:rPr>
              <w:t xml:space="preserve">Regarding the data exchange framework, </w:t>
            </w:r>
            <w:r w:rsidRPr="62AA9660">
              <w:rPr>
                <w:noProof/>
                <w:sz w:val="22"/>
              </w:rPr>
              <w:t>the</w:t>
            </w:r>
            <w:r w:rsidRPr="00413D98">
              <w:rPr>
                <w:noProof/>
                <w:sz w:val="22"/>
              </w:rPr>
              <w:t xml:space="preserve"> JRC support would focus in particular on:</w:t>
            </w:r>
          </w:p>
          <w:p w:rsidR="00BB1D84" w:rsidRPr="00413D98" w:rsidRDefault="00BB1D84" w:rsidP="00263AE0">
            <w:pPr>
              <w:numPr>
                <w:ilvl w:val="0"/>
                <w:numId w:val="18"/>
              </w:numPr>
              <w:rPr>
                <w:noProof/>
                <w:sz w:val="22"/>
              </w:rPr>
            </w:pPr>
            <w:r w:rsidRPr="001A72A0">
              <w:rPr>
                <w:noProof/>
                <w:sz w:val="22"/>
              </w:rPr>
              <w:t>Support the formulation of timely, policy relevant use cases related to electricity grid planning, operation and optimisation</w:t>
            </w:r>
            <w:r w:rsidRPr="00413D98">
              <w:rPr>
                <w:noProof/>
                <w:sz w:val="22"/>
              </w:rPr>
              <w:t xml:space="preserve">. </w:t>
            </w:r>
          </w:p>
          <w:p w:rsidR="00BB1D84" w:rsidRPr="00413D98" w:rsidRDefault="00BB1D84" w:rsidP="00263AE0">
            <w:pPr>
              <w:numPr>
                <w:ilvl w:val="0"/>
                <w:numId w:val="18"/>
              </w:numPr>
              <w:rPr>
                <w:noProof/>
                <w:sz w:val="22"/>
              </w:rPr>
            </w:pPr>
            <w:r w:rsidRPr="00413D98">
              <w:rPr>
                <w:noProof/>
                <w:sz w:val="22"/>
              </w:rPr>
              <w:t xml:space="preserve">Supporting the voluntary secure electricity grid data exchange framework through </w:t>
            </w:r>
            <w:r>
              <w:rPr>
                <w:noProof/>
                <w:sz w:val="22"/>
              </w:rPr>
              <w:t xml:space="preserve">providing methodologies for </w:t>
            </w:r>
            <w:r w:rsidRPr="00413D98">
              <w:rPr>
                <w:noProof/>
                <w:sz w:val="22"/>
              </w:rPr>
              <w:t xml:space="preserve">independent testing, benchmarking and validation methodologies for innovative digital tools </w:t>
            </w:r>
            <w:r>
              <w:rPr>
                <w:noProof/>
                <w:sz w:val="22"/>
              </w:rPr>
              <w:t xml:space="preserve">to be developed under article 18a(5) </w:t>
            </w:r>
            <w:r w:rsidRPr="00413D98">
              <w:rPr>
                <w:noProof/>
                <w:sz w:val="22"/>
              </w:rPr>
              <w:t xml:space="preserve">relevant to electricity grid operation and optimisation. </w:t>
            </w:r>
          </w:p>
          <w:p w:rsidR="00BB1D84" w:rsidRPr="00926B2F" w:rsidRDefault="00BB1D84">
            <w:pPr>
              <w:rPr>
                <w:noProof/>
                <w:sz w:val="22"/>
                <w:szCs w:val="24"/>
              </w:rPr>
            </w:pPr>
          </w:p>
        </w:tc>
      </w:tr>
    </w:tbl>
    <w:p w:rsidR="00BB1D84" w:rsidRPr="00235FE8" w:rsidRDefault="00BB1D84" w:rsidP="00BB1D84">
      <w:pPr>
        <w:pStyle w:val="ManualHeading3"/>
        <w:rPr>
          <w:i w:val="0"/>
          <w:noProof/>
        </w:rPr>
      </w:pPr>
      <w:bookmarkStart w:id="166" w:name="_Toc234245525"/>
      <w:r>
        <w:rPr>
          <w:noProof/>
        </w:rPr>
        <w:t>3.2.5.</w:t>
      </w:r>
      <w:r>
        <w:rPr>
          <w:noProof/>
        </w:rPr>
        <w:tab/>
      </w:r>
      <w:r w:rsidRPr="000C2E25">
        <w:rPr>
          <w:noProof/>
        </w:rPr>
        <w:t xml:space="preserve">Overview of estimated impact on </w:t>
      </w:r>
      <w:r>
        <w:rPr>
          <w:noProof/>
        </w:rPr>
        <w:t>d</w:t>
      </w:r>
      <w:r w:rsidRPr="000C2E25">
        <w:rPr>
          <w:noProof/>
        </w:rPr>
        <w:t>igital</w:t>
      </w:r>
      <w:r>
        <w:rPr>
          <w:noProof/>
        </w:rPr>
        <w:t xml:space="preserve"> technology-</w:t>
      </w:r>
      <w:r w:rsidRPr="000C2E25">
        <w:rPr>
          <w:noProof/>
        </w:rPr>
        <w:t xml:space="preserve">related </w:t>
      </w:r>
      <w:r>
        <w:rPr>
          <w:noProof/>
        </w:rPr>
        <w:t>investments</w:t>
      </w:r>
      <w:bookmarkEnd w:id="166"/>
    </w:p>
    <w:p w:rsidR="00BB1D84" w:rsidRPr="008C5AAB" w:rsidRDefault="00BB1D84" w:rsidP="00BB1D84">
      <w:pPr>
        <w:pStyle w:val="Text1"/>
        <w:spacing w:line="259" w:lineRule="auto"/>
        <w:rPr>
          <w:noProof/>
        </w:rPr>
      </w:pPr>
      <w:r w:rsidRPr="008C5AAB">
        <w:rPr>
          <w:noProof/>
        </w:rPr>
        <w:t xml:space="preserve">Compulsory: the best estimate of the </w:t>
      </w:r>
      <w:r>
        <w:rPr>
          <w:noProof/>
        </w:rPr>
        <w:t>d</w:t>
      </w:r>
      <w:r w:rsidRPr="008C5AAB">
        <w:rPr>
          <w:noProof/>
        </w:rPr>
        <w:t>igital</w:t>
      </w:r>
      <w:r>
        <w:rPr>
          <w:noProof/>
        </w:rPr>
        <w:t xml:space="preserve"> technology-related</w:t>
      </w:r>
      <w:r w:rsidRPr="008C5AAB">
        <w:rPr>
          <w:noProof/>
        </w:rPr>
        <w:t xml:space="preserve"> </w:t>
      </w:r>
      <w:r>
        <w:rPr>
          <w:noProof/>
        </w:rPr>
        <w:t>investments</w:t>
      </w:r>
      <w:r w:rsidRPr="008C5AAB">
        <w:rPr>
          <w:noProof/>
        </w:rPr>
        <w:t xml:space="preserve"> entailed by the proposal/initiative should be included in the table below. </w:t>
      </w:r>
    </w:p>
    <w:p w:rsidR="00BB1D84" w:rsidRPr="008C5AAB" w:rsidRDefault="00BB1D84" w:rsidP="00BB1D84">
      <w:pPr>
        <w:pStyle w:val="Text1"/>
        <w:spacing w:line="259" w:lineRule="auto"/>
        <w:rPr>
          <w:noProof/>
        </w:rPr>
      </w:pPr>
      <w:r w:rsidRPr="008C5AAB">
        <w:rPr>
          <w:noProof/>
        </w:rPr>
        <w:t>Exceptionally, when required for the implementation of the proposal/init</w:t>
      </w:r>
      <w:r>
        <w:rPr>
          <w:noProof/>
        </w:rPr>
        <w:t>i</w:t>
      </w:r>
      <w:r w:rsidRPr="008C5AAB">
        <w:rPr>
          <w:noProof/>
        </w:rPr>
        <w:t xml:space="preserve">ative, the appropriations under Heading 7 should be presented in the designated line. </w:t>
      </w:r>
    </w:p>
    <w:p w:rsidR="00BB1D84" w:rsidRDefault="00BB1D84" w:rsidP="00BB1D84">
      <w:pPr>
        <w:pStyle w:val="Text1"/>
        <w:spacing w:line="259" w:lineRule="auto"/>
        <w:rPr>
          <w:noProof/>
        </w:rPr>
      </w:pPr>
      <w:r w:rsidRPr="008C5AAB">
        <w:rPr>
          <w:noProof/>
        </w:rPr>
        <w:t xml:space="preserve">The appropriations under Headings 1-6 should be reflected as “Policy IT expenditure on operational programmes”. This expenditure refers to the operational budget to be used to </w:t>
      </w:r>
      <w:r>
        <w:rPr>
          <w:noProof/>
        </w:rPr>
        <w:t xml:space="preserve">re-use/ buy/ </w:t>
      </w:r>
      <w:r w:rsidRPr="008C5AAB">
        <w:rPr>
          <w:noProof/>
        </w:rPr>
        <w:t xml:space="preserve">develop IT platforms/tools directly linked to the implementation of the initiative and their associated </w:t>
      </w:r>
      <w:r>
        <w:rPr>
          <w:noProof/>
        </w:rPr>
        <w:t>investments</w:t>
      </w:r>
      <w:r w:rsidRPr="008C5AAB">
        <w:rPr>
          <w:noProof/>
        </w:rPr>
        <w:t xml:space="preserve"> (e.g. licences, studies, data storage etc). The information provided in this table should be co</w:t>
      </w:r>
      <w:r>
        <w:rPr>
          <w:noProof/>
        </w:rPr>
        <w:t>nsistent</w:t>
      </w:r>
      <w:r w:rsidRPr="008C5AAB">
        <w:rPr>
          <w:noProof/>
        </w:rPr>
        <w:t xml:space="preserve"> with details presented under </w:t>
      </w:r>
      <w:r>
        <w:rPr>
          <w:noProof/>
        </w:rPr>
        <w:t>S</w:t>
      </w:r>
      <w:r w:rsidRPr="008C5AAB">
        <w:rPr>
          <w:noProof/>
        </w:rPr>
        <w:t xml:space="preserve">ection 4 “Digital </w:t>
      </w:r>
      <w:r>
        <w:rPr>
          <w:noProof/>
        </w:rPr>
        <w:t>dimensions</w:t>
      </w:r>
      <w:r w:rsidRPr="008C5AAB">
        <w:rPr>
          <w:noProof/>
        </w:rPr>
        <w:t>”.</w:t>
      </w:r>
    </w:p>
    <w:tbl>
      <w:tblPr>
        <w:tblW w:w="0" w:type="auto"/>
        <w:tblLayout w:type="fixed"/>
        <w:tblLook w:val="04A0" w:firstRow="1" w:lastRow="0" w:firstColumn="1" w:lastColumn="0" w:noHBand="0" w:noVBand="1"/>
      </w:tblPr>
      <w:tblGrid>
        <w:gridCol w:w="3214"/>
        <w:gridCol w:w="835"/>
        <w:gridCol w:w="835"/>
        <w:gridCol w:w="835"/>
        <w:gridCol w:w="835"/>
        <w:gridCol w:w="981"/>
      </w:tblGrid>
      <w:tr w:rsidR="00BB1D84">
        <w:trPr>
          <w:trHeight w:val="525"/>
        </w:trPr>
        <w:tc>
          <w:tcPr>
            <w:tcW w:w="321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TOTAL</w:t>
            </w:r>
            <w:r>
              <w:rPr>
                <w:b/>
                <w:bCs/>
                <w:noProof/>
                <w:color w:val="000000" w:themeColor="text1"/>
                <w:sz w:val="18"/>
                <w:szCs w:val="18"/>
              </w:rPr>
              <w:t xml:space="preserve"> </w:t>
            </w:r>
            <w:r w:rsidRPr="52050D6D">
              <w:rPr>
                <w:b/>
                <w:bCs/>
                <w:noProof/>
                <w:color w:val="000000" w:themeColor="text1"/>
                <w:sz w:val="18"/>
                <w:szCs w:val="18"/>
              </w:rPr>
              <w:t>Digital and IT appropriations</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BB1D84" w:rsidRDefault="00BB1D84">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BB1D84" w:rsidRDefault="00BB1D84">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BB1D84" w:rsidRDefault="00BB1D84">
            <w:pPr>
              <w:spacing w:before="0" w:after="0"/>
              <w:jc w:val="center"/>
              <w:rPr>
                <w:noProof/>
                <w:color w:val="000000" w:themeColor="text1"/>
                <w:sz w:val="18"/>
                <w:szCs w:val="18"/>
              </w:rPr>
            </w:pPr>
            <w:r w:rsidRPr="52050D6D">
              <w:rPr>
                <w:noProof/>
                <w:color w:val="000000" w:themeColor="text1"/>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BB1D84" w:rsidRDefault="00BB1D84">
            <w:pPr>
              <w:spacing w:before="0" w:after="0"/>
              <w:jc w:val="center"/>
              <w:rPr>
                <w:noProof/>
                <w:color w:val="000000" w:themeColor="text1"/>
                <w:sz w:val="18"/>
                <w:szCs w:val="18"/>
              </w:rPr>
            </w:pPr>
            <w:r w:rsidRPr="52050D6D">
              <w:rPr>
                <w:noProof/>
                <w:color w:val="000000" w:themeColor="text1"/>
                <w:sz w:val="18"/>
                <w:szCs w:val="18"/>
              </w:rPr>
              <w:t>Year</w:t>
            </w:r>
          </w:p>
        </w:tc>
        <w:tc>
          <w:tcPr>
            <w:tcW w:w="981"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TOTAL MFF 2021 - 2027</w:t>
            </w:r>
          </w:p>
        </w:tc>
      </w:tr>
      <w:tr w:rsidR="00BB1D84">
        <w:trPr>
          <w:trHeight w:val="525"/>
        </w:trPr>
        <w:tc>
          <w:tcPr>
            <w:tcW w:w="3214" w:type="dxa"/>
            <w:vMerge/>
            <w:tcBorders>
              <w:left w:val="single" w:sz="0" w:space="0" w:color="auto"/>
              <w:bottom w:val="single" w:sz="0" w:space="0" w:color="auto"/>
              <w:right w:val="single" w:sz="0" w:space="0" w:color="auto"/>
            </w:tcBorders>
            <w:vAlign w:val="center"/>
          </w:tcPr>
          <w:p w:rsidR="00BB1D84" w:rsidRDefault="00BB1D84">
            <w:pPr>
              <w:rPr>
                <w:noProof/>
              </w:rPr>
            </w:pPr>
          </w:p>
        </w:tc>
        <w:tc>
          <w:tcPr>
            <w:tcW w:w="835" w:type="dxa"/>
            <w:tcBorders>
              <w:top w:val="nil"/>
              <w:left w:val="nil"/>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8"/>
                <w:szCs w:val="18"/>
              </w:rPr>
            </w:pPr>
            <w:r w:rsidRPr="52050D6D">
              <w:rPr>
                <w:b/>
                <w:bCs/>
                <w:noProof/>
                <w:color w:val="000000" w:themeColor="text1"/>
                <w:sz w:val="18"/>
                <w:szCs w:val="18"/>
              </w:rPr>
              <w:t>2027</w:t>
            </w:r>
          </w:p>
        </w:tc>
        <w:tc>
          <w:tcPr>
            <w:tcW w:w="981" w:type="dxa"/>
            <w:vMerge/>
            <w:tcBorders>
              <w:left w:val="single" w:sz="0" w:space="0" w:color="auto"/>
              <w:bottom w:val="single" w:sz="0" w:space="0" w:color="auto"/>
              <w:right w:val="single" w:sz="0" w:space="0" w:color="auto"/>
            </w:tcBorders>
            <w:vAlign w:val="center"/>
          </w:tcPr>
          <w:p w:rsidR="00BB1D84" w:rsidRDefault="00BB1D84">
            <w:pPr>
              <w:rPr>
                <w:noProof/>
              </w:rPr>
            </w:pPr>
          </w:p>
        </w:tc>
      </w:tr>
      <w:tr w:rsidR="00BB1D84">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left"/>
              <w:rPr>
                <w:b/>
                <w:bCs/>
                <w:noProof/>
                <w:sz w:val="16"/>
                <w:szCs w:val="16"/>
              </w:rPr>
            </w:pPr>
            <w:r w:rsidRPr="52050D6D">
              <w:rPr>
                <w:b/>
                <w:bCs/>
                <w:noProof/>
                <w:sz w:val="16"/>
                <w:szCs w:val="16"/>
              </w:rPr>
              <w:t>HEADING 7</w:t>
            </w:r>
          </w:p>
        </w:tc>
      </w:tr>
      <w:tr w:rsidR="00BB1D84">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left"/>
              <w:rPr>
                <w:noProof/>
                <w:color w:val="000000" w:themeColor="text1"/>
                <w:sz w:val="16"/>
                <w:szCs w:val="16"/>
              </w:rPr>
            </w:pPr>
            <w:r w:rsidRPr="52050D6D">
              <w:rPr>
                <w:rFonts w:ascii="Arial Narrow" w:eastAsia="Arial Narrow" w:hAnsi="Arial Narrow" w:cs="Arial Narrow"/>
                <w:noProof/>
                <w:color w:val="000000" w:themeColor="text1"/>
                <w:sz w:val="20"/>
                <w:szCs w:val="20"/>
              </w:rPr>
              <w:t>IT expenditure (corporate)</w:t>
            </w:r>
            <w:r w:rsidRPr="52050D6D">
              <w:rPr>
                <w:noProof/>
                <w:color w:val="000000" w:themeColor="text1"/>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r>
      <w:tr w:rsidR="00BB1D84">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BB1D84" w:rsidRDefault="00BB1D84">
            <w:pPr>
              <w:spacing w:before="0" w:after="0"/>
              <w:jc w:val="center"/>
              <w:rPr>
                <w:b/>
                <w:bCs/>
                <w:noProof/>
                <w:color w:val="000000" w:themeColor="text1"/>
                <w:sz w:val="16"/>
                <w:szCs w:val="16"/>
              </w:rPr>
            </w:pPr>
            <w:r w:rsidRPr="52050D6D">
              <w:rPr>
                <w:b/>
                <w:bCs/>
                <w:noProof/>
                <w:color w:val="000000" w:themeColor="text1"/>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r>
      <w:tr w:rsidR="00BB1D84">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left"/>
              <w:rPr>
                <w:b/>
                <w:bCs/>
                <w:noProof/>
                <w:sz w:val="16"/>
                <w:szCs w:val="16"/>
              </w:rPr>
            </w:pPr>
            <w:r w:rsidRPr="52050D6D">
              <w:rPr>
                <w:b/>
                <w:bCs/>
                <w:noProof/>
                <w:sz w:val="16"/>
                <w:szCs w:val="16"/>
              </w:rPr>
              <w:t>Outside HEADING 7</w:t>
            </w:r>
          </w:p>
        </w:tc>
      </w:tr>
      <w:tr w:rsidR="00BB1D84">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left"/>
              <w:rPr>
                <w:rFonts w:ascii="Arial Narrow" w:eastAsia="Arial Narrow" w:hAnsi="Arial Narrow" w:cs="Arial Narrow"/>
                <w:noProof/>
                <w:color w:val="000000" w:themeColor="text1"/>
                <w:sz w:val="20"/>
                <w:szCs w:val="20"/>
              </w:rPr>
            </w:pPr>
            <w:r w:rsidRPr="52050D6D">
              <w:rPr>
                <w:rFonts w:ascii="Arial Narrow" w:eastAsia="Arial Narrow" w:hAnsi="Arial Narrow" w:cs="Arial Narrow"/>
                <w:noProof/>
                <w:color w:val="000000" w:themeColor="text1"/>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noProof/>
                <w:color w:val="000000" w:themeColor="text1"/>
                <w:sz w:val="16"/>
                <w:szCs w:val="16"/>
              </w:rPr>
            </w:pPr>
            <w:r w:rsidRPr="52050D6D">
              <w:rPr>
                <w:noProof/>
                <w:color w:val="000000" w:themeColor="text1"/>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r>
      <w:tr w:rsidR="00BB1D84">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BB1D84" w:rsidRDefault="00BB1D84">
            <w:pPr>
              <w:spacing w:before="0" w:after="0"/>
              <w:jc w:val="center"/>
              <w:rPr>
                <w:b/>
                <w:bCs/>
                <w:noProof/>
                <w:color w:val="000000" w:themeColor="text1"/>
                <w:sz w:val="16"/>
                <w:szCs w:val="16"/>
              </w:rPr>
            </w:pPr>
            <w:r w:rsidRPr="52050D6D">
              <w:rPr>
                <w:b/>
                <w:bCs/>
                <w:noProof/>
                <w:color w:val="000000" w:themeColor="text1"/>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r>
      <w:tr w:rsidR="00BB1D84">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BB1D84" w:rsidRDefault="00BB1D84">
            <w:pPr>
              <w:spacing w:before="0" w:after="0"/>
              <w:jc w:val="center"/>
              <w:rPr>
                <w:noProof/>
                <w:color w:val="000000" w:themeColor="text1"/>
                <w:sz w:val="16"/>
                <w:szCs w:val="16"/>
              </w:rPr>
            </w:pPr>
            <w:r w:rsidRPr="52050D6D">
              <w:rPr>
                <w:noProof/>
                <w:color w:val="000000" w:themeColor="text1"/>
                <w:sz w:val="16"/>
                <w:szCs w:val="16"/>
              </w:rPr>
              <w:t xml:space="preserve"> </w:t>
            </w:r>
          </w:p>
        </w:tc>
      </w:tr>
      <w:tr w:rsidR="00BB1D84">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BB1D84" w:rsidRDefault="00BB1D84">
            <w:pPr>
              <w:spacing w:before="0" w:after="0"/>
              <w:jc w:val="center"/>
              <w:rPr>
                <w:b/>
                <w:bCs/>
                <w:noProof/>
                <w:color w:val="000000" w:themeColor="text1"/>
                <w:sz w:val="16"/>
                <w:szCs w:val="16"/>
              </w:rPr>
            </w:pPr>
            <w:r w:rsidRPr="52050D6D">
              <w:rPr>
                <w:b/>
                <w:bCs/>
                <w:noProof/>
                <w:color w:val="000000" w:themeColor="text1"/>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BB1D84" w:rsidRDefault="00BB1D84">
            <w:pPr>
              <w:spacing w:before="0" w:after="0"/>
              <w:jc w:val="right"/>
              <w:rPr>
                <w:b/>
                <w:bCs/>
                <w:noProof/>
                <w:color w:val="000000" w:themeColor="text1"/>
                <w:sz w:val="16"/>
                <w:szCs w:val="16"/>
              </w:rPr>
            </w:pPr>
            <w:r w:rsidRPr="52050D6D">
              <w:rPr>
                <w:b/>
                <w:bCs/>
                <w:noProof/>
                <w:color w:val="000000" w:themeColor="text1"/>
                <w:sz w:val="16"/>
                <w:szCs w:val="16"/>
              </w:rPr>
              <w:t>0.000</w:t>
            </w:r>
          </w:p>
        </w:tc>
      </w:tr>
    </w:tbl>
    <w:p w:rsidR="00BB1D84" w:rsidRPr="00235FE8" w:rsidRDefault="00BB1D84" w:rsidP="00BB1D84">
      <w:pPr>
        <w:pStyle w:val="ManualHeading3"/>
        <w:rPr>
          <w:i w:val="0"/>
          <w:noProof/>
        </w:rPr>
      </w:pPr>
      <w:bookmarkStart w:id="167" w:name="_Toc514938056"/>
      <w:bookmarkStart w:id="168" w:name="_Toc520485055"/>
      <w:bookmarkStart w:id="169" w:name="_Toc160804599"/>
      <w:bookmarkStart w:id="170" w:name="_Toc234245526"/>
      <w:bookmarkEnd w:id="165"/>
      <w:r w:rsidRPr="0021790A">
        <w:rPr>
          <w:noProof/>
        </w:rPr>
        <w:t>3.2.</w:t>
      </w:r>
      <w:r>
        <w:rPr>
          <w:noProof/>
        </w:rPr>
        <w:t>6</w:t>
      </w:r>
      <w:r w:rsidRPr="0021790A">
        <w:rPr>
          <w:noProof/>
        </w:rPr>
        <w:t>.</w:t>
      </w:r>
      <w:r w:rsidRPr="0021790A">
        <w:rPr>
          <w:noProof/>
        </w:rPr>
        <w:tab/>
      </w:r>
      <w:r>
        <w:rPr>
          <w:noProof/>
        </w:rPr>
        <w:t>Compatibility with the current multiannual financial framework</w:t>
      </w:r>
      <w:bookmarkEnd w:id="167"/>
      <w:bookmarkEnd w:id="168"/>
      <w:bookmarkEnd w:id="169"/>
      <w:bookmarkEnd w:id="170"/>
    </w:p>
    <w:p w:rsidR="00BB1D84" w:rsidRDefault="00BB1D84" w:rsidP="00BB1D84">
      <w:pPr>
        <w:pStyle w:val="Text1"/>
        <w:rPr>
          <w:noProof/>
        </w:rPr>
      </w:pPr>
      <w:r w:rsidRPr="00386FF5">
        <w:rPr>
          <w:noProof/>
        </w:rPr>
        <w:t>The proposal/initiative</w:t>
      </w:r>
      <w:r w:rsidRPr="007974DD">
        <w:rPr>
          <w:noProof/>
        </w:rPr>
        <w:t>:</w:t>
      </w:r>
    </w:p>
    <w:p w:rsidR="00BB1D84" w:rsidRDefault="00BB1D84" w:rsidP="00AD3300">
      <w:pPr>
        <w:pStyle w:val="Text1"/>
        <w:rPr>
          <w:noProof/>
        </w:rPr>
      </w:pPr>
      <w:r>
        <w:rPr>
          <w:rFonts w:ascii="Wingdings" w:eastAsia="Wingdings" w:hAnsi="Wingdings" w:cs="Wingdings"/>
          <w:noProof/>
        </w:rPr>
        <w:t></w:t>
      </w:r>
      <w:r>
        <w:rPr>
          <w:noProof/>
        </w:rPr>
        <w:tab/>
      </w:r>
      <w:r w:rsidRPr="007B1B0C">
        <w:rPr>
          <w:noProof/>
        </w:rPr>
        <w:t>can be fully financed through redeployment within the relevant</w:t>
      </w:r>
      <w:r>
        <w:rPr>
          <w:noProof/>
        </w:rPr>
        <w:t xml:space="preserve"> heading of the multiannual financial framework (MFF)</w:t>
      </w:r>
    </w:p>
    <w:p w:rsidR="00BB1D84" w:rsidRDefault="00BB1D84" w:rsidP="00AD3300">
      <w:pPr>
        <w:pStyle w:val="Text1"/>
        <w:rPr>
          <w:noProof/>
        </w:rPr>
      </w:pPr>
      <w:r>
        <w:rPr>
          <w:rFonts w:ascii="Wingdings" w:eastAsia="Wingdings" w:hAnsi="Wingdings" w:cs="Wingdings"/>
          <w:noProof/>
        </w:rPr>
        <w:t></w:t>
      </w:r>
      <w:r>
        <w:rPr>
          <w:noProof/>
        </w:rPr>
        <w:tab/>
      </w:r>
      <w:r w:rsidRPr="007B1B0C">
        <w:rPr>
          <w:noProof/>
        </w:rPr>
        <w:t>requires use of the unallocated margin under the relevant heading of the MFF and/or use of the special instruments as defined in the MFF Regulation</w:t>
      </w:r>
    </w:p>
    <w:p w:rsidR="00BB1D84" w:rsidRDefault="00BB1D84" w:rsidP="00AD3300">
      <w:pPr>
        <w:pStyle w:val="Text1"/>
        <w:rPr>
          <w:noProof/>
        </w:rPr>
      </w:pPr>
      <w:r>
        <w:rPr>
          <w:rFonts w:ascii="Wingdings" w:eastAsia="Wingdings" w:hAnsi="Wingdings" w:cs="Wingdings"/>
          <w:noProof/>
        </w:rPr>
        <w:t></w:t>
      </w:r>
      <w:r>
        <w:rPr>
          <w:noProof/>
        </w:rPr>
        <w:tab/>
      </w:r>
      <w:r w:rsidRPr="007B1B0C">
        <w:rPr>
          <w:noProof/>
        </w:rPr>
        <w:t>requires a revision of the MFF</w:t>
      </w:r>
    </w:p>
    <w:p w:rsidR="00BB1D84" w:rsidRPr="0047065F" w:rsidRDefault="00BB1D84" w:rsidP="00BB1D84">
      <w:pPr>
        <w:pStyle w:val="ManualHeading3"/>
        <w:rPr>
          <w:noProof/>
        </w:rPr>
      </w:pPr>
      <w:bookmarkStart w:id="171" w:name="_Toc514938058"/>
      <w:bookmarkStart w:id="172" w:name="_Toc520485056"/>
      <w:bookmarkStart w:id="173" w:name="_Toc160804600"/>
      <w:bookmarkStart w:id="174" w:name="_Toc234245527"/>
      <w:r w:rsidRPr="0021790A">
        <w:rPr>
          <w:noProof/>
        </w:rPr>
        <w:t>3.2.</w:t>
      </w:r>
      <w:r>
        <w:rPr>
          <w:noProof/>
        </w:rPr>
        <w:t>7</w:t>
      </w:r>
      <w:r w:rsidRPr="0021790A">
        <w:rPr>
          <w:noProof/>
        </w:rPr>
        <w:t>.</w:t>
      </w:r>
      <w:r w:rsidRPr="0021790A">
        <w:rPr>
          <w:noProof/>
        </w:rPr>
        <w:tab/>
      </w:r>
      <w:r>
        <w:rPr>
          <w:noProof/>
        </w:rPr>
        <w:t>Third-party contributions</w:t>
      </w:r>
      <w:bookmarkEnd w:id="171"/>
      <w:bookmarkEnd w:id="172"/>
      <w:bookmarkEnd w:id="173"/>
      <w:bookmarkEnd w:id="174"/>
      <w:r>
        <w:rPr>
          <w:noProof/>
        </w:rPr>
        <w:t xml:space="preserve"> </w:t>
      </w:r>
    </w:p>
    <w:p w:rsidR="00BB1D84" w:rsidRPr="00386FF5" w:rsidRDefault="00BB1D84" w:rsidP="00BB1D84">
      <w:pPr>
        <w:pStyle w:val="Text1"/>
        <w:rPr>
          <w:noProof/>
        </w:rPr>
      </w:pPr>
      <w:r w:rsidRPr="007974DD">
        <w:rPr>
          <w:noProof/>
        </w:rPr>
        <w:t>The proposal/initiative:</w:t>
      </w:r>
    </w:p>
    <w:p w:rsidR="00BB1D84" w:rsidRDefault="00BB1D84" w:rsidP="00AD3300">
      <w:pPr>
        <w:pStyle w:val="Text1"/>
        <w:rPr>
          <w:noProof/>
        </w:rPr>
      </w:pPr>
      <w:r>
        <w:rPr>
          <w:rFonts w:ascii="Wingdings" w:eastAsia="Wingdings" w:hAnsi="Wingdings" w:cs="Wingdings"/>
          <w:noProof/>
        </w:rPr>
        <w:t></w:t>
      </w:r>
      <w:r>
        <w:rPr>
          <w:noProof/>
        </w:rPr>
        <w:tab/>
        <w:t>does not provide for co-financing by third parties</w:t>
      </w:r>
    </w:p>
    <w:p w:rsidR="00BB1D84" w:rsidRDefault="00BB1D84" w:rsidP="00AD3300">
      <w:pPr>
        <w:pStyle w:val="Text1"/>
        <w:rPr>
          <w:noProof/>
        </w:rPr>
      </w:pPr>
      <w:r>
        <w:rPr>
          <w:rFonts w:ascii="Wingdings" w:eastAsia="Wingdings" w:hAnsi="Wingdings" w:cs="Wingdings"/>
          <w:noProof/>
        </w:rPr>
        <w:t></w:t>
      </w:r>
      <w:r>
        <w:rPr>
          <w:noProof/>
        </w:rPr>
        <w:tab/>
        <w:t>provides for the co-financing by third parties estimated below:</w:t>
      </w:r>
    </w:p>
    <w:p w:rsidR="00BB1D84" w:rsidRPr="003A769F" w:rsidRDefault="00BB1D84" w:rsidP="00BB1D84">
      <w:pPr>
        <w:jc w:val="right"/>
        <w:rPr>
          <w:noProof/>
          <w:sz w:val="20"/>
          <w:lang w:val="en-IE"/>
        </w:rPr>
      </w:pPr>
      <w:r w:rsidRPr="003A769F">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BB1D84">
        <w:trPr>
          <w:cantSplit/>
        </w:trPr>
        <w:tc>
          <w:tcPr>
            <w:tcW w:w="1591" w:type="pct"/>
          </w:tcPr>
          <w:p w:rsidR="00BB1D84" w:rsidRPr="003A769F" w:rsidRDefault="00BB1D84">
            <w:pPr>
              <w:spacing w:before="60" w:after="60"/>
              <w:rPr>
                <w:noProof/>
                <w:sz w:val="20"/>
                <w:lang w:val="en-IE"/>
              </w:rPr>
            </w:pPr>
          </w:p>
        </w:tc>
        <w:tc>
          <w:tcPr>
            <w:tcW w:w="655" w:type="pct"/>
            <w:vAlign w:val="center"/>
          </w:tcPr>
          <w:p w:rsidR="00BB1D84" w:rsidRDefault="00BB1D84">
            <w:pPr>
              <w:jc w:val="center"/>
              <w:rPr>
                <w:noProof/>
                <w:sz w:val="20"/>
              </w:rPr>
            </w:pPr>
            <w:r>
              <w:rPr>
                <w:noProof/>
                <w:sz w:val="20"/>
              </w:rPr>
              <w:t xml:space="preserve">Year </w:t>
            </w:r>
            <w:r>
              <w:rPr>
                <w:b/>
                <w:noProof/>
                <w:sz w:val="20"/>
              </w:rPr>
              <w:t>2024</w:t>
            </w:r>
          </w:p>
        </w:tc>
        <w:tc>
          <w:tcPr>
            <w:tcW w:w="655" w:type="pct"/>
            <w:vAlign w:val="center"/>
          </w:tcPr>
          <w:p w:rsidR="00BB1D84" w:rsidRDefault="00BB1D84">
            <w:pPr>
              <w:jc w:val="center"/>
              <w:rPr>
                <w:noProof/>
                <w:sz w:val="20"/>
              </w:rPr>
            </w:pPr>
            <w:r>
              <w:rPr>
                <w:noProof/>
                <w:sz w:val="20"/>
              </w:rPr>
              <w:t xml:space="preserve">Year </w:t>
            </w:r>
            <w:r>
              <w:rPr>
                <w:b/>
                <w:noProof/>
                <w:sz w:val="20"/>
              </w:rPr>
              <w:t>2025</w:t>
            </w:r>
          </w:p>
        </w:tc>
        <w:tc>
          <w:tcPr>
            <w:tcW w:w="655" w:type="pct"/>
            <w:vAlign w:val="center"/>
          </w:tcPr>
          <w:p w:rsidR="00BB1D84" w:rsidRDefault="00BB1D84">
            <w:pPr>
              <w:jc w:val="center"/>
              <w:rPr>
                <w:noProof/>
                <w:sz w:val="20"/>
              </w:rPr>
            </w:pPr>
            <w:r>
              <w:rPr>
                <w:noProof/>
                <w:sz w:val="20"/>
              </w:rPr>
              <w:t xml:space="preserve">Year </w:t>
            </w:r>
            <w:r>
              <w:rPr>
                <w:b/>
                <w:noProof/>
                <w:sz w:val="20"/>
              </w:rPr>
              <w:t>2026</w:t>
            </w:r>
          </w:p>
        </w:tc>
        <w:tc>
          <w:tcPr>
            <w:tcW w:w="655" w:type="pct"/>
            <w:vAlign w:val="center"/>
          </w:tcPr>
          <w:p w:rsidR="00BB1D84" w:rsidRDefault="00BB1D84">
            <w:pPr>
              <w:jc w:val="center"/>
              <w:rPr>
                <w:noProof/>
                <w:sz w:val="20"/>
              </w:rPr>
            </w:pPr>
            <w:r>
              <w:rPr>
                <w:noProof/>
                <w:sz w:val="20"/>
              </w:rPr>
              <w:t xml:space="preserve">Year </w:t>
            </w:r>
            <w:r>
              <w:rPr>
                <w:b/>
                <w:noProof/>
                <w:sz w:val="20"/>
              </w:rPr>
              <w:t>2027</w:t>
            </w:r>
          </w:p>
        </w:tc>
        <w:tc>
          <w:tcPr>
            <w:tcW w:w="787" w:type="pct"/>
            <w:vAlign w:val="center"/>
          </w:tcPr>
          <w:p w:rsidR="00BB1D84" w:rsidRDefault="00BB1D84">
            <w:pPr>
              <w:spacing w:before="60" w:after="60"/>
              <w:jc w:val="center"/>
              <w:rPr>
                <w:noProof/>
                <w:sz w:val="20"/>
              </w:rPr>
            </w:pPr>
            <w:r>
              <w:rPr>
                <w:noProof/>
                <w:sz w:val="20"/>
              </w:rPr>
              <w:t>Total</w:t>
            </w:r>
          </w:p>
        </w:tc>
      </w:tr>
      <w:tr w:rsidR="00BB1D84" w:rsidRPr="003A769F">
        <w:trPr>
          <w:cantSplit/>
        </w:trPr>
        <w:tc>
          <w:tcPr>
            <w:tcW w:w="1591" w:type="pct"/>
          </w:tcPr>
          <w:p w:rsidR="00BB1D84" w:rsidRPr="003A769F" w:rsidRDefault="00BB1D84">
            <w:pPr>
              <w:rPr>
                <w:noProof/>
                <w:lang w:val="en-IE"/>
              </w:rPr>
            </w:pPr>
            <w:r w:rsidRPr="003A769F">
              <w:rPr>
                <w:noProof/>
                <w:sz w:val="20"/>
                <w:lang w:val="en-IE"/>
              </w:rPr>
              <w:t>Specify the co-financing body</w:t>
            </w:r>
            <w:r w:rsidRPr="003A769F">
              <w:rPr>
                <w:i/>
                <w:noProof/>
                <w:sz w:val="20"/>
                <w:lang w:val="en-IE"/>
              </w:rPr>
              <w:t xml:space="preserve"> </w:t>
            </w:r>
          </w:p>
        </w:tc>
        <w:tc>
          <w:tcPr>
            <w:tcW w:w="655" w:type="pct"/>
            <w:vAlign w:val="center"/>
          </w:tcPr>
          <w:p w:rsidR="00BB1D84" w:rsidRPr="003A769F" w:rsidRDefault="00BB1D84">
            <w:pPr>
              <w:spacing w:before="60" w:after="60"/>
              <w:jc w:val="center"/>
              <w:rPr>
                <w:noProof/>
                <w:sz w:val="20"/>
                <w:lang w:val="en-IE"/>
              </w:rPr>
            </w:pPr>
          </w:p>
        </w:tc>
        <w:tc>
          <w:tcPr>
            <w:tcW w:w="655" w:type="pct"/>
            <w:vAlign w:val="center"/>
          </w:tcPr>
          <w:p w:rsidR="00BB1D84" w:rsidRPr="003A769F" w:rsidRDefault="00BB1D84">
            <w:pPr>
              <w:spacing w:before="60" w:after="60"/>
              <w:jc w:val="center"/>
              <w:rPr>
                <w:noProof/>
                <w:sz w:val="20"/>
                <w:lang w:val="en-IE"/>
              </w:rPr>
            </w:pPr>
          </w:p>
        </w:tc>
        <w:tc>
          <w:tcPr>
            <w:tcW w:w="655" w:type="pct"/>
            <w:vAlign w:val="center"/>
          </w:tcPr>
          <w:p w:rsidR="00BB1D84" w:rsidRPr="003A769F" w:rsidRDefault="00BB1D84">
            <w:pPr>
              <w:spacing w:before="60" w:after="60"/>
              <w:jc w:val="center"/>
              <w:rPr>
                <w:noProof/>
                <w:sz w:val="20"/>
                <w:lang w:val="en-IE"/>
              </w:rPr>
            </w:pPr>
          </w:p>
        </w:tc>
        <w:tc>
          <w:tcPr>
            <w:tcW w:w="655" w:type="pct"/>
            <w:vAlign w:val="center"/>
          </w:tcPr>
          <w:p w:rsidR="00BB1D84" w:rsidRPr="003A769F" w:rsidRDefault="00BB1D84">
            <w:pPr>
              <w:spacing w:before="60" w:after="60"/>
              <w:jc w:val="center"/>
              <w:rPr>
                <w:noProof/>
                <w:sz w:val="20"/>
                <w:lang w:val="en-IE"/>
              </w:rPr>
            </w:pPr>
          </w:p>
        </w:tc>
        <w:tc>
          <w:tcPr>
            <w:tcW w:w="787" w:type="pct"/>
            <w:vAlign w:val="center"/>
          </w:tcPr>
          <w:p w:rsidR="00BB1D84" w:rsidRPr="003A769F" w:rsidRDefault="00BB1D84">
            <w:pPr>
              <w:spacing w:before="60" w:after="60"/>
              <w:jc w:val="center"/>
              <w:rPr>
                <w:noProof/>
                <w:sz w:val="20"/>
                <w:lang w:val="en-IE"/>
              </w:rPr>
            </w:pPr>
          </w:p>
        </w:tc>
      </w:tr>
      <w:tr w:rsidR="00BB1D84">
        <w:trPr>
          <w:cantSplit/>
        </w:trPr>
        <w:tc>
          <w:tcPr>
            <w:tcW w:w="1591" w:type="pct"/>
          </w:tcPr>
          <w:p w:rsidR="00BB1D84" w:rsidRDefault="00BB1D84">
            <w:pPr>
              <w:spacing w:before="60" w:after="60"/>
              <w:jc w:val="left"/>
              <w:rPr>
                <w:noProof/>
                <w:sz w:val="20"/>
              </w:rPr>
            </w:pPr>
            <w:r>
              <w:rPr>
                <w:noProof/>
                <w:sz w:val="20"/>
              </w:rPr>
              <w:t xml:space="preserve">TOTAL appropriations co-financed </w:t>
            </w:r>
          </w:p>
        </w:tc>
        <w:tc>
          <w:tcPr>
            <w:tcW w:w="655" w:type="pct"/>
            <w:vAlign w:val="center"/>
          </w:tcPr>
          <w:p w:rsidR="00BB1D84" w:rsidRDefault="00BB1D84">
            <w:pPr>
              <w:spacing w:before="60" w:after="60"/>
              <w:jc w:val="center"/>
              <w:rPr>
                <w:noProof/>
                <w:sz w:val="20"/>
              </w:rPr>
            </w:pPr>
          </w:p>
        </w:tc>
        <w:tc>
          <w:tcPr>
            <w:tcW w:w="655" w:type="pct"/>
            <w:vAlign w:val="center"/>
          </w:tcPr>
          <w:p w:rsidR="00BB1D84" w:rsidRDefault="00BB1D84">
            <w:pPr>
              <w:spacing w:before="60" w:after="60"/>
              <w:jc w:val="center"/>
              <w:rPr>
                <w:noProof/>
                <w:sz w:val="20"/>
              </w:rPr>
            </w:pPr>
          </w:p>
        </w:tc>
        <w:tc>
          <w:tcPr>
            <w:tcW w:w="655" w:type="pct"/>
            <w:vAlign w:val="center"/>
          </w:tcPr>
          <w:p w:rsidR="00BB1D84" w:rsidRDefault="00BB1D84">
            <w:pPr>
              <w:spacing w:before="60" w:after="60"/>
              <w:jc w:val="center"/>
              <w:rPr>
                <w:noProof/>
                <w:sz w:val="20"/>
              </w:rPr>
            </w:pPr>
          </w:p>
        </w:tc>
        <w:tc>
          <w:tcPr>
            <w:tcW w:w="655" w:type="pct"/>
            <w:vAlign w:val="center"/>
          </w:tcPr>
          <w:p w:rsidR="00BB1D84" w:rsidRDefault="00BB1D84">
            <w:pPr>
              <w:spacing w:before="60" w:after="60"/>
              <w:jc w:val="center"/>
              <w:rPr>
                <w:noProof/>
                <w:sz w:val="20"/>
              </w:rPr>
            </w:pPr>
          </w:p>
        </w:tc>
        <w:tc>
          <w:tcPr>
            <w:tcW w:w="787" w:type="pct"/>
            <w:vAlign w:val="center"/>
          </w:tcPr>
          <w:p w:rsidR="00BB1D84" w:rsidRDefault="00BB1D84">
            <w:pPr>
              <w:spacing w:before="60" w:after="60"/>
              <w:jc w:val="center"/>
              <w:rPr>
                <w:noProof/>
                <w:sz w:val="20"/>
              </w:rPr>
            </w:pPr>
          </w:p>
        </w:tc>
      </w:tr>
    </w:tbl>
    <w:p w:rsidR="004509F8" w:rsidRDefault="004509F8" w:rsidP="00BB1D84">
      <w:pPr>
        <w:rPr>
          <w:noProof/>
        </w:rPr>
      </w:pPr>
    </w:p>
    <w:p w:rsidR="004509F8" w:rsidRDefault="004509F8">
      <w:pPr>
        <w:spacing w:before="0" w:after="200" w:line="276" w:lineRule="auto"/>
        <w:jc w:val="left"/>
        <w:rPr>
          <w:noProof/>
        </w:rPr>
      </w:pPr>
      <w:r>
        <w:rPr>
          <w:noProof/>
        </w:rPr>
        <w:br w:type="page"/>
      </w:r>
    </w:p>
    <w:p w:rsidR="00BB1D84" w:rsidRPr="001E0673" w:rsidRDefault="00BB1D84" w:rsidP="00BB1D84">
      <w:pPr>
        <w:rPr>
          <w:b/>
          <w:bCs/>
          <w:noProof/>
          <w:szCs w:val="24"/>
        </w:rPr>
      </w:pPr>
      <w:bookmarkStart w:id="175" w:name="_Toc160804601"/>
      <w:bookmarkStart w:id="176" w:name="_Hlk177486416"/>
      <w:r w:rsidRPr="001E0673">
        <w:rPr>
          <w:b/>
          <w:bCs/>
          <w:noProof/>
        </w:rPr>
        <w:t>3.2.8.</w:t>
      </w:r>
      <w:r>
        <w:rPr>
          <w:noProof/>
        </w:rPr>
        <w:tab/>
      </w:r>
      <w:r w:rsidRPr="001E0673">
        <w:rPr>
          <w:b/>
          <w:bCs/>
          <w:noProof/>
        </w:rPr>
        <w:t>Estimated human resources and the use of appropriations required in a</w:t>
      </w:r>
      <w:r>
        <w:rPr>
          <w:noProof/>
        </w:rPr>
        <w:t xml:space="preserve"> </w:t>
      </w:r>
      <w:r w:rsidRPr="001E0673">
        <w:rPr>
          <w:b/>
          <w:bCs/>
          <w:noProof/>
        </w:rPr>
        <w:t>decentralised agency</w:t>
      </w:r>
      <w:bookmarkEnd w:id="175"/>
      <w:r w:rsidRPr="001E0673">
        <w:rPr>
          <w:b/>
          <w:bCs/>
          <w:noProof/>
        </w:rPr>
        <w:t xml:space="preserve"> </w:t>
      </w:r>
    </w:p>
    <w:bookmarkEnd w:id="176"/>
    <w:p w:rsidR="00BB1D84" w:rsidRPr="0094063F" w:rsidRDefault="00BB1D84" w:rsidP="007B26E6">
      <w:pPr>
        <w:jc w:val="left"/>
        <w:rPr>
          <w:noProof/>
          <w:sz w:val="22"/>
          <w:u w:val="single"/>
        </w:rPr>
      </w:pPr>
      <w:r w:rsidRPr="0094063F">
        <w:rPr>
          <w:noProof/>
          <w:sz w:val="22"/>
          <w:u w:val="single"/>
        </w:rPr>
        <w:t>Staff requirements (</w:t>
      </w:r>
      <w:r>
        <w:rPr>
          <w:noProof/>
          <w:sz w:val="22"/>
          <w:u w:val="single"/>
        </w:rPr>
        <w:t>fulll-time equivalent units</w:t>
      </w:r>
      <w:r w:rsidRPr="0094063F">
        <w:rPr>
          <w:noProof/>
          <w:sz w:val="22"/>
          <w:u w:val="single"/>
        </w:rPr>
        <w:t>)</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096"/>
        <w:gridCol w:w="1238"/>
        <w:gridCol w:w="1239"/>
        <w:gridCol w:w="1238"/>
        <w:gridCol w:w="1239"/>
        <w:gridCol w:w="1239"/>
      </w:tblGrid>
      <w:tr w:rsidR="00BB1D84" w:rsidRPr="002D73DA" w:rsidTr="004509F8">
        <w:trPr>
          <w:trHeight w:val="585"/>
          <w:jc w:val="center"/>
        </w:trPr>
        <w:tc>
          <w:tcPr>
            <w:tcW w:w="3697" w:type="dxa"/>
            <w:vAlign w:val="center"/>
          </w:tcPr>
          <w:p w:rsidR="00BB1D84" w:rsidRPr="00070628" w:rsidRDefault="00BB1D84">
            <w:pPr>
              <w:spacing w:before="60" w:after="60"/>
              <w:jc w:val="center"/>
              <w:rPr>
                <w:b/>
                <w:bCs/>
                <w:noProof/>
                <w:sz w:val="20"/>
                <w:szCs w:val="20"/>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ACER</w:t>
            </w:r>
          </w:p>
        </w:tc>
        <w:tc>
          <w:tcPr>
            <w:tcW w:w="1449" w:type="dxa"/>
            <w:vAlign w:val="center"/>
          </w:tcPr>
          <w:p w:rsidR="00BB1D84" w:rsidRPr="002D73DA" w:rsidRDefault="00BB1D84">
            <w:pPr>
              <w:spacing w:before="60" w:after="60"/>
              <w:jc w:val="center"/>
              <w:rPr>
                <w:noProof/>
                <w:sz w:val="20"/>
                <w:szCs w:val="20"/>
              </w:rPr>
            </w:pPr>
            <w:r w:rsidRPr="002D73DA">
              <w:rPr>
                <w:noProof/>
                <w:sz w:val="20"/>
                <w:szCs w:val="20"/>
              </w:rPr>
              <w:t>Year</w:t>
            </w:r>
            <w:r>
              <w:rPr>
                <w:b/>
                <w:bCs/>
                <w:noProof/>
                <w:sz w:val="20"/>
                <w:szCs w:val="20"/>
              </w:rPr>
              <w:t xml:space="preserve"> </w:t>
            </w:r>
            <w:r w:rsidRPr="00B87906">
              <w:rPr>
                <w:b/>
                <w:bCs/>
                <w:noProof/>
                <w:sz w:val="20"/>
                <w:szCs w:val="20"/>
              </w:rPr>
              <w:t>2024</w:t>
            </w:r>
          </w:p>
        </w:tc>
        <w:tc>
          <w:tcPr>
            <w:tcW w:w="1450" w:type="dxa"/>
            <w:vAlign w:val="center"/>
          </w:tcPr>
          <w:p w:rsidR="00BB1D84" w:rsidRPr="002D73DA" w:rsidRDefault="00BB1D84">
            <w:pPr>
              <w:spacing w:before="60" w:after="60"/>
              <w:jc w:val="center"/>
              <w:rPr>
                <w:noProof/>
                <w:sz w:val="20"/>
                <w:szCs w:val="20"/>
              </w:rPr>
            </w:pPr>
            <w:r w:rsidRPr="002D73DA">
              <w:rPr>
                <w:noProof/>
                <w:sz w:val="20"/>
                <w:szCs w:val="20"/>
              </w:rPr>
              <w:t>Year</w:t>
            </w:r>
            <w:r>
              <w:rPr>
                <w:b/>
                <w:noProof/>
                <w:sz w:val="20"/>
                <w:szCs w:val="20"/>
              </w:rPr>
              <w:t xml:space="preserve"> 2025</w:t>
            </w:r>
          </w:p>
        </w:tc>
        <w:tc>
          <w:tcPr>
            <w:tcW w:w="1449" w:type="dxa"/>
            <w:vAlign w:val="center"/>
          </w:tcPr>
          <w:p w:rsidR="00BB1D84" w:rsidRPr="002D73DA" w:rsidRDefault="00BB1D84">
            <w:pPr>
              <w:spacing w:before="60" w:after="60"/>
              <w:jc w:val="center"/>
              <w:rPr>
                <w:noProof/>
                <w:sz w:val="20"/>
                <w:szCs w:val="20"/>
              </w:rPr>
            </w:pPr>
            <w:r w:rsidRPr="002D73DA">
              <w:rPr>
                <w:noProof/>
                <w:sz w:val="20"/>
                <w:szCs w:val="20"/>
              </w:rPr>
              <w:t>Year</w:t>
            </w:r>
            <w:r>
              <w:rPr>
                <w:b/>
                <w:noProof/>
                <w:sz w:val="20"/>
                <w:szCs w:val="20"/>
              </w:rPr>
              <w:t xml:space="preserve"> 2026</w:t>
            </w:r>
          </w:p>
        </w:tc>
        <w:tc>
          <w:tcPr>
            <w:tcW w:w="1450" w:type="dxa"/>
            <w:vAlign w:val="center"/>
          </w:tcPr>
          <w:p w:rsidR="00BB1D84" w:rsidRPr="002D73DA" w:rsidRDefault="00BB1D84">
            <w:pPr>
              <w:spacing w:before="60" w:after="60"/>
              <w:jc w:val="center"/>
              <w:rPr>
                <w:noProof/>
                <w:sz w:val="20"/>
                <w:szCs w:val="20"/>
              </w:rPr>
            </w:pPr>
            <w:r w:rsidRPr="002D73DA">
              <w:rPr>
                <w:noProof/>
                <w:sz w:val="20"/>
                <w:szCs w:val="20"/>
              </w:rPr>
              <w:t>Year</w:t>
            </w:r>
            <w:r>
              <w:rPr>
                <w:b/>
                <w:noProof/>
                <w:sz w:val="20"/>
                <w:szCs w:val="20"/>
              </w:rPr>
              <w:t xml:space="preserve"> 2027</w:t>
            </w:r>
          </w:p>
        </w:tc>
        <w:tc>
          <w:tcPr>
            <w:tcW w:w="1450" w:type="dxa"/>
            <w:vAlign w:val="center"/>
          </w:tcPr>
          <w:p w:rsidR="00BB1D84" w:rsidRPr="005D1B8D" w:rsidRDefault="00BB1D84">
            <w:pPr>
              <w:spacing w:before="60" w:after="60"/>
              <w:jc w:val="center"/>
              <w:rPr>
                <w:b/>
                <w:bCs/>
                <w:noProof/>
                <w:sz w:val="20"/>
                <w:szCs w:val="20"/>
              </w:rPr>
            </w:pPr>
            <w:r w:rsidRPr="005D1B8D">
              <w:rPr>
                <w:b/>
                <w:bCs/>
                <w:noProof/>
                <w:sz w:val="20"/>
                <w:szCs w:val="20"/>
              </w:rPr>
              <w:t>MFF 2028-2034</w:t>
            </w:r>
          </w:p>
        </w:tc>
      </w:tr>
      <w:tr w:rsidR="00BB1D84" w:rsidRPr="002D73DA" w:rsidTr="004509F8">
        <w:trPr>
          <w:trHeight w:val="585"/>
          <w:jc w:val="center"/>
        </w:trPr>
        <w:tc>
          <w:tcPr>
            <w:tcW w:w="3697" w:type="dxa"/>
            <w:vAlign w:val="center"/>
          </w:tcPr>
          <w:p w:rsidR="00BB1D84" w:rsidRPr="002D73DA" w:rsidRDefault="00BB1D84">
            <w:pPr>
              <w:spacing w:before="60" w:after="60"/>
              <w:jc w:val="left"/>
              <w:rPr>
                <w:noProof/>
                <w:sz w:val="20"/>
                <w:szCs w:val="20"/>
              </w:rPr>
            </w:pPr>
            <w:r w:rsidRPr="002D73DA">
              <w:rPr>
                <w:noProof/>
                <w:sz w:val="20"/>
                <w:szCs w:val="20"/>
              </w:rPr>
              <w:t>Temporary agents (AD Grades)</w:t>
            </w: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r>
      <w:tr w:rsidR="00BB1D84" w:rsidRPr="002D73DA" w:rsidTr="004509F8">
        <w:trPr>
          <w:trHeight w:val="585"/>
          <w:jc w:val="center"/>
        </w:trPr>
        <w:tc>
          <w:tcPr>
            <w:tcW w:w="3697" w:type="dxa"/>
            <w:vAlign w:val="center"/>
          </w:tcPr>
          <w:p w:rsidR="00BB1D84" w:rsidRPr="002D73DA" w:rsidRDefault="00BB1D84">
            <w:pPr>
              <w:spacing w:before="60" w:after="60"/>
              <w:jc w:val="left"/>
              <w:rPr>
                <w:noProof/>
                <w:sz w:val="20"/>
                <w:szCs w:val="20"/>
              </w:rPr>
            </w:pPr>
            <w:r w:rsidRPr="002D73DA">
              <w:rPr>
                <w:noProof/>
                <w:sz w:val="20"/>
                <w:szCs w:val="20"/>
              </w:rPr>
              <w:t>Temporary agents (AST grades)</w:t>
            </w: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r>
      <w:tr w:rsidR="00BB1D84" w:rsidRPr="002D73DA" w:rsidTr="004509F8">
        <w:trPr>
          <w:trHeight w:val="585"/>
          <w:jc w:val="center"/>
        </w:trPr>
        <w:tc>
          <w:tcPr>
            <w:tcW w:w="3697" w:type="dxa"/>
            <w:vAlign w:val="center"/>
          </w:tcPr>
          <w:p w:rsidR="00BB1D84" w:rsidRPr="005279FF" w:rsidRDefault="00BB1D84">
            <w:pPr>
              <w:spacing w:before="60" w:after="60"/>
              <w:jc w:val="left"/>
              <w:rPr>
                <w:i/>
                <w:iCs/>
                <w:noProof/>
                <w:sz w:val="20"/>
                <w:szCs w:val="20"/>
              </w:rPr>
            </w:pPr>
            <w:r w:rsidRPr="005279FF">
              <w:rPr>
                <w:i/>
                <w:iCs/>
                <w:noProof/>
                <w:sz w:val="20"/>
                <w:szCs w:val="20"/>
              </w:rPr>
              <w:t>Temporary agents (AD+AST)</w:t>
            </w:r>
            <w:r>
              <w:rPr>
                <w:i/>
                <w:iCs/>
                <w:noProof/>
                <w:sz w:val="20"/>
                <w:szCs w:val="20"/>
              </w:rPr>
              <w:t xml:space="preserve"> subtotal</w:t>
            </w:r>
          </w:p>
        </w:tc>
        <w:tc>
          <w:tcPr>
            <w:tcW w:w="1449" w:type="dxa"/>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50" w:type="dxa"/>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49" w:type="dxa"/>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50" w:type="dxa"/>
            <w:vAlign w:val="center"/>
          </w:tcPr>
          <w:p w:rsidR="00BB1D84" w:rsidRPr="00F20470" w:rsidRDefault="00BB1D84">
            <w:pPr>
              <w:spacing w:before="60" w:after="60"/>
              <w:jc w:val="right"/>
              <w:rPr>
                <w:b/>
                <w:bCs/>
                <w:i/>
                <w:iCs/>
                <w:noProof/>
                <w:sz w:val="20"/>
                <w:szCs w:val="20"/>
              </w:rPr>
            </w:pPr>
            <w:r>
              <w:rPr>
                <w:b/>
                <w:bCs/>
                <w:i/>
                <w:iCs/>
                <w:noProof/>
                <w:sz w:val="20"/>
                <w:szCs w:val="20"/>
              </w:rPr>
              <w:t>0</w:t>
            </w:r>
          </w:p>
        </w:tc>
        <w:tc>
          <w:tcPr>
            <w:tcW w:w="1450" w:type="dxa"/>
            <w:vAlign w:val="center"/>
          </w:tcPr>
          <w:p w:rsidR="00BB1D84" w:rsidRPr="00AD1178" w:rsidRDefault="00BB1D84">
            <w:pPr>
              <w:spacing w:before="60" w:after="60"/>
              <w:jc w:val="right"/>
              <w:rPr>
                <w:b/>
                <w:bCs/>
                <w:i/>
                <w:iCs/>
                <w:noProof/>
                <w:color w:val="000000"/>
                <w:sz w:val="20"/>
                <w:szCs w:val="20"/>
                <w:lang w:val="en-IE" w:eastAsia="en-IE"/>
              </w:rPr>
            </w:pPr>
            <w:r>
              <w:rPr>
                <w:b/>
                <w:bCs/>
                <w:i/>
                <w:iCs/>
                <w:noProof/>
                <w:color w:val="000000"/>
                <w:sz w:val="20"/>
                <w:szCs w:val="20"/>
                <w:lang w:val="en-IE" w:eastAsia="en-IE"/>
              </w:rPr>
              <w:t>0</w:t>
            </w:r>
          </w:p>
        </w:tc>
      </w:tr>
      <w:tr w:rsidR="00BB1D84" w:rsidRPr="002D73DA" w:rsidTr="004509F8">
        <w:trPr>
          <w:trHeight w:val="585"/>
          <w:jc w:val="center"/>
        </w:trPr>
        <w:tc>
          <w:tcPr>
            <w:tcW w:w="3697" w:type="dxa"/>
            <w:vAlign w:val="center"/>
          </w:tcPr>
          <w:p w:rsidR="00BB1D84" w:rsidRPr="002D73DA" w:rsidRDefault="00BB1D84">
            <w:pPr>
              <w:spacing w:before="60" w:after="60"/>
              <w:jc w:val="left"/>
              <w:rPr>
                <w:noProof/>
                <w:sz w:val="20"/>
                <w:szCs w:val="20"/>
              </w:rPr>
            </w:pPr>
            <w:r w:rsidRPr="002D73DA">
              <w:rPr>
                <w:noProof/>
                <w:sz w:val="20"/>
                <w:szCs w:val="20"/>
              </w:rPr>
              <w:t xml:space="preserve">Contract </w:t>
            </w:r>
            <w:r>
              <w:rPr>
                <w:noProof/>
                <w:sz w:val="20"/>
                <w:szCs w:val="20"/>
              </w:rPr>
              <w:t>agents</w:t>
            </w: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r>
              <w:rPr>
                <w:noProof/>
                <w:sz w:val="20"/>
                <w:szCs w:val="20"/>
              </w:rPr>
              <w:t>2</w:t>
            </w:r>
          </w:p>
        </w:tc>
        <w:tc>
          <w:tcPr>
            <w:tcW w:w="1450" w:type="dxa"/>
            <w:vAlign w:val="center"/>
          </w:tcPr>
          <w:p w:rsidR="00BB1D84" w:rsidRPr="00AD1178" w:rsidRDefault="00BB1D84">
            <w:pPr>
              <w:spacing w:before="60" w:after="60"/>
              <w:jc w:val="right"/>
              <w:rPr>
                <w:noProof/>
                <w:sz w:val="20"/>
                <w:szCs w:val="20"/>
              </w:rPr>
            </w:pPr>
            <w:r>
              <w:rPr>
                <w:noProof/>
                <w:sz w:val="20"/>
                <w:szCs w:val="20"/>
              </w:rPr>
              <w:t>2</w:t>
            </w:r>
          </w:p>
        </w:tc>
      </w:tr>
      <w:tr w:rsidR="00BB1D84" w:rsidRPr="002D73DA" w:rsidTr="004509F8">
        <w:trPr>
          <w:trHeight w:val="585"/>
          <w:jc w:val="center"/>
        </w:trPr>
        <w:tc>
          <w:tcPr>
            <w:tcW w:w="3697" w:type="dxa"/>
            <w:vAlign w:val="center"/>
          </w:tcPr>
          <w:p w:rsidR="00BB1D84" w:rsidRPr="002D73DA" w:rsidRDefault="00BB1D84">
            <w:pPr>
              <w:spacing w:before="60" w:after="60"/>
              <w:jc w:val="left"/>
              <w:rPr>
                <w:noProof/>
                <w:sz w:val="20"/>
                <w:szCs w:val="20"/>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49"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c>
          <w:tcPr>
            <w:tcW w:w="1450" w:type="dxa"/>
            <w:vAlign w:val="center"/>
          </w:tcPr>
          <w:p w:rsidR="00BB1D84" w:rsidRPr="00AD1178" w:rsidRDefault="00BB1D84">
            <w:pPr>
              <w:spacing w:before="60" w:after="60"/>
              <w:jc w:val="right"/>
              <w:rPr>
                <w:noProof/>
                <w:sz w:val="20"/>
                <w:szCs w:val="20"/>
              </w:rPr>
            </w:pPr>
          </w:p>
        </w:tc>
      </w:tr>
      <w:tr w:rsidR="00BB1D84" w:rsidRPr="002D73DA" w:rsidTr="004509F8">
        <w:trPr>
          <w:trHeight w:val="585"/>
          <w:jc w:val="center"/>
        </w:trPr>
        <w:tc>
          <w:tcPr>
            <w:tcW w:w="3697" w:type="dxa"/>
            <w:tcBorders>
              <w:bottom w:val="single" w:sz="4" w:space="0" w:color="auto"/>
            </w:tcBorders>
            <w:vAlign w:val="center"/>
          </w:tcPr>
          <w:p w:rsidR="00BB1D84" w:rsidRPr="005279FF" w:rsidRDefault="00BB1D84">
            <w:pPr>
              <w:spacing w:before="60" w:after="60"/>
              <w:jc w:val="left"/>
              <w:rPr>
                <w:i/>
                <w:iCs/>
                <w:noProof/>
                <w:sz w:val="20"/>
                <w:szCs w:val="20"/>
              </w:rPr>
            </w:pPr>
            <w:r w:rsidRPr="005279FF">
              <w:rPr>
                <w:i/>
                <w:iCs/>
                <w:noProof/>
                <w:sz w:val="20"/>
                <w:szCs w:val="20"/>
              </w:rPr>
              <w:t xml:space="preserve">Contract </w:t>
            </w:r>
            <w:r>
              <w:rPr>
                <w:i/>
                <w:iCs/>
                <w:noProof/>
                <w:sz w:val="20"/>
                <w:szCs w:val="20"/>
              </w:rPr>
              <w:t>agents</w:t>
            </w:r>
            <w:r w:rsidRPr="005279FF">
              <w:rPr>
                <w:i/>
                <w:iCs/>
                <w:noProof/>
                <w:sz w:val="20"/>
                <w:szCs w:val="20"/>
              </w:rPr>
              <w:t xml:space="preserve"> and </w:t>
            </w:r>
            <w:r>
              <w:rPr>
                <w:i/>
                <w:iCs/>
                <w:noProof/>
                <w:sz w:val="20"/>
                <w:szCs w:val="20"/>
              </w:rPr>
              <w:t>seconded national experts subtotal</w:t>
            </w:r>
          </w:p>
        </w:tc>
        <w:tc>
          <w:tcPr>
            <w:tcW w:w="1449" w:type="dxa"/>
            <w:tcBorders>
              <w:bottom w:val="single" w:sz="4" w:space="0" w:color="auto"/>
            </w:tcBorders>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50" w:type="dxa"/>
            <w:tcBorders>
              <w:bottom w:val="single" w:sz="4" w:space="0" w:color="auto"/>
            </w:tcBorders>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49" w:type="dxa"/>
            <w:tcBorders>
              <w:bottom w:val="single" w:sz="4" w:space="0" w:color="auto"/>
            </w:tcBorders>
            <w:vAlign w:val="center"/>
          </w:tcPr>
          <w:p w:rsidR="00BB1D84" w:rsidRPr="00AD1178" w:rsidRDefault="00BB1D84">
            <w:pPr>
              <w:spacing w:before="60" w:after="60"/>
              <w:jc w:val="right"/>
              <w:rPr>
                <w:i/>
                <w:iCs/>
                <w:noProof/>
                <w:sz w:val="20"/>
                <w:szCs w:val="20"/>
              </w:rPr>
            </w:pPr>
            <w:r w:rsidRPr="00AD1178">
              <w:rPr>
                <w:b/>
                <w:bCs/>
                <w:i/>
                <w:iCs/>
                <w:noProof/>
                <w:color w:val="000000"/>
                <w:sz w:val="20"/>
                <w:szCs w:val="20"/>
                <w:lang w:val="en-IE" w:eastAsia="en-IE"/>
              </w:rPr>
              <w:t>0</w:t>
            </w:r>
          </w:p>
        </w:tc>
        <w:tc>
          <w:tcPr>
            <w:tcW w:w="1450" w:type="dxa"/>
            <w:tcBorders>
              <w:bottom w:val="single" w:sz="4" w:space="0" w:color="auto"/>
            </w:tcBorders>
            <w:vAlign w:val="center"/>
          </w:tcPr>
          <w:p w:rsidR="00BB1D84" w:rsidRPr="00CB586D" w:rsidRDefault="00BB1D84">
            <w:pPr>
              <w:spacing w:before="60" w:after="60"/>
              <w:jc w:val="right"/>
              <w:rPr>
                <w:b/>
                <w:i/>
                <w:noProof/>
                <w:sz w:val="20"/>
                <w:szCs w:val="20"/>
              </w:rPr>
            </w:pPr>
            <w:r w:rsidRPr="00CB586D">
              <w:rPr>
                <w:b/>
                <w:bCs/>
                <w:i/>
                <w:iCs/>
                <w:noProof/>
                <w:sz w:val="20"/>
                <w:szCs w:val="20"/>
              </w:rPr>
              <w:t>2</w:t>
            </w:r>
          </w:p>
        </w:tc>
        <w:tc>
          <w:tcPr>
            <w:tcW w:w="1450" w:type="dxa"/>
            <w:tcBorders>
              <w:bottom w:val="single" w:sz="4" w:space="0" w:color="auto"/>
            </w:tcBorders>
            <w:vAlign w:val="center"/>
          </w:tcPr>
          <w:p w:rsidR="00BB1D84" w:rsidRPr="00AD1178" w:rsidRDefault="00BB1D84">
            <w:pPr>
              <w:spacing w:before="60" w:after="60"/>
              <w:jc w:val="right"/>
              <w:rPr>
                <w:b/>
                <w:bCs/>
                <w:i/>
                <w:iCs/>
                <w:noProof/>
                <w:color w:val="000000"/>
                <w:sz w:val="20"/>
                <w:szCs w:val="20"/>
                <w:lang w:val="en-IE" w:eastAsia="en-IE"/>
              </w:rPr>
            </w:pPr>
            <w:r>
              <w:rPr>
                <w:b/>
                <w:bCs/>
                <w:i/>
                <w:iCs/>
                <w:noProof/>
                <w:color w:val="000000"/>
                <w:sz w:val="20"/>
                <w:szCs w:val="20"/>
                <w:lang w:val="en-IE" w:eastAsia="en-IE"/>
              </w:rPr>
              <w:t>2</w:t>
            </w:r>
          </w:p>
        </w:tc>
      </w:tr>
      <w:tr w:rsidR="00BB1D84" w:rsidRPr="002D73DA" w:rsidTr="004509F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85"/>
          <w:jc w:val="center"/>
        </w:trPr>
        <w:tc>
          <w:tcPr>
            <w:tcW w:w="3697" w:type="dxa"/>
            <w:tcBorders>
              <w:top w:val="single" w:sz="4" w:space="0" w:color="auto"/>
              <w:left w:val="single" w:sz="4" w:space="0" w:color="auto"/>
              <w:bottom w:val="single" w:sz="4" w:space="0" w:color="auto"/>
              <w:right w:val="single" w:sz="4" w:space="0" w:color="auto"/>
            </w:tcBorders>
            <w:vAlign w:val="center"/>
          </w:tcPr>
          <w:p w:rsidR="00BB1D84" w:rsidRPr="002D73DA" w:rsidRDefault="00BB1D84">
            <w:pPr>
              <w:spacing w:before="60" w:after="60"/>
              <w:jc w:val="left"/>
              <w:rPr>
                <w:noProof/>
                <w:sz w:val="20"/>
                <w:szCs w:val="20"/>
              </w:rPr>
            </w:pPr>
            <w:r w:rsidRPr="002D73DA">
              <w:rPr>
                <w:b/>
                <w:noProof/>
                <w:sz w:val="20"/>
                <w:szCs w:val="20"/>
              </w:rPr>
              <w:t>TOTAL</w:t>
            </w:r>
            <w:r>
              <w:rPr>
                <w:b/>
                <w:noProof/>
                <w:sz w:val="20"/>
                <w:szCs w:val="20"/>
              </w:rPr>
              <w:t xml:space="preserve"> staff</w:t>
            </w:r>
          </w:p>
        </w:tc>
        <w:tc>
          <w:tcPr>
            <w:tcW w:w="1449" w:type="dxa"/>
            <w:tcBorders>
              <w:top w:val="single" w:sz="4" w:space="0" w:color="auto"/>
              <w:left w:val="single" w:sz="4" w:space="0" w:color="auto"/>
              <w:bottom w:val="single" w:sz="4" w:space="0" w:color="auto"/>
              <w:right w:val="single" w:sz="4" w:space="0" w:color="auto"/>
            </w:tcBorders>
            <w:vAlign w:val="center"/>
          </w:tcPr>
          <w:p w:rsidR="00BB1D84" w:rsidRPr="00AD1178" w:rsidRDefault="00BB1D84">
            <w:pPr>
              <w:spacing w:before="60" w:after="60"/>
              <w:jc w:val="right"/>
              <w:rPr>
                <w:noProof/>
                <w:sz w:val="20"/>
                <w:szCs w:val="20"/>
              </w:rPr>
            </w:pPr>
            <w:r w:rsidRPr="00AD1178">
              <w:rPr>
                <w:b/>
                <w:bCs/>
                <w:noProof/>
                <w:color w:val="000000"/>
                <w:sz w:val="20"/>
                <w:szCs w:val="20"/>
                <w:lang w:val="en-IE"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rsidR="00BB1D84" w:rsidRPr="00AD1178" w:rsidRDefault="00BB1D84">
            <w:pPr>
              <w:spacing w:before="60" w:after="60"/>
              <w:jc w:val="right"/>
              <w:rPr>
                <w:b/>
                <w:noProof/>
                <w:sz w:val="20"/>
                <w:szCs w:val="20"/>
              </w:rPr>
            </w:pPr>
            <w:r w:rsidRPr="00AD1178">
              <w:rPr>
                <w:b/>
                <w:bCs/>
                <w:noProof/>
                <w:color w:val="000000"/>
                <w:sz w:val="20"/>
                <w:szCs w:val="20"/>
                <w:lang w:val="en-IE" w:eastAsia="en-IE"/>
              </w:rPr>
              <w:t>0</w:t>
            </w:r>
          </w:p>
        </w:tc>
        <w:tc>
          <w:tcPr>
            <w:tcW w:w="1449" w:type="dxa"/>
            <w:tcBorders>
              <w:top w:val="single" w:sz="4" w:space="0" w:color="auto"/>
              <w:left w:val="single" w:sz="4" w:space="0" w:color="auto"/>
              <w:bottom w:val="single" w:sz="4" w:space="0" w:color="auto"/>
              <w:right w:val="single" w:sz="4" w:space="0" w:color="auto"/>
            </w:tcBorders>
            <w:vAlign w:val="center"/>
          </w:tcPr>
          <w:p w:rsidR="00BB1D84" w:rsidRPr="00AD1178" w:rsidRDefault="00BB1D84">
            <w:pPr>
              <w:spacing w:before="60" w:after="60"/>
              <w:jc w:val="right"/>
              <w:rPr>
                <w:b/>
                <w:noProof/>
                <w:sz w:val="20"/>
                <w:szCs w:val="20"/>
              </w:rPr>
            </w:pPr>
            <w:r w:rsidRPr="00AD1178">
              <w:rPr>
                <w:b/>
                <w:bCs/>
                <w:noProof/>
                <w:color w:val="000000"/>
                <w:sz w:val="20"/>
                <w:szCs w:val="20"/>
                <w:lang w:val="en-IE" w:eastAsia="en-IE"/>
              </w:rPr>
              <w:t>0</w:t>
            </w:r>
          </w:p>
        </w:tc>
        <w:tc>
          <w:tcPr>
            <w:tcW w:w="1450" w:type="dxa"/>
            <w:tcBorders>
              <w:top w:val="single" w:sz="4" w:space="0" w:color="auto"/>
              <w:left w:val="single" w:sz="4" w:space="0" w:color="auto"/>
              <w:bottom w:val="single" w:sz="4" w:space="0" w:color="auto"/>
              <w:right w:val="single" w:sz="4" w:space="0" w:color="auto"/>
            </w:tcBorders>
            <w:vAlign w:val="center"/>
          </w:tcPr>
          <w:p w:rsidR="00BB1D84" w:rsidRPr="00AD1178" w:rsidRDefault="00BB1D84">
            <w:pPr>
              <w:spacing w:before="60" w:after="60"/>
              <w:jc w:val="right"/>
              <w:rPr>
                <w:b/>
                <w:noProof/>
                <w:sz w:val="20"/>
                <w:szCs w:val="20"/>
              </w:rPr>
            </w:pPr>
            <w:r>
              <w:rPr>
                <w:b/>
                <w:bCs/>
                <w:noProof/>
                <w:color w:val="000000"/>
                <w:sz w:val="20"/>
                <w:szCs w:val="20"/>
                <w:lang w:val="en-IE" w:eastAsia="en-IE"/>
              </w:rPr>
              <w:t>2</w:t>
            </w:r>
          </w:p>
        </w:tc>
        <w:tc>
          <w:tcPr>
            <w:tcW w:w="1450" w:type="dxa"/>
            <w:tcBorders>
              <w:top w:val="single" w:sz="4" w:space="0" w:color="auto"/>
              <w:left w:val="single" w:sz="4" w:space="0" w:color="auto"/>
              <w:bottom w:val="single" w:sz="4" w:space="0" w:color="auto"/>
              <w:right w:val="single" w:sz="4" w:space="0" w:color="auto"/>
            </w:tcBorders>
            <w:vAlign w:val="center"/>
          </w:tcPr>
          <w:p w:rsidR="00BB1D84" w:rsidRPr="00AD1178" w:rsidRDefault="00BB1D84">
            <w:pPr>
              <w:spacing w:before="60" w:after="60"/>
              <w:jc w:val="right"/>
              <w:rPr>
                <w:b/>
                <w:bCs/>
                <w:noProof/>
                <w:color w:val="000000"/>
                <w:sz w:val="20"/>
                <w:szCs w:val="20"/>
                <w:lang w:val="en-IE" w:eastAsia="en-IE"/>
              </w:rPr>
            </w:pPr>
            <w:r>
              <w:rPr>
                <w:b/>
                <w:bCs/>
                <w:noProof/>
                <w:color w:val="000000"/>
                <w:sz w:val="20"/>
                <w:szCs w:val="20"/>
                <w:lang w:val="en-IE" w:eastAsia="en-IE"/>
              </w:rPr>
              <w:t>2</w:t>
            </w:r>
          </w:p>
        </w:tc>
      </w:tr>
    </w:tbl>
    <w:p w:rsidR="00BB1D84" w:rsidRDefault="00BB1D84" w:rsidP="00BB1D84">
      <w:pPr>
        <w:spacing w:before="240"/>
        <w:rPr>
          <w:noProof/>
          <w:sz w:val="22"/>
          <w:u w:val="single"/>
          <w:lang w:val="en-IE"/>
        </w:rPr>
      </w:pPr>
      <w:r w:rsidRPr="003F4D71">
        <w:rPr>
          <w:noProof/>
          <w:sz w:val="22"/>
          <w:u w:val="single"/>
          <w:lang w:val="en-IE"/>
        </w:rPr>
        <w:t xml:space="preserve">Appropriations covered by the EU </w:t>
      </w:r>
      <w:r>
        <w:rPr>
          <w:noProof/>
          <w:sz w:val="22"/>
          <w:u w:val="single"/>
          <w:lang w:val="en-IE"/>
        </w:rPr>
        <w:t>b</w:t>
      </w:r>
      <w:r w:rsidRPr="003F4D71">
        <w:rPr>
          <w:noProof/>
          <w:sz w:val="22"/>
          <w:u w:val="single"/>
          <w:lang w:val="en-IE"/>
        </w:rPr>
        <w:t>udget contribution in EUR million (to three decimal places)</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rsidR="00BB1D84" w:rsidTr="004509F8">
        <w:trPr>
          <w:cantSplit/>
        </w:trPr>
        <w:tc>
          <w:tcPr>
            <w:tcW w:w="3101" w:type="dxa"/>
            <w:vAlign w:val="center"/>
          </w:tcPr>
          <w:p w:rsidR="00BB1D84" w:rsidRPr="00070628" w:rsidRDefault="00BB1D84">
            <w:pPr>
              <w:spacing w:before="60" w:after="60"/>
              <w:jc w:val="center"/>
              <w:rPr>
                <w:b/>
                <w:bCs/>
                <w:noProof/>
                <w:color w:val="444444"/>
                <w:sz w:val="20"/>
                <w:szCs w:val="20"/>
                <w:shd w:val="clear" w:color="auto" w:fill="FFFFFF"/>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ACER</w:t>
            </w:r>
          </w:p>
        </w:tc>
        <w:tc>
          <w:tcPr>
            <w:tcW w:w="992" w:type="dxa"/>
            <w:vAlign w:val="center"/>
          </w:tcPr>
          <w:p w:rsidR="00BB1D84" w:rsidRDefault="00BB1D84">
            <w:pPr>
              <w:jc w:val="center"/>
              <w:rPr>
                <w:noProof/>
                <w:sz w:val="20"/>
              </w:rPr>
            </w:pPr>
            <w:r>
              <w:rPr>
                <w:noProof/>
                <w:sz w:val="20"/>
              </w:rPr>
              <w:t xml:space="preserve">Year </w:t>
            </w:r>
            <w:r w:rsidRPr="00070628">
              <w:rPr>
                <w:b/>
                <w:bCs/>
                <w:noProof/>
                <w:sz w:val="20"/>
              </w:rPr>
              <w:t>2024</w:t>
            </w:r>
          </w:p>
        </w:tc>
        <w:tc>
          <w:tcPr>
            <w:tcW w:w="994" w:type="dxa"/>
            <w:vAlign w:val="center"/>
          </w:tcPr>
          <w:p w:rsidR="00BB1D84" w:rsidRDefault="00BB1D84">
            <w:pPr>
              <w:jc w:val="center"/>
              <w:rPr>
                <w:noProof/>
                <w:sz w:val="20"/>
              </w:rPr>
            </w:pPr>
            <w:r>
              <w:rPr>
                <w:noProof/>
                <w:sz w:val="20"/>
              </w:rPr>
              <w:t>Year</w:t>
            </w:r>
            <w:r>
              <w:rPr>
                <w:b/>
                <w:noProof/>
                <w:sz w:val="20"/>
              </w:rPr>
              <w:t xml:space="preserve"> 2025</w:t>
            </w:r>
          </w:p>
        </w:tc>
        <w:tc>
          <w:tcPr>
            <w:tcW w:w="994" w:type="dxa"/>
            <w:vAlign w:val="center"/>
          </w:tcPr>
          <w:p w:rsidR="00BB1D84" w:rsidRDefault="00BB1D84">
            <w:pPr>
              <w:jc w:val="center"/>
              <w:rPr>
                <w:noProof/>
                <w:sz w:val="20"/>
              </w:rPr>
            </w:pPr>
            <w:r>
              <w:rPr>
                <w:noProof/>
                <w:sz w:val="20"/>
              </w:rPr>
              <w:t xml:space="preserve">Year </w:t>
            </w:r>
            <w:r>
              <w:rPr>
                <w:b/>
                <w:noProof/>
                <w:sz w:val="20"/>
              </w:rPr>
              <w:t>2026</w:t>
            </w:r>
          </w:p>
        </w:tc>
        <w:tc>
          <w:tcPr>
            <w:tcW w:w="994" w:type="dxa"/>
            <w:vAlign w:val="center"/>
          </w:tcPr>
          <w:p w:rsidR="00BB1D84" w:rsidRDefault="00BB1D84">
            <w:pPr>
              <w:jc w:val="center"/>
              <w:rPr>
                <w:noProof/>
                <w:sz w:val="20"/>
              </w:rPr>
            </w:pPr>
            <w:r>
              <w:rPr>
                <w:noProof/>
                <w:sz w:val="20"/>
              </w:rPr>
              <w:t xml:space="preserve">Year </w:t>
            </w:r>
            <w:r>
              <w:rPr>
                <w:b/>
                <w:noProof/>
                <w:sz w:val="20"/>
              </w:rPr>
              <w:t>2027</w:t>
            </w:r>
          </w:p>
        </w:tc>
        <w:tc>
          <w:tcPr>
            <w:tcW w:w="1107" w:type="dxa"/>
            <w:vAlign w:val="center"/>
          </w:tcPr>
          <w:p w:rsidR="00BB1D84" w:rsidRPr="004C127A" w:rsidRDefault="00BB1D84">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2021 - 2027</w:t>
            </w:r>
          </w:p>
        </w:tc>
        <w:tc>
          <w:tcPr>
            <w:tcW w:w="1107" w:type="dxa"/>
          </w:tcPr>
          <w:p w:rsidR="00BB1D84" w:rsidRDefault="00BB1D84">
            <w:pPr>
              <w:spacing w:before="60" w:after="60"/>
              <w:jc w:val="center"/>
              <w:rPr>
                <w:b/>
                <w:bCs/>
                <w:noProof/>
                <w:color w:val="000000"/>
                <w:sz w:val="20"/>
                <w:szCs w:val="20"/>
                <w:lang w:val="en-IE" w:eastAsia="en-IE"/>
              </w:rPr>
            </w:pPr>
            <w:r>
              <w:rPr>
                <w:b/>
                <w:bCs/>
                <w:noProof/>
                <w:color w:val="000000"/>
                <w:sz w:val="20"/>
                <w:szCs w:val="20"/>
                <w:lang w:val="en-IE" w:eastAsia="en-IE"/>
              </w:rPr>
              <w:t>TOTAL 2028-2034</w:t>
            </w:r>
          </w:p>
        </w:tc>
      </w:tr>
      <w:tr w:rsidR="00BB1D84" w:rsidRPr="003A769F" w:rsidTr="004509F8">
        <w:trPr>
          <w:cantSplit/>
          <w:trHeight w:val="700"/>
        </w:trPr>
        <w:tc>
          <w:tcPr>
            <w:tcW w:w="3101" w:type="dxa"/>
            <w:vAlign w:val="center"/>
          </w:tcPr>
          <w:p w:rsidR="00BB1D84" w:rsidRPr="003A769F" w:rsidRDefault="00BB1D84">
            <w:pPr>
              <w:jc w:val="left"/>
              <w:rPr>
                <w:noProof/>
                <w:lang w:val="en-IE"/>
              </w:rPr>
            </w:pPr>
            <w:r w:rsidRPr="004B2A0E">
              <w:rPr>
                <w:noProof/>
                <w:sz w:val="20"/>
                <w:szCs w:val="20"/>
              </w:rPr>
              <w:t>Title 1:</w:t>
            </w:r>
            <w:r>
              <w:rPr>
                <w:noProof/>
                <w:sz w:val="20"/>
                <w:szCs w:val="20"/>
              </w:rPr>
              <w:t xml:space="preserve"> Staff expenditure</w:t>
            </w:r>
          </w:p>
        </w:tc>
        <w:tc>
          <w:tcPr>
            <w:tcW w:w="992"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r>
              <w:rPr>
                <w:noProof/>
                <w:color w:val="000000"/>
                <w:sz w:val="20"/>
                <w:szCs w:val="20"/>
              </w:rPr>
              <w:t>0</w:t>
            </w:r>
            <w:r w:rsidR="00A416DB">
              <w:rPr>
                <w:noProof/>
                <w:color w:val="000000"/>
                <w:sz w:val="20"/>
                <w:szCs w:val="20"/>
              </w:rPr>
              <w:t>.</w:t>
            </w:r>
            <w:r>
              <w:rPr>
                <w:noProof/>
                <w:color w:val="000000"/>
                <w:sz w:val="20"/>
                <w:szCs w:val="20"/>
              </w:rPr>
              <w:t>091</w:t>
            </w:r>
            <w:r>
              <w:rPr>
                <w:rStyle w:val="FootnoteReference"/>
                <w:noProof/>
                <w:color w:val="000000"/>
                <w:sz w:val="20"/>
                <w:szCs w:val="20"/>
              </w:rPr>
              <w:footnoteReference w:id="51"/>
            </w:r>
          </w:p>
        </w:tc>
        <w:tc>
          <w:tcPr>
            <w:tcW w:w="1107" w:type="dxa"/>
            <w:vAlign w:val="center"/>
          </w:tcPr>
          <w:p w:rsidR="00BB1D84" w:rsidRPr="003A769F" w:rsidRDefault="00BB1D84">
            <w:pPr>
              <w:spacing w:before="60" w:after="60"/>
              <w:jc w:val="right"/>
              <w:rPr>
                <w:noProof/>
                <w:sz w:val="20"/>
                <w:szCs w:val="20"/>
                <w:lang w:val="en-IE"/>
              </w:rPr>
            </w:pPr>
            <w:r>
              <w:rPr>
                <w:b/>
                <w:bCs/>
                <w:noProof/>
                <w:color w:val="000000"/>
                <w:sz w:val="20"/>
                <w:szCs w:val="20"/>
              </w:rPr>
              <w:t>0</w:t>
            </w:r>
            <w:r w:rsidR="00A416DB">
              <w:rPr>
                <w:b/>
                <w:bCs/>
                <w:noProof/>
                <w:color w:val="000000"/>
                <w:sz w:val="20"/>
                <w:szCs w:val="20"/>
              </w:rPr>
              <w:t>.</w:t>
            </w:r>
            <w:r>
              <w:rPr>
                <w:b/>
                <w:bCs/>
                <w:noProof/>
                <w:color w:val="000000"/>
                <w:sz w:val="20"/>
                <w:szCs w:val="20"/>
              </w:rPr>
              <w:t>091</w:t>
            </w:r>
          </w:p>
        </w:tc>
        <w:tc>
          <w:tcPr>
            <w:tcW w:w="1107" w:type="dxa"/>
            <w:vAlign w:val="center"/>
          </w:tcPr>
          <w:p w:rsidR="00BB1D84" w:rsidRDefault="00BB1D84">
            <w:pPr>
              <w:spacing w:before="60" w:after="60"/>
              <w:jc w:val="right"/>
              <w:rPr>
                <w:noProof/>
                <w:color w:val="000000"/>
                <w:sz w:val="20"/>
                <w:szCs w:val="20"/>
              </w:rPr>
            </w:pPr>
            <w:r>
              <w:rPr>
                <w:noProof/>
                <w:color w:val="000000"/>
                <w:sz w:val="20"/>
                <w:szCs w:val="20"/>
              </w:rPr>
              <w:t>1</w:t>
            </w:r>
            <w:r w:rsidR="00A416DB">
              <w:rPr>
                <w:noProof/>
                <w:color w:val="000000"/>
                <w:sz w:val="20"/>
                <w:szCs w:val="20"/>
              </w:rPr>
              <w:t>.</w:t>
            </w:r>
            <w:r>
              <w:rPr>
                <w:noProof/>
                <w:color w:val="000000"/>
                <w:sz w:val="20"/>
                <w:szCs w:val="20"/>
              </w:rPr>
              <w:t>379</w:t>
            </w:r>
          </w:p>
        </w:tc>
      </w:tr>
      <w:tr w:rsidR="00BB1D84" w:rsidRPr="003A769F" w:rsidTr="004509F8">
        <w:trPr>
          <w:cantSplit/>
          <w:trHeight w:val="700"/>
        </w:trPr>
        <w:tc>
          <w:tcPr>
            <w:tcW w:w="3101" w:type="dxa"/>
            <w:vAlign w:val="center"/>
          </w:tcPr>
          <w:p w:rsidR="00BB1D84" w:rsidRPr="003A769F" w:rsidRDefault="00BB1D84">
            <w:pPr>
              <w:jc w:val="left"/>
              <w:rPr>
                <w:noProof/>
                <w:sz w:val="20"/>
                <w:lang w:val="en-IE"/>
              </w:rPr>
            </w:pPr>
            <w:r w:rsidRPr="004B2A0E">
              <w:rPr>
                <w:noProof/>
                <w:sz w:val="20"/>
                <w:szCs w:val="20"/>
              </w:rPr>
              <w:t>Title 2:</w:t>
            </w:r>
            <w:r>
              <w:rPr>
                <w:noProof/>
                <w:sz w:val="20"/>
                <w:szCs w:val="20"/>
              </w:rPr>
              <w:t xml:space="preserve"> Infrastructure and operating expenditure</w:t>
            </w:r>
          </w:p>
        </w:tc>
        <w:tc>
          <w:tcPr>
            <w:tcW w:w="992"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r>
              <w:rPr>
                <w:noProof/>
                <w:color w:val="000000"/>
                <w:sz w:val="20"/>
                <w:szCs w:val="20"/>
              </w:rPr>
              <w:t> </w:t>
            </w:r>
          </w:p>
        </w:tc>
        <w:tc>
          <w:tcPr>
            <w:tcW w:w="1107" w:type="dxa"/>
            <w:vAlign w:val="center"/>
          </w:tcPr>
          <w:p w:rsidR="00BB1D84" w:rsidRPr="003A769F" w:rsidRDefault="00BB1D84">
            <w:pPr>
              <w:spacing w:before="60" w:after="60"/>
              <w:jc w:val="right"/>
              <w:rPr>
                <w:noProof/>
                <w:sz w:val="20"/>
                <w:szCs w:val="20"/>
                <w:lang w:val="en-IE"/>
              </w:rPr>
            </w:pPr>
            <w:r>
              <w:rPr>
                <w:b/>
                <w:noProof/>
                <w:color w:val="000000"/>
                <w:sz w:val="20"/>
                <w:szCs w:val="20"/>
              </w:rPr>
              <w:t>0</w:t>
            </w:r>
            <w:r w:rsidR="00A416DB">
              <w:rPr>
                <w:b/>
                <w:bCs/>
                <w:noProof/>
                <w:color w:val="000000"/>
                <w:sz w:val="20"/>
                <w:szCs w:val="20"/>
              </w:rPr>
              <w:t>.</w:t>
            </w:r>
            <w:r>
              <w:rPr>
                <w:b/>
                <w:noProof/>
                <w:color w:val="000000"/>
                <w:sz w:val="20"/>
                <w:szCs w:val="20"/>
              </w:rPr>
              <w:t>000</w:t>
            </w:r>
          </w:p>
        </w:tc>
        <w:tc>
          <w:tcPr>
            <w:tcW w:w="1107" w:type="dxa"/>
            <w:vAlign w:val="center"/>
          </w:tcPr>
          <w:p w:rsidR="00BB1D84" w:rsidRDefault="00BB1D84">
            <w:pPr>
              <w:spacing w:before="60" w:after="60"/>
              <w:jc w:val="right"/>
              <w:rPr>
                <w:noProof/>
                <w:color w:val="000000"/>
                <w:sz w:val="20"/>
                <w:szCs w:val="20"/>
              </w:rPr>
            </w:pPr>
            <w:r>
              <w:rPr>
                <w:noProof/>
                <w:color w:val="000000"/>
                <w:sz w:val="20"/>
                <w:szCs w:val="20"/>
              </w:rPr>
              <w:t> </w:t>
            </w:r>
          </w:p>
        </w:tc>
      </w:tr>
      <w:tr w:rsidR="00BB1D84" w:rsidRPr="003A769F" w:rsidTr="004509F8">
        <w:trPr>
          <w:cantSplit/>
          <w:trHeight w:val="700"/>
        </w:trPr>
        <w:tc>
          <w:tcPr>
            <w:tcW w:w="3101" w:type="dxa"/>
            <w:vAlign w:val="center"/>
          </w:tcPr>
          <w:p w:rsidR="00BB1D84" w:rsidRPr="003A769F" w:rsidRDefault="00BB1D84">
            <w:pPr>
              <w:jc w:val="left"/>
              <w:rPr>
                <w:noProof/>
                <w:sz w:val="20"/>
                <w:lang w:val="en-IE"/>
              </w:rPr>
            </w:pPr>
            <w:r w:rsidRPr="004B2A0E">
              <w:rPr>
                <w:noProof/>
                <w:sz w:val="20"/>
                <w:szCs w:val="20"/>
              </w:rPr>
              <w:t>Title</w:t>
            </w:r>
            <w:r>
              <w:rPr>
                <w:noProof/>
                <w:sz w:val="20"/>
                <w:szCs w:val="20"/>
              </w:rPr>
              <w:t xml:space="preserve"> </w:t>
            </w:r>
            <w:r w:rsidRPr="004B2A0E">
              <w:rPr>
                <w:noProof/>
                <w:sz w:val="20"/>
                <w:szCs w:val="20"/>
              </w:rPr>
              <w:t>3:</w:t>
            </w:r>
            <w:r>
              <w:rPr>
                <w:noProof/>
                <w:sz w:val="20"/>
                <w:szCs w:val="20"/>
              </w:rPr>
              <w:t xml:space="preserve"> Operational expenditure</w:t>
            </w:r>
          </w:p>
        </w:tc>
        <w:tc>
          <w:tcPr>
            <w:tcW w:w="992"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p>
        </w:tc>
        <w:tc>
          <w:tcPr>
            <w:tcW w:w="994" w:type="dxa"/>
            <w:vAlign w:val="center"/>
          </w:tcPr>
          <w:p w:rsidR="00BB1D84" w:rsidRPr="003A769F" w:rsidRDefault="00BB1D84">
            <w:pPr>
              <w:spacing w:before="60" w:after="60"/>
              <w:jc w:val="right"/>
              <w:rPr>
                <w:noProof/>
                <w:sz w:val="20"/>
                <w:lang w:val="en-IE"/>
              </w:rPr>
            </w:pPr>
            <w:r>
              <w:rPr>
                <w:noProof/>
                <w:color w:val="000000"/>
                <w:sz w:val="20"/>
                <w:szCs w:val="20"/>
              </w:rPr>
              <w:t>0</w:t>
            </w:r>
            <w:r w:rsidR="00A416DB">
              <w:rPr>
                <w:noProof/>
                <w:color w:val="000000"/>
                <w:sz w:val="20"/>
                <w:szCs w:val="20"/>
              </w:rPr>
              <w:t>.</w:t>
            </w:r>
            <w:r>
              <w:rPr>
                <w:noProof/>
                <w:color w:val="000000"/>
                <w:sz w:val="20"/>
                <w:szCs w:val="20"/>
              </w:rPr>
              <w:t>300</w:t>
            </w:r>
          </w:p>
        </w:tc>
        <w:tc>
          <w:tcPr>
            <w:tcW w:w="1107" w:type="dxa"/>
            <w:vAlign w:val="center"/>
          </w:tcPr>
          <w:p w:rsidR="00BB1D84" w:rsidRPr="003A769F" w:rsidRDefault="00BB1D84">
            <w:pPr>
              <w:spacing w:before="60" w:after="60"/>
              <w:jc w:val="right"/>
              <w:rPr>
                <w:noProof/>
                <w:sz w:val="20"/>
                <w:szCs w:val="20"/>
                <w:lang w:val="en-IE"/>
              </w:rPr>
            </w:pPr>
            <w:r>
              <w:rPr>
                <w:b/>
                <w:bCs/>
                <w:noProof/>
                <w:color w:val="000000"/>
                <w:sz w:val="20"/>
                <w:szCs w:val="20"/>
              </w:rPr>
              <w:t>0</w:t>
            </w:r>
            <w:r w:rsidR="00A416DB">
              <w:rPr>
                <w:b/>
                <w:bCs/>
                <w:noProof/>
                <w:color w:val="000000"/>
                <w:sz w:val="20"/>
                <w:szCs w:val="20"/>
              </w:rPr>
              <w:t>.</w:t>
            </w:r>
            <w:r>
              <w:rPr>
                <w:b/>
                <w:bCs/>
                <w:noProof/>
                <w:color w:val="000000"/>
                <w:sz w:val="20"/>
                <w:szCs w:val="20"/>
              </w:rPr>
              <w:t>300</w:t>
            </w:r>
          </w:p>
        </w:tc>
        <w:tc>
          <w:tcPr>
            <w:tcW w:w="1107" w:type="dxa"/>
            <w:vAlign w:val="center"/>
          </w:tcPr>
          <w:p w:rsidR="00BB1D84" w:rsidRDefault="00DD5E05">
            <w:pPr>
              <w:spacing w:before="60" w:after="60"/>
              <w:jc w:val="right"/>
              <w:rPr>
                <w:noProof/>
                <w:color w:val="000000"/>
                <w:sz w:val="20"/>
                <w:szCs w:val="20"/>
              </w:rPr>
            </w:pPr>
            <w:r>
              <w:rPr>
                <w:noProof/>
                <w:color w:val="000000"/>
                <w:sz w:val="20"/>
                <w:szCs w:val="20"/>
              </w:rPr>
              <w:t>8</w:t>
            </w:r>
            <w:r w:rsidR="00A416DB">
              <w:rPr>
                <w:noProof/>
                <w:color w:val="000000"/>
                <w:sz w:val="20"/>
                <w:szCs w:val="20"/>
              </w:rPr>
              <w:t>.</w:t>
            </w:r>
            <w:r>
              <w:rPr>
                <w:noProof/>
                <w:color w:val="000000"/>
                <w:sz w:val="20"/>
                <w:szCs w:val="20"/>
              </w:rPr>
              <w:t>660</w:t>
            </w:r>
          </w:p>
        </w:tc>
      </w:tr>
      <w:tr w:rsidR="00DD5E05" w:rsidTr="004509F8">
        <w:trPr>
          <w:cantSplit/>
          <w:trHeight w:val="700"/>
        </w:trPr>
        <w:tc>
          <w:tcPr>
            <w:tcW w:w="3101" w:type="dxa"/>
            <w:vAlign w:val="center"/>
          </w:tcPr>
          <w:p w:rsidR="00DD5E05" w:rsidRPr="003F4D71" w:rsidRDefault="00DD5E05" w:rsidP="00DD5E05">
            <w:pPr>
              <w:spacing w:before="60" w:after="60"/>
              <w:jc w:val="left"/>
              <w:rPr>
                <w:b/>
                <w:bCs/>
                <w:noProof/>
                <w:sz w:val="20"/>
              </w:rPr>
            </w:pPr>
            <w:r>
              <w:rPr>
                <w:b/>
                <w:bCs/>
                <w:noProof/>
                <w:sz w:val="20"/>
              </w:rPr>
              <w:t>TOTAL of</w:t>
            </w:r>
            <w:r w:rsidRPr="003F4D71">
              <w:rPr>
                <w:b/>
                <w:bCs/>
                <w:noProof/>
                <w:sz w:val="20"/>
              </w:rPr>
              <w:t xml:space="preserve"> appropriations </w:t>
            </w:r>
            <w:r>
              <w:rPr>
                <w:b/>
                <w:bCs/>
                <w:noProof/>
                <w:sz w:val="20"/>
              </w:rPr>
              <w:t>covered by the EU budget</w:t>
            </w:r>
            <w:r w:rsidRPr="003F4D71">
              <w:rPr>
                <w:b/>
                <w:bCs/>
                <w:noProof/>
                <w:sz w:val="20"/>
              </w:rPr>
              <w:t xml:space="preserve"> </w:t>
            </w:r>
          </w:p>
        </w:tc>
        <w:tc>
          <w:tcPr>
            <w:tcW w:w="992" w:type="dxa"/>
            <w:vAlign w:val="center"/>
          </w:tcPr>
          <w:p w:rsidR="00DD5E05" w:rsidRDefault="00DD5E05" w:rsidP="00DD5E05">
            <w:pPr>
              <w:spacing w:before="60" w:after="60"/>
              <w:jc w:val="right"/>
              <w:rPr>
                <w:noProof/>
                <w:sz w:val="20"/>
              </w:rPr>
            </w:pPr>
            <w:r>
              <w:rPr>
                <w:b/>
                <w:bCs/>
                <w:noProof/>
                <w:sz w:val="20"/>
              </w:rPr>
              <w:t>0.000</w:t>
            </w:r>
          </w:p>
        </w:tc>
        <w:tc>
          <w:tcPr>
            <w:tcW w:w="994" w:type="dxa"/>
            <w:vAlign w:val="center"/>
          </w:tcPr>
          <w:p w:rsidR="00DD5E05" w:rsidRDefault="00DD5E05" w:rsidP="00DD5E05">
            <w:pPr>
              <w:spacing w:before="60" w:after="60"/>
              <w:jc w:val="right"/>
              <w:rPr>
                <w:noProof/>
                <w:sz w:val="20"/>
              </w:rPr>
            </w:pPr>
            <w:r w:rsidRPr="00D45D3D">
              <w:rPr>
                <w:b/>
                <w:bCs/>
                <w:noProof/>
                <w:sz w:val="20"/>
              </w:rPr>
              <w:t>0.000</w:t>
            </w:r>
          </w:p>
        </w:tc>
        <w:tc>
          <w:tcPr>
            <w:tcW w:w="994" w:type="dxa"/>
            <w:vAlign w:val="center"/>
          </w:tcPr>
          <w:p w:rsidR="00DD5E05" w:rsidRDefault="00DD5E05" w:rsidP="00DD5E05">
            <w:pPr>
              <w:spacing w:before="60" w:after="60"/>
              <w:jc w:val="right"/>
              <w:rPr>
                <w:noProof/>
                <w:sz w:val="20"/>
              </w:rPr>
            </w:pPr>
            <w:r w:rsidRPr="00D45D3D">
              <w:rPr>
                <w:b/>
                <w:bCs/>
                <w:noProof/>
                <w:sz w:val="20"/>
              </w:rPr>
              <w:t>0.000</w:t>
            </w:r>
          </w:p>
        </w:tc>
        <w:tc>
          <w:tcPr>
            <w:tcW w:w="994" w:type="dxa"/>
            <w:vAlign w:val="center"/>
          </w:tcPr>
          <w:p w:rsidR="00DD5E05" w:rsidRDefault="00DD5E05" w:rsidP="00DD5E05">
            <w:pPr>
              <w:spacing w:before="60" w:after="60"/>
              <w:jc w:val="right"/>
              <w:rPr>
                <w:noProof/>
                <w:sz w:val="20"/>
              </w:rPr>
            </w:pPr>
            <w:r>
              <w:rPr>
                <w:b/>
                <w:bCs/>
                <w:noProof/>
                <w:color w:val="000000"/>
                <w:sz w:val="20"/>
                <w:szCs w:val="20"/>
              </w:rPr>
              <w:t>0</w:t>
            </w:r>
            <w:r w:rsidR="00A416DB">
              <w:rPr>
                <w:b/>
                <w:bCs/>
                <w:noProof/>
                <w:color w:val="000000"/>
                <w:sz w:val="20"/>
                <w:szCs w:val="20"/>
              </w:rPr>
              <w:t>.</w:t>
            </w:r>
            <w:r>
              <w:rPr>
                <w:b/>
                <w:bCs/>
                <w:noProof/>
                <w:color w:val="000000"/>
                <w:sz w:val="20"/>
                <w:szCs w:val="20"/>
              </w:rPr>
              <w:t>391</w:t>
            </w:r>
          </w:p>
        </w:tc>
        <w:tc>
          <w:tcPr>
            <w:tcW w:w="1107" w:type="dxa"/>
            <w:vAlign w:val="center"/>
          </w:tcPr>
          <w:p w:rsidR="00DD5E05" w:rsidRDefault="00DD5E05" w:rsidP="00DD5E05">
            <w:pPr>
              <w:spacing w:before="60" w:after="60"/>
              <w:jc w:val="right"/>
              <w:rPr>
                <w:noProof/>
                <w:sz w:val="20"/>
              </w:rPr>
            </w:pPr>
            <w:r>
              <w:rPr>
                <w:b/>
                <w:bCs/>
                <w:noProof/>
                <w:color w:val="000000"/>
                <w:sz w:val="20"/>
                <w:szCs w:val="20"/>
              </w:rPr>
              <w:t>0</w:t>
            </w:r>
            <w:r w:rsidR="00A416DB">
              <w:rPr>
                <w:b/>
                <w:bCs/>
                <w:noProof/>
                <w:color w:val="000000"/>
                <w:sz w:val="20"/>
                <w:szCs w:val="20"/>
              </w:rPr>
              <w:t>.</w:t>
            </w:r>
            <w:r>
              <w:rPr>
                <w:b/>
                <w:bCs/>
                <w:noProof/>
                <w:color w:val="000000"/>
                <w:sz w:val="20"/>
                <w:szCs w:val="20"/>
              </w:rPr>
              <w:t>391</w:t>
            </w:r>
          </w:p>
        </w:tc>
        <w:tc>
          <w:tcPr>
            <w:tcW w:w="1107" w:type="dxa"/>
            <w:vAlign w:val="center"/>
          </w:tcPr>
          <w:p w:rsidR="00DD5E05" w:rsidRDefault="00DD5E05" w:rsidP="00DD5E05">
            <w:pPr>
              <w:spacing w:before="60" w:after="60"/>
              <w:jc w:val="right"/>
              <w:rPr>
                <w:b/>
                <w:bCs/>
                <w:noProof/>
                <w:color w:val="000000"/>
                <w:sz w:val="20"/>
                <w:szCs w:val="20"/>
              </w:rPr>
            </w:pPr>
            <w:r>
              <w:rPr>
                <w:b/>
                <w:bCs/>
                <w:noProof/>
                <w:color w:val="000000"/>
                <w:sz w:val="20"/>
                <w:szCs w:val="20"/>
              </w:rPr>
              <w:t>10</w:t>
            </w:r>
            <w:r w:rsidR="00A416DB">
              <w:rPr>
                <w:b/>
                <w:bCs/>
                <w:noProof/>
                <w:color w:val="000000"/>
                <w:sz w:val="20"/>
                <w:szCs w:val="20"/>
              </w:rPr>
              <w:t>.</w:t>
            </w:r>
            <w:r>
              <w:rPr>
                <w:b/>
                <w:bCs/>
                <w:noProof/>
                <w:color w:val="000000"/>
                <w:sz w:val="20"/>
                <w:szCs w:val="20"/>
              </w:rPr>
              <w:t>039</w:t>
            </w:r>
            <w:r>
              <w:rPr>
                <w:rStyle w:val="FootnoteReference"/>
                <w:b/>
                <w:bCs/>
                <w:noProof/>
                <w:color w:val="000000"/>
                <w:sz w:val="20"/>
                <w:szCs w:val="20"/>
              </w:rPr>
              <w:footnoteReference w:id="52"/>
            </w:r>
          </w:p>
        </w:tc>
      </w:tr>
    </w:tbl>
    <w:p w:rsidR="004509F8" w:rsidRDefault="004509F8" w:rsidP="00BB1D84">
      <w:pPr>
        <w:spacing w:before="240"/>
        <w:rPr>
          <w:b/>
          <w:bCs/>
          <w:noProof/>
          <w:sz w:val="22"/>
          <w:u w:val="single"/>
          <w:lang w:val="en-IE"/>
        </w:rPr>
      </w:pPr>
    </w:p>
    <w:p w:rsidR="004509F8" w:rsidRDefault="004509F8">
      <w:pPr>
        <w:spacing w:before="0" w:after="200" w:line="276" w:lineRule="auto"/>
        <w:jc w:val="left"/>
        <w:rPr>
          <w:b/>
          <w:bCs/>
          <w:noProof/>
          <w:sz w:val="22"/>
          <w:u w:val="single"/>
          <w:lang w:val="en-IE"/>
        </w:rPr>
      </w:pPr>
      <w:r>
        <w:rPr>
          <w:b/>
          <w:bCs/>
          <w:noProof/>
          <w:sz w:val="22"/>
          <w:u w:val="single"/>
          <w:lang w:val="en-IE"/>
        </w:rPr>
        <w:br w:type="page"/>
      </w:r>
    </w:p>
    <w:p w:rsidR="00BB1D84" w:rsidRDefault="00BB1D84" w:rsidP="00BB1D84">
      <w:pPr>
        <w:spacing w:before="240"/>
        <w:rPr>
          <w:b/>
          <w:bCs/>
          <w:noProof/>
          <w:sz w:val="22"/>
          <w:u w:val="single"/>
          <w:lang w:val="en-IE"/>
        </w:rPr>
      </w:pPr>
      <w:r w:rsidRPr="00070628">
        <w:rPr>
          <w:b/>
          <w:bCs/>
          <w:noProof/>
          <w:sz w:val="22"/>
          <w:u w:val="single"/>
          <w:lang w:val="en-IE"/>
        </w:rPr>
        <w:t>Overview</w:t>
      </w:r>
      <w:r>
        <w:rPr>
          <w:b/>
          <w:bCs/>
          <w:noProof/>
          <w:sz w:val="22"/>
          <w:u w:val="single"/>
          <w:lang w:val="en-IE"/>
        </w:rPr>
        <w:t>/summary</w:t>
      </w:r>
      <w:r w:rsidRPr="00070628">
        <w:rPr>
          <w:b/>
          <w:bCs/>
          <w:noProof/>
          <w:sz w:val="22"/>
          <w:u w:val="single"/>
          <w:lang w:val="en-IE"/>
        </w:rPr>
        <w:t xml:space="preserve"> of human resources and appropriations </w:t>
      </w:r>
      <w:r>
        <w:rPr>
          <w:b/>
          <w:bCs/>
          <w:noProof/>
          <w:sz w:val="22"/>
          <w:u w:val="single"/>
          <w:lang w:val="en-IE"/>
        </w:rPr>
        <w:t>(</w:t>
      </w:r>
      <w:r w:rsidRPr="00070628">
        <w:rPr>
          <w:b/>
          <w:bCs/>
          <w:noProof/>
          <w:sz w:val="22"/>
          <w:u w:val="single"/>
          <w:lang w:val="en-IE"/>
        </w:rPr>
        <w:t>in EUR million</w:t>
      </w:r>
      <w:r>
        <w:rPr>
          <w:b/>
          <w:bCs/>
          <w:noProof/>
          <w:sz w:val="22"/>
          <w:u w:val="single"/>
          <w:lang w:val="en-IE"/>
        </w:rPr>
        <w:t>)</w:t>
      </w:r>
      <w:r w:rsidRPr="00070628">
        <w:rPr>
          <w:b/>
          <w:bCs/>
          <w:noProof/>
          <w:sz w:val="22"/>
          <w:u w:val="single"/>
          <w:lang w:val="en-IE"/>
        </w:rPr>
        <w:t xml:space="preserve"> </w:t>
      </w:r>
      <w:r>
        <w:rPr>
          <w:b/>
          <w:bCs/>
          <w:noProof/>
          <w:sz w:val="22"/>
          <w:u w:val="single"/>
          <w:lang w:val="en-IE"/>
        </w:rPr>
        <w:t xml:space="preserve">required by the proposal/initiative in a decentralised agency </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101"/>
        <w:gridCol w:w="992"/>
        <w:gridCol w:w="994"/>
        <w:gridCol w:w="994"/>
        <w:gridCol w:w="994"/>
        <w:gridCol w:w="1107"/>
        <w:gridCol w:w="1107"/>
      </w:tblGrid>
      <w:tr w:rsidR="00BB1D84" w:rsidTr="004509F8">
        <w:trPr>
          <w:cantSplit/>
        </w:trPr>
        <w:tc>
          <w:tcPr>
            <w:tcW w:w="3101" w:type="dxa"/>
            <w:vAlign w:val="center"/>
          </w:tcPr>
          <w:p w:rsidR="00BB1D84" w:rsidRPr="00070628" w:rsidRDefault="00BB1D84">
            <w:pPr>
              <w:spacing w:before="60" w:after="60"/>
              <w:jc w:val="center"/>
              <w:rPr>
                <w:b/>
                <w:bCs/>
                <w:noProof/>
                <w:sz w:val="20"/>
                <w:lang w:val="en-IE"/>
              </w:rPr>
            </w:pPr>
            <w:r w:rsidRPr="00070628">
              <w:rPr>
                <w:b/>
                <w:bCs/>
                <w:noProof/>
                <w:color w:val="444444"/>
                <w:sz w:val="20"/>
                <w:szCs w:val="20"/>
                <w:shd w:val="clear" w:color="auto" w:fill="FFFFFF"/>
              </w:rPr>
              <w:t xml:space="preserve">Agency: </w:t>
            </w:r>
            <w:r>
              <w:rPr>
                <w:b/>
                <w:bCs/>
                <w:noProof/>
                <w:color w:val="444444"/>
                <w:sz w:val="20"/>
                <w:szCs w:val="20"/>
                <w:shd w:val="clear" w:color="auto" w:fill="FFFFFF"/>
              </w:rPr>
              <w:t>ACER</w:t>
            </w:r>
          </w:p>
        </w:tc>
        <w:tc>
          <w:tcPr>
            <w:tcW w:w="992" w:type="dxa"/>
            <w:vAlign w:val="center"/>
          </w:tcPr>
          <w:p w:rsidR="00BB1D84" w:rsidRDefault="00BB1D84">
            <w:pPr>
              <w:jc w:val="center"/>
              <w:rPr>
                <w:noProof/>
                <w:sz w:val="20"/>
              </w:rPr>
            </w:pPr>
            <w:r>
              <w:rPr>
                <w:noProof/>
                <w:sz w:val="20"/>
              </w:rPr>
              <w:t xml:space="preserve">Year </w:t>
            </w:r>
            <w:r w:rsidRPr="003F4D71">
              <w:rPr>
                <w:b/>
                <w:bCs/>
                <w:noProof/>
                <w:sz w:val="20"/>
              </w:rPr>
              <w:t>2024</w:t>
            </w:r>
          </w:p>
        </w:tc>
        <w:tc>
          <w:tcPr>
            <w:tcW w:w="994" w:type="dxa"/>
            <w:vAlign w:val="center"/>
          </w:tcPr>
          <w:p w:rsidR="00BB1D84" w:rsidRDefault="00BB1D84">
            <w:pPr>
              <w:jc w:val="center"/>
              <w:rPr>
                <w:noProof/>
                <w:sz w:val="20"/>
              </w:rPr>
            </w:pPr>
            <w:r>
              <w:rPr>
                <w:noProof/>
                <w:sz w:val="20"/>
              </w:rPr>
              <w:t xml:space="preserve">Year </w:t>
            </w:r>
            <w:r>
              <w:rPr>
                <w:b/>
                <w:noProof/>
                <w:sz w:val="20"/>
              </w:rPr>
              <w:t>2025</w:t>
            </w:r>
          </w:p>
        </w:tc>
        <w:tc>
          <w:tcPr>
            <w:tcW w:w="994" w:type="dxa"/>
            <w:vAlign w:val="center"/>
          </w:tcPr>
          <w:p w:rsidR="00BB1D84" w:rsidRDefault="00BB1D84">
            <w:pPr>
              <w:jc w:val="center"/>
              <w:rPr>
                <w:noProof/>
                <w:sz w:val="20"/>
              </w:rPr>
            </w:pPr>
            <w:r>
              <w:rPr>
                <w:noProof/>
                <w:sz w:val="20"/>
              </w:rPr>
              <w:t xml:space="preserve">Year </w:t>
            </w:r>
            <w:r>
              <w:rPr>
                <w:b/>
                <w:noProof/>
                <w:sz w:val="20"/>
              </w:rPr>
              <w:t>2026</w:t>
            </w:r>
          </w:p>
        </w:tc>
        <w:tc>
          <w:tcPr>
            <w:tcW w:w="994" w:type="dxa"/>
            <w:vAlign w:val="center"/>
          </w:tcPr>
          <w:p w:rsidR="00BB1D84" w:rsidRDefault="00BB1D84">
            <w:pPr>
              <w:jc w:val="center"/>
              <w:rPr>
                <w:noProof/>
                <w:sz w:val="20"/>
              </w:rPr>
            </w:pPr>
            <w:r>
              <w:rPr>
                <w:noProof/>
                <w:sz w:val="20"/>
              </w:rPr>
              <w:t xml:space="preserve">Year </w:t>
            </w:r>
            <w:r>
              <w:rPr>
                <w:b/>
                <w:noProof/>
                <w:sz w:val="20"/>
              </w:rPr>
              <w:t>2027</w:t>
            </w:r>
          </w:p>
        </w:tc>
        <w:tc>
          <w:tcPr>
            <w:tcW w:w="1107" w:type="dxa"/>
            <w:vAlign w:val="center"/>
          </w:tcPr>
          <w:p w:rsidR="00BB1D84" w:rsidRPr="004C127A" w:rsidRDefault="00BB1D84">
            <w:pPr>
              <w:spacing w:before="60" w:after="60"/>
              <w:jc w:val="center"/>
              <w:rPr>
                <w:noProof/>
                <w:sz w:val="20"/>
                <w:szCs w:val="20"/>
              </w:rPr>
            </w:pPr>
            <w:r w:rsidRPr="00070628">
              <w:rPr>
                <w:b/>
                <w:bCs/>
                <w:noProof/>
                <w:color w:val="000000"/>
                <w:sz w:val="20"/>
                <w:szCs w:val="20"/>
                <w:lang w:val="en-IE" w:eastAsia="en-IE"/>
              </w:rPr>
              <w:t>TOTAL</w:t>
            </w:r>
            <w:r>
              <w:rPr>
                <w:b/>
                <w:bCs/>
                <w:noProof/>
                <w:color w:val="000000"/>
                <w:sz w:val="20"/>
                <w:szCs w:val="20"/>
                <w:lang w:val="en-IE" w:eastAsia="en-IE"/>
              </w:rPr>
              <w:t xml:space="preserve"> </w:t>
            </w:r>
            <w:r w:rsidRPr="00070628">
              <w:rPr>
                <w:b/>
                <w:bCs/>
                <w:noProof/>
                <w:color w:val="000000"/>
                <w:sz w:val="20"/>
                <w:szCs w:val="20"/>
                <w:lang w:val="en-IE" w:eastAsia="en-IE"/>
              </w:rPr>
              <w:t>2021 - 2027</w:t>
            </w:r>
          </w:p>
        </w:tc>
        <w:tc>
          <w:tcPr>
            <w:tcW w:w="1107" w:type="dxa"/>
          </w:tcPr>
          <w:p w:rsidR="00BB1D84" w:rsidRDefault="00BB1D84">
            <w:pPr>
              <w:spacing w:before="60" w:after="60"/>
              <w:jc w:val="center"/>
              <w:rPr>
                <w:b/>
                <w:bCs/>
                <w:noProof/>
                <w:color w:val="000000"/>
                <w:sz w:val="20"/>
                <w:szCs w:val="20"/>
                <w:lang w:val="en-IE" w:eastAsia="en-IE"/>
              </w:rPr>
            </w:pPr>
            <w:r>
              <w:rPr>
                <w:b/>
                <w:bCs/>
                <w:noProof/>
                <w:color w:val="000000"/>
                <w:sz w:val="20"/>
                <w:szCs w:val="20"/>
                <w:lang w:val="en-IE" w:eastAsia="en-IE"/>
              </w:rPr>
              <w:t>TOTAL 2028-2034</w:t>
            </w:r>
          </w:p>
        </w:tc>
      </w:tr>
      <w:tr w:rsidR="00BB1D84" w:rsidRPr="003A769F" w:rsidTr="004509F8">
        <w:trPr>
          <w:cantSplit/>
          <w:trHeight w:val="700"/>
        </w:trPr>
        <w:tc>
          <w:tcPr>
            <w:tcW w:w="3101" w:type="dxa"/>
            <w:vAlign w:val="center"/>
          </w:tcPr>
          <w:p w:rsidR="00BB1D84" w:rsidRPr="002D2D1C" w:rsidRDefault="00BB1D84">
            <w:pPr>
              <w:jc w:val="left"/>
              <w:rPr>
                <w:noProof/>
                <w:lang w:val="en-IE"/>
              </w:rPr>
            </w:pPr>
            <w:r w:rsidRPr="00070628">
              <w:rPr>
                <w:noProof/>
                <w:sz w:val="20"/>
                <w:szCs w:val="20"/>
              </w:rPr>
              <w:t>Temporary agents (AD+AS</w:t>
            </w:r>
            <w:r>
              <w:rPr>
                <w:noProof/>
                <w:sz w:val="20"/>
                <w:szCs w:val="20"/>
              </w:rPr>
              <w:t>T)</w:t>
            </w:r>
          </w:p>
        </w:tc>
        <w:tc>
          <w:tcPr>
            <w:tcW w:w="992"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Pr="00CB586D" w:rsidRDefault="00BB1D84">
            <w:pPr>
              <w:spacing w:before="60" w:after="60"/>
              <w:jc w:val="right"/>
              <w:rPr>
                <w:b/>
                <w:noProof/>
                <w:sz w:val="20"/>
                <w:szCs w:val="20"/>
              </w:rPr>
            </w:pPr>
            <w:r w:rsidRPr="00CB586D">
              <w:rPr>
                <w:b/>
                <w:bCs/>
                <w:noProof/>
                <w:sz w:val="20"/>
                <w:szCs w:val="20"/>
              </w:rPr>
              <w:t>0</w:t>
            </w:r>
          </w:p>
        </w:tc>
        <w:tc>
          <w:tcPr>
            <w:tcW w:w="1107" w:type="dxa"/>
            <w:vAlign w:val="center"/>
          </w:tcPr>
          <w:p w:rsidR="00BB1D84" w:rsidRPr="00070628" w:rsidRDefault="00BB1D84">
            <w:pPr>
              <w:spacing w:before="60" w:after="60"/>
              <w:jc w:val="right"/>
              <w:rPr>
                <w:b/>
                <w:bCs/>
                <w:noProof/>
                <w:sz w:val="20"/>
                <w:szCs w:val="20"/>
              </w:rPr>
            </w:pPr>
            <w:r>
              <w:rPr>
                <w:b/>
                <w:bCs/>
                <w:noProof/>
                <w:sz w:val="20"/>
                <w:szCs w:val="20"/>
              </w:rPr>
              <w:t>0</w:t>
            </w:r>
          </w:p>
        </w:tc>
        <w:tc>
          <w:tcPr>
            <w:tcW w:w="1107" w:type="dxa"/>
            <w:vAlign w:val="center"/>
          </w:tcPr>
          <w:p w:rsidR="00BB1D84" w:rsidRDefault="00BB1D84">
            <w:pPr>
              <w:spacing w:before="60" w:after="60"/>
              <w:jc w:val="right"/>
              <w:rPr>
                <w:b/>
                <w:bCs/>
                <w:noProof/>
                <w:sz w:val="20"/>
                <w:szCs w:val="20"/>
              </w:rPr>
            </w:pPr>
            <w:r>
              <w:rPr>
                <w:b/>
                <w:bCs/>
                <w:noProof/>
                <w:sz w:val="20"/>
                <w:szCs w:val="20"/>
              </w:rPr>
              <w:t>0</w:t>
            </w:r>
          </w:p>
        </w:tc>
      </w:tr>
      <w:tr w:rsidR="00BB1D84" w:rsidRPr="003A769F" w:rsidTr="004509F8">
        <w:trPr>
          <w:cantSplit/>
          <w:trHeight w:val="700"/>
        </w:trPr>
        <w:tc>
          <w:tcPr>
            <w:tcW w:w="3101" w:type="dxa"/>
            <w:vAlign w:val="center"/>
          </w:tcPr>
          <w:p w:rsidR="00BB1D84" w:rsidRPr="003A769F" w:rsidRDefault="00BB1D84">
            <w:pPr>
              <w:jc w:val="left"/>
              <w:rPr>
                <w:noProof/>
                <w:sz w:val="20"/>
                <w:lang w:val="en-IE"/>
              </w:rPr>
            </w:pPr>
            <w:r w:rsidRPr="002D73DA">
              <w:rPr>
                <w:noProof/>
                <w:sz w:val="20"/>
                <w:szCs w:val="20"/>
              </w:rPr>
              <w:t xml:space="preserve">Contract </w:t>
            </w:r>
            <w:r>
              <w:rPr>
                <w:noProof/>
                <w:sz w:val="20"/>
                <w:szCs w:val="20"/>
              </w:rPr>
              <w:t>agents</w:t>
            </w:r>
          </w:p>
        </w:tc>
        <w:tc>
          <w:tcPr>
            <w:tcW w:w="992"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Pr>
                <w:noProof/>
                <w:sz w:val="20"/>
                <w:szCs w:val="20"/>
              </w:rPr>
              <w:t>2</w:t>
            </w:r>
          </w:p>
        </w:tc>
        <w:tc>
          <w:tcPr>
            <w:tcW w:w="1107" w:type="dxa"/>
            <w:vAlign w:val="center"/>
          </w:tcPr>
          <w:p w:rsidR="00BB1D84" w:rsidRPr="00070628" w:rsidRDefault="00BB1D84">
            <w:pPr>
              <w:spacing w:before="60" w:after="60"/>
              <w:jc w:val="right"/>
              <w:rPr>
                <w:b/>
                <w:bCs/>
                <w:noProof/>
                <w:sz w:val="20"/>
                <w:szCs w:val="20"/>
              </w:rPr>
            </w:pPr>
            <w:r>
              <w:rPr>
                <w:b/>
                <w:bCs/>
                <w:noProof/>
                <w:sz w:val="20"/>
                <w:szCs w:val="20"/>
              </w:rPr>
              <w:t>2</w:t>
            </w:r>
          </w:p>
        </w:tc>
        <w:tc>
          <w:tcPr>
            <w:tcW w:w="1107" w:type="dxa"/>
            <w:vAlign w:val="center"/>
          </w:tcPr>
          <w:p w:rsidR="00BB1D84" w:rsidRDefault="00BB1D84">
            <w:pPr>
              <w:spacing w:before="60" w:after="60"/>
              <w:jc w:val="right"/>
              <w:rPr>
                <w:b/>
                <w:bCs/>
                <w:noProof/>
                <w:sz w:val="20"/>
                <w:szCs w:val="20"/>
              </w:rPr>
            </w:pPr>
            <w:r>
              <w:rPr>
                <w:b/>
                <w:bCs/>
                <w:noProof/>
                <w:sz w:val="20"/>
                <w:szCs w:val="20"/>
              </w:rPr>
              <w:t>2</w:t>
            </w:r>
          </w:p>
        </w:tc>
      </w:tr>
      <w:tr w:rsidR="00BB1D84" w:rsidRPr="003A769F" w:rsidTr="004509F8">
        <w:trPr>
          <w:cantSplit/>
          <w:trHeight w:val="700"/>
        </w:trPr>
        <w:tc>
          <w:tcPr>
            <w:tcW w:w="3101" w:type="dxa"/>
            <w:vAlign w:val="center"/>
          </w:tcPr>
          <w:p w:rsidR="00BB1D84" w:rsidRPr="003A769F" w:rsidRDefault="00BB1D84">
            <w:pPr>
              <w:jc w:val="left"/>
              <w:rPr>
                <w:noProof/>
                <w:sz w:val="20"/>
                <w:lang w:val="en-IE"/>
              </w:rPr>
            </w:pPr>
            <w:r w:rsidRPr="002D73DA">
              <w:rPr>
                <w:noProof/>
                <w:sz w:val="20"/>
                <w:szCs w:val="20"/>
              </w:rPr>
              <w:t xml:space="preserve">Seconded </w:t>
            </w:r>
            <w:r>
              <w:rPr>
                <w:noProof/>
                <w:sz w:val="20"/>
                <w:szCs w:val="20"/>
              </w:rPr>
              <w:t>n</w:t>
            </w:r>
            <w:r w:rsidRPr="002D73DA">
              <w:rPr>
                <w:noProof/>
                <w:sz w:val="20"/>
                <w:szCs w:val="20"/>
              </w:rPr>
              <w:t xml:space="preserve">ational </w:t>
            </w:r>
            <w:r>
              <w:rPr>
                <w:noProof/>
                <w:sz w:val="20"/>
                <w:szCs w:val="20"/>
              </w:rPr>
              <w:t>e</w:t>
            </w:r>
            <w:r w:rsidRPr="002D73DA">
              <w:rPr>
                <w:noProof/>
                <w:sz w:val="20"/>
                <w:szCs w:val="20"/>
              </w:rPr>
              <w:t>xperts</w:t>
            </w:r>
          </w:p>
        </w:tc>
        <w:tc>
          <w:tcPr>
            <w:tcW w:w="992"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szCs w:val="20"/>
              </w:rPr>
            </w:pPr>
            <w:r w:rsidRPr="00C64A4D">
              <w:rPr>
                <w:b/>
                <w:noProof/>
                <w:color w:val="000000"/>
                <w:sz w:val="20"/>
                <w:szCs w:val="20"/>
                <w:lang w:val="en-IE" w:eastAsia="en-IE"/>
              </w:rPr>
              <w:t>0</w:t>
            </w:r>
          </w:p>
        </w:tc>
        <w:tc>
          <w:tcPr>
            <w:tcW w:w="1107" w:type="dxa"/>
            <w:vAlign w:val="center"/>
          </w:tcPr>
          <w:p w:rsidR="00BB1D84" w:rsidRPr="00070628" w:rsidRDefault="00BB1D84">
            <w:pPr>
              <w:spacing w:before="60" w:after="60"/>
              <w:jc w:val="right"/>
              <w:rPr>
                <w:b/>
                <w:bCs/>
                <w:noProof/>
                <w:sz w:val="20"/>
                <w:szCs w:val="20"/>
              </w:rPr>
            </w:pPr>
            <w:r>
              <w:rPr>
                <w:b/>
                <w:bCs/>
                <w:noProof/>
                <w:sz w:val="20"/>
                <w:szCs w:val="20"/>
              </w:rPr>
              <w:t>0</w:t>
            </w:r>
          </w:p>
        </w:tc>
        <w:tc>
          <w:tcPr>
            <w:tcW w:w="1107" w:type="dxa"/>
            <w:vAlign w:val="center"/>
          </w:tcPr>
          <w:p w:rsidR="00BB1D84" w:rsidRDefault="00BB1D84">
            <w:pPr>
              <w:spacing w:before="60" w:after="60"/>
              <w:jc w:val="right"/>
              <w:rPr>
                <w:b/>
                <w:bCs/>
                <w:noProof/>
                <w:sz w:val="20"/>
                <w:szCs w:val="20"/>
              </w:rPr>
            </w:pPr>
            <w:r>
              <w:rPr>
                <w:b/>
                <w:bCs/>
                <w:noProof/>
                <w:sz w:val="20"/>
                <w:szCs w:val="20"/>
              </w:rPr>
              <w:t>0</w:t>
            </w:r>
          </w:p>
        </w:tc>
      </w:tr>
      <w:tr w:rsidR="00BB1D84" w:rsidTr="004509F8">
        <w:trPr>
          <w:cantSplit/>
          <w:trHeight w:val="700"/>
        </w:trPr>
        <w:tc>
          <w:tcPr>
            <w:tcW w:w="3101" w:type="dxa"/>
            <w:vAlign w:val="center"/>
          </w:tcPr>
          <w:p w:rsidR="00BB1D84" w:rsidRDefault="00BB1D84">
            <w:pPr>
              <w:spacing w:before="60" w:after="60"/>
              <w:jc w:val="left"/>
              <w:rPr>
                <w:b/>
                <w:bCs/>
                <w:noProof/>
                <w:sz w:val="20"/>
              </w:rPr>
            </w:pPr>
            <w:r>
              <w:rPr>
                <w:b/>
                <w:bCs/>
                <w:noProof/>
                <w:sz w:val="20"/>
              </w:rPr>
              <w:t>Total staff</w:t>
            </w:r>
          </w:p>
        </w:tc>
        <w:tc>
          <w:tcPr>
            <w:tcW w:w="992" w:type="dxa"/>
            <w:vAlign w:val="center"/>
          </w:tcPr>
          <w:p w:rsidR="00BB1D84" w:rsidRDefault="00BB1D84">
            <w:pPr>
              <w:spacing w:before="60" w:after="60"/>
              <w:jc w:val="right"/>
              <w:rPr>
                <w:noProof/>
                <w:sz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rPr>
            </w:pPr>
            <w:r w:rsidRPr="00C64A4D">
              <w:rPr>
                <w:b/>
                <w:noProof/>
                <w:color w:val="000000"/>
                <w:sz w:val="20"/>
                <w:szCs w:val="20"/>
                <w:lang w:val="en-IE" w:eastAsia="en-IE"/>
              </w:rPr>
              <w:t>0</w:t>
            </w:r>
          </w:p>
        </w:tc>
        <w:tc>
          <w:tcPr>
            <w:tcW w:w="994" w:type="dxa"/>
            <w:vAlign w:val="center"/>
          </w:tcPr>
          <w:p w:rsidR="00BB1D84" w:rsidRDefault="00BB1D84">
            <w:pPr>
              <w:spacing w:before="60" w:after="60"/>
              <w:jc w:val="right"/>
              <w:rPr>
                <w:noProof/>
                <w:sz w:val="20"/>
              </w:rPr>
            </w:pPr>
            <w:r w:rsidRPr="00C64A4D">
              <w:rPr>
                <w:b/>
                <w:noProof/>
                <w:color w:val="000000"/>
                <w:sz w:val="20"/>
                <w:szCs w:val="20"/>
                <w:lang w:val="en-IE" w:eastAsia="en-IE"/>
              </w:rPr>
              <w:t>0</w:t>
            </w:r>
          </w:p>
        </w:tc>
        <w:tc>
          <w:tcPr>
            <w:tcW w:w="994" w:type="dxa"/>
            <w:vAlign w:val="center"/>
          </w:tcPr>
          <w:p w:rsidR="00BB1D84" w:rsidRPr="007D25AE" w:rsidRDefault="00BB1D84">
            <w:pPr>
              <w:spacing w:before="60" w:after="60"/>
              <w:jc w:val="right"/>
              <w:rPr>
                <w:b/>
                <w:noProof/>
                <w:sz w:val="20"/>
              </w:rPr>
            </w:pPr>
            <w:r>
              <w:rPr>
                <w:b/>
                <w:bCs/>
                <w:noProof/>
                <w:sz w:val="20"/>
              </w:rPr>
              <w:t>2</w:t>
            </w:r>
          </w:p>
        </w:tc>
        <w:tc>
          <w:tcPr>
            <w:tcW w:w="1107" w:type="dxa"/>
            <w:vAlign w:val="center"/>
          </w:tcPr>
          <w:p w:rsidR="00BB1D84" w:rsidRPr="00070628" w:rsidRDefault="00BB1D84">
            <w:pPr>
              <w:spacing w:before="60" w:after="60"/>
              <w:jc w:val="right"/>
              <w:rPr>
                <w:b/>
                <w:bCs/>
                <w:noProof/>
                <w:sz w:val="20"/>
                <w:szCs w:val="20"/>
              </w:rPr>
            </w:pPr>
            <w:r>
              <w:rPr>
                <w:b/>
                <w:bCs/>
                <w:noProof/>
                <w:sz w:val="20"/>
                <w:szCs w:val="20"/>
              </w:rPr>
              <w:t>2</w:t>
            </w:r>
          </w:p>
        </w:tc>
        <w:tc>
          <w:tcPr>
            <w:tcW w:w="1107" w:type="dxa"/>
            <w:vAlign w:val="center"/>
          </w:tcPr>
          <w:p w:rsidR="00BB1D84" w:rsidRDefault="00BB1D84">
            <w:pPr>
              <w:spacing w:before="60" w:after="60"/>
              <w:jc w:val="right"/>
              <w:rPr>
                <w:b/>
                <w:bCs/>
                <w:noProof/>
                <w:sz w:val="20"/>
                <w:szCs w:val="20"/>
              </w:rPr>
            </w:pPr>
            <w:r>
              <w:rPr>
                <w:b/>
                <w:bCs/>
                <w:noProof/>
                <w:sz w:val="20"/>
                <w:szCs w:val="20"/>
              </w:rPr>
              <w:t>2</w:t>
            </w:r>
          </w:p>
        </w:tc>
      </w:tr>
      <w:tr w:rsidR="00DD5E05" w:rsidTr="004509F8">
        <w:trPr>
          <w:cantSplit/>
          <w:trHeight w:val="700"/>
        </w:trPr>
        <w:tc>
          <w:tcPr>
            <w:tcW w:w="3101" w:type="dxa"/>
            <w:vAlign w:val="center"/>
          </w:tcPr>
          <w:p w:rsidR="00DD5E05" w:rsidRPr="00070628" w:rsidRDefault="00DD5E05" w:rsidP="00DD5E05">
            <w:pPr>
              <w:spacing w:before="60" w:after="60"/>
              <w:jc w:val="left"/>
              <w:rPr>
                <w:noProof/>
                <w:sz w:val="20"/>
              </w:rPr>
            </w:pPr>
            <w:r>
              <w:rPr>
                <w:noProof/>
                <w:sz w:val="20"/>
              </w:rPr>
              <w:t xml:space="preserve">Appropriations covered by the </w:t>
            </w:r>
            <w:r w:rsidRPr="00070628">
              <w:rPr>
                <w:noProof/>
                <w:sz w:val="20"/>
              </w:rPr>
              <w:t xml:space="preserve">EU </w:t>
            </w:r>
            <w:r>
              <w:rPr>
                <w:noProof/>
                <w:sz w:val="20"/>
              </w:rPr>
              <w:t>b</w:t>
            </w:r>
            <w:r w:rsidRPr="00070628">
              <w:rPr>
                <w:noProof/>
                <w:sz w:val="20"/>
              </w:rPr>
              <w:t>udget</w:t>
            </w:r>
          </w:p>
        </w:tc>
        <w:tc>
          <w:tcPr>
            <w:tcW w:w="992" w:type="dxa"/>
            <w:vAlign w:val="center"/>
          </w:tcPr>
          <w:p w:rsidR="00DD5E05" w:rsidRPr="0094063F" w:rsidRDefault="00DD5E05" w:rsidP="00DD5E05">
            <w:pPr>
              <w:spacing w:before="60" w:after="60"/>
              <w:jc w:val="right"/>
              <w:rPr>
                <w:noProof/>
                <w:sz w:val="20"/>
              </w:rPr>
            </w:pPr>
            <w:r w:rsidRPr="0094063F">
              <w:rPr>
                <w:noProof/>
                <w:sz w:val="20"/>
                <w:szCs w:val="20"/>
              </w:rPr>
              <w:t>0.000</w:t>
            </w:r>
          </w:p>
        </w:tc>
        <w:tc>
          <w:tcPr>
            <w:tcW w:w="994" w:type="dxa"/>
            <w:vAlign w:val="center"/>
          </w:tcPr>
          <w:p w:rsidR="00DD5E05" w:rsidRPr="0094063F" w:rsidRDefault="00DD5E05" w:rsidP="00DD5E05">
            <w:pPr>
              <w:spacing w:before="60" w:after="60"/>
              <w:jc w:val="right"/>
              <w:rPr>
                <w:noProof/>
                <w:sz w:val="20"/>
              </w:rPr>
            </w:pPr>
            <w:r w:rsidRPr="0094063F">
              <w:rPr>
                <w:noProof/>
                <w:sz w:val="20"/>
                <w:szCs w:val="20"/>
              </w:rPr>
              <w:t>0.000</w:t>
            </w:r>
          </w:p>
        </w:tc>
        <w:tc>
          <w:tcPr>
            <w:tcW w:w="994" w:type="dxa"/>
            <w:vAlign w:val="center"/>
          </w:tcPr>
          <w:p w:rsidR="00DD5E05" w:rsidRPr="0094063F" w:rsidRDefault="00DD5E05" w:rsidP="00DD5E05">
            <w:pPr>
              <w:spacing w:before="60" w:after="60"/>
              <w:jc w:val="right"/>
              <w:rPr>
                <w:noProof/>
                <w:sz w:val="20"/>
              </w:rPr>
            </w:pPr>
            <w:r w:rsidRPr="0094063F">
              <w:rPr>
                <w:noProof/>
                <w:sz w:val="20"/>
                <w:szCs w:val="20"/>
              </w:rPr>
              <w:t>0.000</w:t>
            </w:r>
          </w:p>
        </w:tc>
        <w:tc>
          <w:tcPr>
            <w:tcW w:w="994" w:type="dxa"/>
            <w:vAlign w:val="center"/>
          </w:tcPr>
          <w:p w:rsidR="00DD5E05" w:rsidRPr="0094063F" w:rsidRDefault="00DD5E05" w:rsidP="00DD5E05">
            <w:pPr>
              <w:spacing w:before="60" w:after="60"/>
              <w:jc w:val="right"/>
              <w:rPr>
                <w:noProof/>
                <w:sz w:val="20"/>
              </w:rPr>
            </w:pPr>
            <w:r>
              <w:rPr>
                <w:noProof/>
                <w:color w:val="000000"/>
                <w:sz w:val="20"/>
                <w:szCs w:val="20"/>
              </w:rPr>
              <w:t>0</w:t>
            </w:r>
            <w:r w:rsidR="00A416DB">
              <w:rPr>
                <w:noProof/>
                <w:color w:val="000000"/>
                <w:sz w:val="20"/>
                <w:szCs w:val="20"/>
              </w:rPr>
              <w:t>.</w:t>
            </w:r>
            <w:r>
              <w:rPr>
                <w:noProof/>
                <w:color w:val="000000"/>
                <w:sz w:val="20"/>
                <w:szCs w:val="20"/>
              </w:rPr>
              <w:t>391</w:t>
            </w:r>
          </w:p>
        </w:tc>
        <w:tc>
          <w:tcPr>
            <w:tcW w:w="1107" w:type="dxa"/>
            <w:vAlign w:val="center"/>
          </w:tcPr>
          <w:p w:rsidR="00DD5E05" w:rsidRPr="00070628" w:rsidRDefault="00DD5E05" w:rsidP="00DD5E05">
            <w:pPr>
              <w:spacing w:before="60" w:after="60"/>
              <w:jc w:val="right"/>
              <w:rPr>
                <w:b/>
                <w:bCs/>
                <w:noProof/>
                <w:sz w:val="20"/>
                <w:szCs w:val="20"/>
              </w:rPr>
            </w:pPr>
            <w:r>
              <w:rPr>
                <w:b/>
                <w:bCs/>
                <w:noProof/>
                <w:color w:val="000000"/>
                <w:sz w:val="20"/>
                <w:szCs w:val="20"/>
              </w:rPr>
              <w:t>0</w:t>
            </w:r>
            <w:r w:rsidR="00A416DB">
              <w:rPr>
                <w:b/>
                <w:bCs/>
                <w:noProof/>
                <w:color w:val="000000"/>
                <w:sz w:val="20"/>
                <w:szCs w:val="20"/>
              </w:rPr>
              <w:t>.</w:t>
            </w:r>
            <w:r>
              <w:rPr>
                <w:b/>
                <w:bCs/>
                <w:noProof/>
                <w:color w:val="000000"/>
                <w:sz w:val="20"/>
                <w:szCs w:val="20"/>
              </w:rPr>
              <w:t>391</w:t>
            </w:r>
          </w:p>
        </w:tc>
        <w:tc>
          <w:tcPr>
            <w:tcW w:w="1107" w:type="dxa"/>
            <w:vAlign w:val="center"/>
          </w:tcPr>
          <w:p w:rsidR="00DD5E05" w:rsidRPr="003D361E" w:rsidRDefault="00DD5E05" w:rsidP="00DD5E05">
            <w:pPr>
              <w:spacing w:before="60" w:after="60"/>
              <w:jc w:val="right"/>
              <w:rPr>
                <w:b/>
                <w:bCs/>
                <w:noProof/>
                <w:color w:val="000000"/>
                <w:sz w:val="20"/>
                <w:szCs w:val="20"/>
              </w:rPr>
            </w:pPr>
            <w:r>
              <w:rPr>
                <w:b/>
                <w:bCs/>
                <w:noProof/>
                <w:color w:val="000000"/>
                <w:sz w:val="20"/>
                <w:szCs w:val="20"/>
              </w:rPr>
              <w:t>10</w:t>
            </w:r>
            <w:r w:rsidR="00A416DB">
              <w:rPr>
                <w:b/>
                <w:bCs/>
                <w:noProof/>
                <w:color w:val="000000"/>
                <w:sz w:val="20"/>
                <w:szCs w:val="20"/>
              </w:rPr>
              <w:t>.</w:t>
            </w:r>
            <w:r>
              <w:rPr>
                <w:b/>
                <w:bCs/>
                <w:noProof/>
                <w:color w:val="000000"/>
                <w:sz w:val="20"/>
                <w:szCs w:val="20"/>
              </w:rPr>
              <w:t>039</w:t>
            </w:r>
          </w:p>
        </w:tc>
      </w:tr>
      <w:tr w:rsidR="00BB1D84" w:rsidTr="004509F8">
        <w:trPr>
          <w:cantSplit/>
          <w:trHeight w:val="700"/>
        </w:trPr>
        <w:tc>
          <w:tcPr>
            <w:tcW w:w="3101" w:type="dxa"/>
            <w:vAlign w:val="center"/>
          </w:tcPr>
          <w:p w:rsidR="00BB1D84" w:rsidRDefault="00BB1D84">
            <w:pPr>
              <w:spacing w:before="60" w:after="60"/>
              <w:jc w:val="left"/>
              <w:rPr>
                <w:noProof/>
                <w:sz w:val="20"/>
              </w:rPr>
            </w:pPr>
            <w:r w:rsidRPr="00070628">
              <w:rPr>
                <w:noProof/>
                <w:sz w:val="20"/>
              </w:rPr>
              <w:t>Appropriations covered by fees</w:t>
            </w:r>
            <w:r>
              <w:rPr>
                <w:noProof/>
                <w:sz w:val="20"/>
              </w:rPr>
              <w:t xml:space="preserve"> </w:t>
            </w:r>
          </w:p>
          <w:p w:rsidR="00BB1D84" w:rsidRPr="00070628" w:rsidRDefault="00BB1D84">
            <w:pPr>
              <w:spacing w:before="60" w:after="60"/>
              <w:jc w:val="left"/>
              <w:rPr>
                <w:noProof/>
                <w:sz w:val="20"/>
              </w:rPr>
            </w:pPr>
            <w:r>
              <w:rPr>
                <w:noProof/>
                <w:sz w:val="20"/>
              </w:rPr>
              <w:t>(if applicable)</w:t>
            </w:r>
          </w:p>
        </w:tc>
        <w:tc>
          <w:tcPr>
            <w:tcW w:w="992"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1107" w:type="dxa"/>
            <w:vAlign w:val="center"/>
          </w:tcPr>
          <w:p w:rsidR="00BB1D84" w:rsidRPr="00070628" w:rsidRDefault="00BB1D84">
            <w:pPr>
              <w:spacing w:before="60" w:after="60"/>
              <w:jc w:val="right"/>
              <w:rPr>
                <w:b/>
                <w:bCs/>
                <w:noProof/>
                <w:sz w:val="20"/>
                <w:szCs w:val="20"/>
              </w:rPr>
            </w:pPr>
            <w:r w:rsidRPr="1B2547E8">
              <w:rPr>
                <w:b/>
                <w:bCs/>
                <w:noProof/>
                <w:sz w:val="20"/>
                <w:szCs w:val="20"/>
              </w:rPr>
              <w:t>0.000</w:t>
            </w:r>
          </w:p>
        </w:tc>
        <w:tc>
          <w:tcPr>
            <w:tcW w:w="1107" w:type="dxa"/>
            <w:vAlign w:val="center"/>
          </w:tcPr>
          <w:p w:rsidR="00BB1D84" w:rsidRPr="00C64A4D" w:rsidRDefault="00BB1D84">
            <w:pPr>
              <w:spacing w:before="60" w:after="60"/>
              <w:jc w:val="right"/>
              <w:rPr>
                <w:b/>
                <w:bCs/>
                <w:noProof/>
                <w:sz w:val="20"/>
                <w:szCs w:val="20"/>
              </w:rPr>
            </w:pPr>
            <w:r w:rsidRPr="00C64A4D">
              <w:rPr>
                <w:b/>
                <w:bCs/>
                <w:noProof/>
                <w:sz w:val="20"/>
                <w:szCs w:val="20"/>
              </w:rPr>
              <w:t>0.000</w:t>
            </w:r>
          </w:p>
        </w:tc>
      </w:tr>
      <w:tr w:rsidR="00BB1D84" w:rsidTr="004509F8">
        <w:trPr>
          <w:cantSplit/>
          <w:trHeight w:val="700"/>
        </w:trPr>
        <w:tc>
          <w:tcPr>
            <w:tcW w:w="3101" w:type="dxa"/>
            <w:vAlign w:val="center"/>
          </w:tcPr>
          <w:p w:rsidR="00BB1D84" w:rsidRDefault="00BB1D84">
            <w:pPr>
              <w:spacing w:before="60" w:after="60"/>
              <w:jc w:val="left"/>
              <w:rPr>
                <w:noProof/>
                <w:sz w:val="20"/>
              </w:rPr>
            </w:pPr>
            <w:r w:rsidRPr="00070628">
              <w:rPr>
                <w:noProof/>
                <w:sz w:val="20"/>
              </w:rPr>
              <w:t xml:space="preserve">Appropriations co-financed </w:t>
            </w:r>
          </w:p>
          <w:p w:rsidR="00BB1D84" w:rsidRPr="00070628" w:rsidRDefault="00BB1D84">
            <w:pPr>
              <w:spacing w:before="60" w:after="60"/>
              <w:jc w:val="left"/>
              <w:rPr>
                <w:noProof/>
                <w:sz w:val="20"/>
              </w:rPr>
            </w:pPr>
            <w:r w:rsidRPr="00070628">
              <w:rPr>
                <w:noProof/>
                <w:sz w:val="20"/>
              </w:rPr>
              <w:t>(if applicable)</w:t>
            </w:r>
          </w:p>
        </w:tc>
        <w:tc>
          <w:tcPr>
            <w:tcW w:w="992"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994" w:type="dxa"/>
            <w:vAlign w:val="center"/>
          </w:tcPr>
          <w:p w:rsidR="00BB1D84" w:rsidRPr="0094063F" w:rsidRDefault="00BB1D84">
            <w:pPr>
              <w:spacing w:before="60" w:after="60"/>
              <w:jc w:val="right"/>
              <w:rPr>
                <w:noProof/>
                <w:sz w:val="20"/>
              </w:rPr>
            </w:pPr>
            <w:r w:rsidRPr="0094063F">
              <w:rPr>
                <w:noProof/>
                <w:sz w:val="20"/>
                <w:szCs w:val="20"/>
              </w:rPr>
              <w:t>0.000</w:t>
            </w:r>
          </w:p>
        </w:tc>
        <w:tc>
          <w:tcPr>
            <w:tcW w:w="1107" w:type="dxa"/>
            <w:vAlign w:val="center"/>
          </w:tcPr>
          <w:p w:rsidR="00BB1D84" w:rsidRPr="00070628" w:rsidRDefault="00BB1D84">
            <w:pPr>
              <w:spacing w:before="60" w:after="60"/>
              <w:jc w:val="right"/>
              <w:rPr>
                <w:b/>
                <w:bCs/>
                <w:noProof/>
                <w:sz w:val="20"/>
                <w:szCs w:val="20"/>
              </w:rPr>
            </w:pPr>
            <w:r w:rsidRPr="1B2547E8">
              <w:rPr>
                <w:b/>
                <w:bCs/>
                <w:noProof/>
                <w:sz w:val="20"/>
                <w:szCs w:val="20"/>
              </w:rPr>
              <w:t>0.000</w:t>
            </w:r>
          </w:p>
        </w:tc>
        <w:tc>
          <w:tcPr>
            <w:tcW w:w="1107" w:type="dxa"/>
            <w:vAlign w:val="center"/>
          </w:tcPr>
          <w:p w:rsidR="00BB1D84" w:rsidRPr="00C64A4D" w:rsidRDefault="00BB1D84">
            <w:pPr>
              <w:spacing w:before="60" w:after="60"/>
              <w:jc w:val="right"/>
              <w:rPr>
                <w:b/>
                <w:bCs/>
                <w:noProof/>
                <w:sz w:val="20"/>
                <w:szCs w:val="20"/>
              </w:rPr>
            </w:pPr>
            <w:r w:rsidRPr="00C64A4D">
              <w:rPr>
                <w:b/>
                <w:bCs/>
                <w:noProof/>
                <w:sz w:val="20"/>
                <w:szCs w:val="20"/>
              </w:rPr>
              <w:t>0.000</w:t>
            </w:r>
          </w:p>
        </w:tc>
      </w:tr>
      <w:tr w:rsidR="00DD5E05" w:rsidTr="004509F8">
        <w:trPr>
          <w:cantSplit/>
          <w:trHeight w:val="700"/>
        </w:trPr>
        <w:tc>
          <w:tcPr>
            <w:tcW w:w="3101" w:type="dxa"/>
            <w:vAlign w:val="center"/>
          </w:tcPr>
          <w:p w:rsidR="00DD5E05" w:rsidRPr="003F4D71" w:rsidRDefault="00DD5E05" w:rsidP="00DD5E05">
            <w:pPr>
              <w:spacing w:before="60" w:after="60"/>
              <w:jc w:val="left"/>
              <w:rPr>
                <w:b/>
                <w:bCs/>
                <w:noProof/>
                <w:sz w:val="20"/>
              </w:rPr>
            </w:pPr>
            <w:r>
              <w:rPr>
                <w:b/>
                <w:bCs/>
                <w:noProof/>
                <w:sz w:val="20"/>
              </w:rPr>
              <w:t xml:space="preserve">TOTAL </w:t>
            </w:r>
            <w:r w:rsidRPr="003F4D71">
              <w:rPr>
                <w:b/>
                <w:bCs/>
                <w:noProof/>
                <w:sz w:val="20"/>
              </w:rPr>
              <w:t>appropriations</w:t>
            </w:r>
          </w:p>
        </w:tc>
        <w:tc>
          <w:tcPr>
            <w:tcW w:w="992" w:type="dxa"/>
            <w:vAlign w:val="center"/>
          </w:tcPr>
          <w:p w:rsidR="00DD5E05" w:rsidRPr="00070628" w:rsidRDefault="00DD5E05" w:rsidP="00DD5E05">
            <w:pPr>
              <w:spacing w:before="60" w:after="60"/>
              <w:jc w:val="right"/>
              <w:rPr>
                <w:b/>
                <w:bCs/>
                <w:noProof/>
                <w:sz w:val="20"/>
              </w:rPr>
            </w:pPr>
            <w:r>
              <w:rPr>
                <w:b/>
                <w:bCs/>
                <w:noProof/>
                <w:sz w:val="20"/>
              </w:rPr>
              <w:t>0.000</w:t>
            </w:r>
          </w:p>
        </w:tc>
        <w:tc>
          <w:tcPr>
            <w:tcW w:w="994" w:type="dxa"/>
            <w:vAlign w:val="center"/>
          </w:tcPr>
          <w:p w:rsidR="00DD5E05" w:rsidRPr="00070628" w:rsidRDefault="00DD5E05" w:rsidP="00DD5E05">
            <w:pPr>
              <w:spacing w:before="60" w:after="60"/>
              <w:jc w:val="right"/>
              <w:rPr>
                <w:b/>
                <w:bCs/>
                <w:noProof/>
                <w:sz w:val="20"/>
              </w:rPr>
            </w:pPr>
            <w:r w:rsidRPr="00D45D3D">
              <w:rPr>
                <w:b/>
                <w:bCs/>
                <w:noProof/>
                <w:sz w:val="20"/>
              </w:rPr>
              <w:t>0.000</w:t>
            </w:r>
          </w:p>
        </w:tc>
        <w:tc>
          <w:tcPr>
            <w:tcW w:w="994" w:type="dxa"/>
            <w:vAlign w:val="center"/>
          </w:tcPr>
          <w:p w:rsidR="00DD5E05" w:rsidRPr="00070628" w:rsidRDefault="00DD5E05" w:rsidP="00DD5E05">
            <w:pPr>
              <w:spacing w:before="60" w:after="60"/>
              <w:jc w:val="right"/>
              <w:rPr>
                <w:b/>
                <w:bCs/>
                <w:noProof/>
                <w:sz w:val="20"/>
              </w:rPr>
            </w:pPr>
            <w:r w:rsidRPr="00D45D3D">
              <w:rPr>
                <w:b/>
                <w:bCs/>
                <w:noProof/>
                <w:sz w:val="20"/>
              </w:rPr>
              <w:t>0.000</w:t>
            </w:r>
          </w:p>
        </w:tc>
        <w:tc>
          <w:tcPr>
            <w:tcW w:w="994" w:type="dxa"/>
            <w:vAlign w:val="center"/>
          </w:tcPr>
          <w:p w:rsidR="00DD5E05" w:rsidRPr="00070628" w:rsidRDefault="00DD5E05" w:rsidP="00DD5E05">
            <w:pPr>
              <w:spacing w:before="60" w:after="60"/>
              <w:jc w:val="right"/>
              <w:rPr>
                <w:b/>
                <w:bCs/>
                <w:noProof/>
                <w:sz w:val="20"/>
              </w:rPr>
            </w:pPr>
            <w:r>
              <w:rPr>
                <w:b/>
                <w:bCs/>
                <w:noProof/>
                <w:color w:val="000000"/>
                <w:sz w:val="20"/>
                <w:szCs w:val="20"/>
              </w:rPr>
              <w:t>0</w:t>
            </w:r>
            <w:r w:rsidR="00A416DB">
              <w:rPr>
                <w:b/>
                <w:bCs/>
                <w:noProof/>
                <w:color w:val="000000"/>
                <w:sz w:val="20"/>
                <w:szCs w:val="20"/>
              </w:rPr>
              <w:t>.</w:t>
            </w:r>
            <w:r>
              <w:rPr>
                <w:b/>
                <w:bCs/>
                <w:noProof/>
                <w:color w:val="000000"/>
                <w:sz w:val="20"/>
                <w:szCs w:val="20"/>
              </w:rPr>
              <w:t>391</w:t>
            </w:r>
          </w:p>
        </w:tc>
        <w:tc>
          <w:tcPr>
            <w:tcW w:w="1107" w:type="dxa"/>
            <w:vAlign w:val="center"/>
          </w:tcPr>
          <w:p w:rsidR="00DD5E05" w:rsidRPr="00070628" w:rsidRDefault="00DD5E05" w:rsidP="00DD5E05">
            <w:pPr>
              <w:spacing w:before="60" w:after="60"/>
              <w:jc w:val="right"/>
              <w:rPr>
                <w:b/>
                <w:bCs/>
                <w:noProof/>
                <w:sz w:val="20"/>
              </w:rPr>
            </w:pPr>
            <w:r>
              <w:rPr>
                <w:b/>
                <w:bCs/>
                <w:noProof/>
                <w:color w:val="000000"/>
                <w:sz w:val="20"/>
                <w:szCs w:val="20"/>
              </w:rPr>
              <w:t>0</w:t>
            </w:r>
            <w:r w:rsidR="00A416DB">
              <w:rPr>
                <w:b/>
                <w:bCs/>
                <w:noProof/>
                <w:color w:val="000000"/>
                <w:sz w:val="20"/>
                <w:szCs w:val="20"/>
              </w:rPr>
              <w:t>.</w:t>
            </w:r>
            <w:r>
              <w:rPr>
                <w:b/>
                <w:bCs/>
                <w:noProof/>
                <w:color w:val="000000"/>
                <w:sz w:val="20"/>
                <w:szCs w:val="20"/>
              </w:rPr>
              <w:t>391</w:t>
            </w:r>
          </w:p>
        </w:tc>
        <w:tc>
          <w:tcPr>
            <w:tcW w:w="1107" w:type="dxa"/>
            <w:vAlign w:val="center"/>
          </w:tcPr>
          <w:p w:rsidR="00DD5E05" w:rsidRDefault="00DD5E05" w:rsidP="00DD5E05">
            <w:pPr>
              <w:spacing w:before="60" w:after="60"/>
              <w:jc w:val="right"/>
              <w:rPr>
                <w:b/>
                <w:bCs/>
                <w:noProof/>
                <w:color w:val="000000"/>
                <w:sz w:val="20"/>
                <w:szCs w:val="20"/>
              </w:rPr>
            </w:pPr>
            <w:r>
              <w:rPr>
                <w:b/>
                <w:bCs/>
                <w:noProof/>
                <w:color w:val="000000"/>
                <w:sz w:val="20"/>
                <w:szCs w:val="20"/>
              </w:rPr>
              <w:t>10</w:t>
            </w:r>
            <w:r w:rsidR="00A416DB">
              <w:rPr>
                <w:b/>
                <w:bCs/>
                <w:noProof/>
                <w:color w:val="000000"/>
                <w:sz w:val="20"/>
                <w:szCs w:val="20"/>
              </w:rPr>
              <w:t>.</w:t>
            </w:r>
            <w:r>
              <w:rPr>
                <w:b/>
                <w:bCs/>
                <w:noProof/>
                <w:color w:val="000000"/>
                <w:sz w:val="20"/>
                <w:szCs w:val="20"/>
              </w:rPr>
              <w:t>039</w:t>
            </w:r>
          </w:p>
        </w:tc>
      </w:tr>
    </w:tbl>
    <w:p w:rsidR="00BB1D84" w:rsidRDefault="00BB1D84" w:rsidP="00BB1D84">
      <w:pPr>
        <w:rPr>
          <w:noProof/>
          <w:lang w:val="en-IE"/>
        </w:rPr>
      </w:pPr>
      <w:r>
        <w:rPr>
          <w:noProof/>
        </w:rPr>
        <w:t xml:space="preserve">Description of the Tasks </w:t>
      </w:r>
      <w:r w:rsidRPr="003A769F">
        <w:rPr>
          <w:noProof/>
          <w:lang w:val="en-IE"/>
        </w:rPr>
        <w:t>to be carried out</w:t>
      </w:r>
      <w:r>
        <w:rPr>
          <w:noProof/>
          <w:lang w:val="en-IE"/>
        </w:rPr>
        <w:t xml:space="preserve"> by ACER</w:t>
      </w:r>
      <w:r w:rsidRPr="003A769F">
        <w:rPr>
          <w:noProof/>
          <w:lang w:val="en-IE"/>
        </w:rPr>
        <w:t>:</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 xml:space="preserve">Requirement 6: ACER is required, in close cooperation with transmission and distribution system operators and relevant stakeholders, to issue a recommendation addressed to regulatory authorities on smart grid indicators to measure the uptake of smart and innovative grid technologies and digital solutions in transmission and distribution networks (Article 18a(2)). This recommendation is to be issued by one year after the entry into force of the Regulation and constitutes a one-off task. </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 xml:space="preserve">Requirement 7: ACER is required to publish a Union-level progress report assessing the development and uptake of smart grid solutions and the efficient use of electricity infrastructure (Article 18a(3)). This report is to be published at least every three years following the publication of ACER’s recommendation on smart grid indicators and constitutes a recurring task. </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5127B">
        <w:rPr>
          <w:b/>
          <w:bCs/>
          <w:noProof/>
        </w:rPr>
        <w:t>For Requirements 6 and 7 combined ACER thus requires additional staff to l</w:t>
      </w:r>
      <w:r w:rsidRPr="004509F8">
        <w:rPr>
          <w:b/>
          <w:bCs/>
          <w:noProof/>
        </w:rPr>
        <w:t xml:space="preserve">ead and conduct the expert work including initial recommendation and regular monitoring on both TSOs and DSOs, as well as </w:t>
      </w:r>
      <w:r w:rsidRPr="00725495">
        <w:rPr>
          <w:noProof/>
        </w:rPr>
        <w:t xml:space="preserve">to assist on data collection and other clerical tasks inherent to this activity. </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 xml:space="preserve">Requirement 8: ACER is tasked with assisting regulatory authorities in determining performance indicators (Article 18(7)). </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 xml:space="preserve">Requirement 9: ACER is tasked with publishing a report with efficiency comparison among transmission system operators and their costs, by first day of the month following 12 months after the date of entry into force of this Regulation and every four years thereafter (Article 18(7)). </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Requirement 10: ACER is tasked with issuing a recommendation addressed to the Commission on a proposal for a harmonised methodology on tariffs (Article 61(5a)).</w:t>
      </w:r>
    </w:p>
    <w:p w:rsidR="00BB1D84" w:rsidRPr="00725495" w:rsidRDefault="00BB1D84" w:rsidP="004509F8">
      <w:pPr>
        <w:pStyle w:val="Text1"/>
        <w:pBdr>
          <w:top w:val="single" w:sz="4" w:space="1" w:color="auto"/>
          <w:left w:val="single" w:sz="4" w:space="0" w:color="auto"/>
          <w:bottom w:val="single" w:sz="4" w:space="1" w:color="auto"/>
          <w:right w:val="single" w:sz="4" w:space="4" w:color="auto"/>
        </w:pBdr>
        <w:ind w:left="0"/>
        <w:rPr>
          <w:noProof/>
        </w:rPr>
      </w:pPr>
      <w:r w:rsidRPr="00725495">
        <w:rPr>
          <w:noProof/>
        </w:rPr>
        <w:t xml:space="preserve">For Requirements 8, 9 and 10, ACER requires additional staff resources for horizontal support and overhead, as well as an operational budget for specialised consultancy and developments. </w:t>
      </w:r>
    </w:p>
    <w:p w:rsidR="00BB1D84" w:rsidRDefault="00BB1D84" w:rsidP="00BB1D84">
      <w:pPr>
        <w:pStyle w:val="ManualHeading2"/>
        <w:ind w:left="0" w:firstLine="0"/>
        <w:rPr>
          <w:bCs/>
          <w:noProof/>
          <w:szCs w:val="24"/>
        </w:rPr>
      </w:pPr>
      <w:bookmarkStart w:id="177" w:name="_Toc514938059"/>
      <w:bookmarkStart w:id="178" w:name="_Toc520485057"/>
      <w:bookmarkStart w:id="179" w:name="_Toc160804602"/>
      <w:bookmarkStart w:id="180" w:name="_Toc234245528"/>
      <w:r w:rsidRPr="0021790A">
        <w:rPr>
          <w:noProof/>
        </w:rPr>
        <w:t>3.3.</w:t>
      </w:r>
      <w:r w:rsidRPr="0021790A">
        <w:rPr>
          <w:noProof/>
        </w:rPr>
        <w:tab/>
      </w:r>
      <w:r>
        <w:rPr>
          <w:noProof/>
        </w:rPr>
        <w:t>Estimated impact on revenue</w:t>
      </w:r>
      <w:bookmarkEnd w:id="177"/>
      <w:bookmarkEnd w:id="178"/>
      <w:bookmarkEnd w:id="179"/>
      <w:bookmarkEnd w:id="180"/>
      <w:r>
        <w:rPr>
          <w:noProof/>
        </w:rPr>
        <w:t xml:space="preserve"> </w:t>
      </w:r>
    </w:p>
    <w:p w:rsidR="00BB1D84" w:rsidRDefault="00BB1D84" w:rsidP="00AD3300">
      <w:pPr>
        <w:pStyle w:val="Text1"/>
        <w:rPr>
          <w:noProof/>
        </w:rPr>
      </w:pPr>
      <w:r>
        <w:rPr>
          <w:rFonts w:ascii="Wingdings" w:eastAsia="Wingdings" w:hAnsi="Wingdings" w:cs="Wingdings"/>
          <w:noProof/>
        </w:rPr>
        <w:t></w:t>
      </w:r>
      <w:r>
        <w:rPr>
          <w:noProof/>
        </w:rPr>
        <w:tab/>
        <w:t>The proposal/initiative has no financial impact on revenue.</w:t>
      </w:r>
    </w:p>
    <w:p w:rsidR="00BB1D84" w:rsidRDefault="00BB1D84" w:rsidP="00AD3300">
      <w:pPr>
        <w:pStyle w:val="Text1"/>
        <w:rPr>
          <w:noProof/>
        </w:rPr>
      </w:pPr>
      <w:r>
        <w:rPr>
          <w:rFonts w:ascii="Wingdings" w:eastAsia="Wingdings" w:hAnsi="Wingdings" w:cs="Wingdings"/>
          <w:noProof/>
        </w:rPr>
        <w:t></w:t>
      </w:r>
      <w:r>
        <w:rPr>
          <w:noProof/>
        </w:rPr>
        <w:tab/>
        <w:t>The proposal/initiative has the following financial impact:</w:t>
      </w:r>
    </w:p>
    <w:p w:rsidR="00BB1D84" w:rsidRDefault="00BB1D84" w:rsidP="00AD3300">
      <w:pPr>
        <w:pStyle w:val="Text1"/>
        <w:ind w:firstLine="568"/>
        <w:rPr>
          <w:noProof/>
        </w:rPr>
      </w:pPr>
      <w:r>
        <w:rPr>
          <w:rFonts w:ascii="Wingdings" w:eastAsia="Wingdings" w:hAnsi="Wingdings" w:cs="Wingdings"/>
          <w:noProof/>
        </w:rPr>
        <w:t></w:t>
      </w:r>
      <w:r>
        <w:rPr>
          <w:noProof/>
        </w:rPr>
        <w:tab/>
        <w:t xml:space="preserve">on own resources </w:t>
      </w:r>
    </w:p>
    <w:p w:rsidR="00BB1D84" w:rsidRDefault="00BB1D84" w:rsidP="00AD3300">
      <w:pPr>
        <w:pStyle w:val="Text1"/>
        <w:ind w:firstLine="568"/>
        <w:rPr>
          <w:noProof/>
        </w:rPr>
      </w:pPr>
      <w:r>
        <w:rPr>
          <w:rFonts w:ascii="Wingdings" w:eastAsia="Wingdings" w:hAnsi="Wingdings" w:cs="Wingdings"/>
          <w:noProof/>
        </w:rPr>
        <w:t></w:t>
      </w:r>
      <w:r>
        <w:rPr>
          <w:noProof/>
        </w:rPr>
        <w:tab/>
        <w:t>on other revenue</w:t>
      </w:r>
    </w:p>
    <w:p w:rsidR="00BB1D84" w:rsidRDefault="00BB1D84" w:rsidP="00AD3300">
      <w:pPr>
        <w:pStyle w:val="Text1"/>
        <w:ind w:firstLine="568"/>
        <w:rPr>
          <w:noProof/>
        </w:rPr>
      </w:pPr>
      <w:r w:rsidRPr="0047065F">
        <w:rPr>
          <w:rFonts w:ascii="Wingdings" w:eastAsia="Wingdings" w:hAnsi="Wingdings" w:cs="Wingdings"/>
          <w:noProof/>
        </w:rPr>
        <w:t></w:t>
      </w:r>
      <w:r>
        <w:rPr>
          <w:noProof/>
        </w:rPr>
        <w:tab/>
      </w:r>
      <w:r w:rsidRPr="009B753E">
        <w:rPr>
          <w:noProof/>
        </w:rPr>
        <w:t>please indicate, if the revenue is assigned to expenditure lines</w:t>
      </w:r>
    </w:p>
    <w:p w:rsidR="00BB1D84" w:rsidRPr="0047065F" w:rsidRDefault="00BB1D84" w:rsidP="00BB1D84">
      <w:pPr>
        <w:ind w:left="4320"/>
        <w:jc w:val="right"/>
        <w:rPr>
          <w:i/>
          <w:noProof/>
          <w:sz w:val="20"/>
          <w:szCs w:val="20"/>
          <w:lang w:val="en-IE"/>
        </w:rPr>
      </w:pPr>
      <w:r w:rsidRPr="0047065F">
        <w:rPr>
          <w:noProof/>
          <w:sz w:val="20"/>
          <w:szCs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3"/>
        <w:gridCol w:w="1614"/>
        <w:gridCol w:w="1692"/>
        <w:gridCol w:w="1044"/>
        <w:gridCol w:w="1035"/>
        <w:gridCol w:w="1261"/>
      </w:tblGrid>
      <w:tr w:rsidR="00BB1D84" w:rsidRPr="003A769F">
        <w:trPr>
          <w:trHeight w:val="388"/>
        </w:trPr>
        <w:tc>
          <w:tcPr>
            <w:tcW w:w="1422" w:type="pct"/>
            <w:vMerge w:val="restart"/>
            <w:vAlign w:val="center"/>
          </w:tcPr>
          <w:p w:rsidR="00BB1D84" w:rsidRDefault="00BB1D84">
            <w:pPr>
              <w:spacing w:before="40" w:after="40"/>
              <w:rPr>
                <w:noProof/>
                <w:sz w:val="18"/>
              </w:rPr>
            </w:pPr>
            <w:r>
              <w:rPr>
                <w:noProof/>
                <w:sz w:val="18"/>
              </w:rPr>
              <w:t>Budget revenue line:</w:t>
            </w:r>
          </w:p>
        </w:tc>
        <w:tc>
          <w:tcPr>
            <w:tcW w:w="868" w:type="pct"/>
            <w:vMerge w:val="restart"/>
            <w:vAlign w:val="center"/>
          </w:tcPr>
          <w:p w:rsidR="00BB1D84" w:rsidRPr="003A769F" w:rsidRDefault="00BB1D84">
            <w:pPr>
              <w:jc w:val="center"/>
              <w:rPr>
                <w:noProof/>
                <w:sz w:val="18"/>
                <w:lang w:val="en-IE"/>
              </w:rPr>
            </w:pPr>
            <w:r w:rsidRPr="003A769F">
              <w:rPr>
                <w:noProof/>
                <w:sz w:val="18"/>
                <w:lang w:val="en-IE"/>
              </w:rPr>
              <w:t>Appropriations available for the current financial year</w:t>
            </w:r>
          </w:p>
        </w:tc>
        <w:tc>
          <w:tcPr>
            <w:tcW w:w="2709" w:type="pct"/>
            <w:gridSpan w:val="4"/>
            <w:vAlign w:val="center"/>
          </w:tcPr>
          <w:p w:rsidR="00BB1D84" w:rsidRPr="003A769F" w:rsidRDefault="00BB1D84">
            <w:pPr>
              <w:jc w:val="center"/>
              <w:rPr>
                <w:noProof/>
                <w:sz w:val="18"/>
                <w:lang w:val="en-IE"/>
              </w:rPr>
            </w:pPr>
            <w:r w:rsidRPr="003A769F">
              <w:rPr>
                <w:noProof/>
                <w:sz w:val="18"/>
                <w:lang w:val="en-IE"/>
              </w:rPr>
              <w:t>Impact of the proposal/initiative</w:t>
            </w:r>
            <w:r>
              <w:rPr>
                <w:rStyle w:val="FootnoteReference"/>
                <w:noProof/>
                <w:sz w:val="18"/>
              </w:rPr>
              <w:footnoteReference w:id="53"/>
            </w:r>
          </w:p>
        </w:tc>
      </w:tr>
      <w:tr w:rsidR="00BB1D84" w:rsidRPr="003A769F">
        <w:trPr>
          <w:trHeight w:val="388"/>
        </w:trPr>
        <w:tc>
          <w:tcPr>
            <w:tcW w:w="1422" w:type="pct"/>
            <w:vMerge/>
          </w:tcPr>
          <w:p w:rsidR="00BB1D84" w:rsidRPr="003A769F" w:rsidRDefault="00BB1D84">
            <w:pPr>
              <w:spacing w:before="40" w:after="40"/>
              <w:rPr>
                <w:noProof/>
                <w:sz w:val="18"/>
                <w:lang w:val="en-IE"/>
              </w:rPr>
            </w:pPr>
          </w:p>
        </w:tc>
        <w:tc>
          <w:tcPr>
            <w:tcW w:w="868" w:type="pct"/>
            <w:vMerge/>
          </w:tcPr>
          <w:p w:rsidR="00BB1D84" w:rsidRPr="003A769F" w:rsidRDefault="00BB1D84">
            <w:pPr>
              <w:spacing w:beforeLines="40" w:before="96" w:afterLines="40" w:after="96"/>
              <w:rPr>
                <w:i/>
                <w:noProof/>
                <w:sz w:val="18"/>
                <w:lang w:val="en-IE"/>
              </w:rPr>
            </w:pPr>
          </w:p>
        </w:tc>
        <w:tc>
          <w:tcPr>
            <w:tcW w:w="911" w:type="pct"/>
            <w:vAlign w:val="center"/>
          </w:tcPr>
          <w:p w:rsidR="00BB1D84" w:rsidRDefault="00BB1D84">
            <w:pPr>
              <w:jc w:val="center"/>
              <w:rPr>
                <w:noProof/>
                <w:sz w:val="18"/>
              </w:rPr>
            </w:pPr>
            <w:r>
              <w:rPr>
                <w:noProof/>
                <w:sz w:val="18"/>
              </w:rPr>
              <w:t xml:space="preserve">Year </w:t>
            </w:r>
            <w:r>
              <w:rPr>
                <w:b/>
                <w:noProof/>
                <w:sz w:val="18"/>
              </w:rPr>
              <w:t>2024</w:t>
            </w:r>
          </w:p>
        </w:tc>
        <w:tc>
          <w:tcPr>
            <w:tcW w:w="562" w:type="pct"/>
            <w:vAlign w:val="center"/>
          </w:tcPr>
          <w:p w:rsidR="00BB1D84" w:rsidRDefault="00BB1D84">
            <w:pPr>
              <w:jc w:val="center"/>
              <w:rPr>
                <w:noProof/>
                <w:sz w:val="18"/>
              </w:rPr>
            </w:pPr>
            <w:r>
              <w:rPr>
                <w:noProof/>
                <w:sz w:val="18"/>
              </w:rPr>
              <w:t xml:space="preserve">Year </w:t>
            </w:r>
            <w:r>
              <w:rPr>
                <w:b/>
                <w:noProof/>
                <w:sz w:val="18"/>
              </w:rPr>
              <w:t>2025</w:t>
            </w:r>
          </w:p>
        </w:tc>
        <w:tc>
          <w:tcPr>
            <w:tcW w:w="557" w:type="pct"/>
            <w:vAlign w:val="center"/>
          </w:tcPr>
          <w:p w:rsidR="00BB1D84" w:rsidRDefault="00BB1D84">
            <w:pPr>
              <w:jc w:val="center"/>
              <w:rPr>
                <w:noProof/>
                <w:sz w:val="18"/>
              </w:rPr>
            </w:pPr>
            <w:r>
              <w:rPr>
                <w:noProof/>
                <w:sz w:val="18"/>
              </w:rPr>
              <w:t xml:space="preserve">Year </w:t>
            </w:r>
            <w:r>
              <w:rPr>
                <w:b/>
                <w:noProof/>
                <w:sz w:val="18"/>
              </w:rPr>
              <w:t>2026</w:t>
            </w:r>
          </w:p>
        </w:tc>
        <w:tc>
          <w:tcPr>
            <w:tcW w:w="677" w:type="pct"/>
            <w:vAlign w:val="center"/>
          </w:tcPr>
          <w:p w:rsidR="00BB1D84" w:rsidRDefault="00BB1D84">
            <w:pPr>
              <w:jc w:val="center"/>
              <w:rPr>
                <w:noProof/>
                <w:sz w:val="18"/>
              </w:rPr>
            </w:pPr>
            <w:r>
              <w:rPr>
                <w:noProof/>
                <w:sz w:val="18"/>
              </w:rPr>
              <w:t xml:space="preserve">Year </w:t>
            </w:r>
            <w:r>
              <w:rPr>
                <w:b/>
                <w:noProof/>
                <w:sz w:val="18"/>
              </w:rPr>
              <w:t>2027</w:t>
            </w:r>
          </w:p>
        </w:tc>
      </w:tr>
      <w:tr w:rsidR="00BB1D84">
        <w:trPr>
          <w:trHeight w:val="388"/>
        </w:trPr>
        <w:tc>
          <w:tcPr>
            <w:tcW w:w="1422" w:type="pct"/>
            <w:vAlign w:val="center"/>
          </w:tcPr>
          <w:p w:rsidR="00BB1D84" w:rsidRDefault="00BB1D84">
            <w:pPr>
              <w:spacing w:before="40" w:after="40"/>
              <w:rPr>
                <w:noProof/>
                <w:sz w:val="18"/>
              </w:rPr>
            </w:pPr>
            <w:r>
              <w:rPr>
                <w:noProof/>
                <w:sz w:val="18"/>
              </w:rPr>
              <w:t>Article ………….</w:t>
            </w:r>
          </w:p>
        </w:tc>
        <w:tc>
          <w:tcPr>
            <w:tcW w:w="868" w:type="pct"/>
          </w:tcPr>
          <w:p w:rsidR="00BB1D84" w:rsidRDefault="00BB1D84">
            <w:pPr>
              <w:spacing w:beforeLines="40" w:before="96" w:afterLines="40" w:after="96"/>
              <w:jc w:val="center"/>
              <w:rPr>
                <w:i/>
                <w:noProof/>
                <w:sz w:val="18"/>
              </w:rPr>
            </w:pPr>
          </w:p>
        </w:tc>
        <w:tc>
          <w:tcPr>
            <w:tcW w:w="911" w:type="pct"/>
          </w:tcPr>
          <w:p w:rsidR="00BB1D84" w:rsidRDefault="00BB1D84">
            <w:pPr>
              <w:spacing w:beforeLines="40" w:before="96" w:afterLines="40" w:after="96"/>
              <w:jc w:val="center"/>
              <w:rPr>
                <w:noProof/>
                <w:sz w:val="18"/>
              </w:rPr>
            </w:pPr>
          </w:p>
        </w:tc>
        <w:tc>
          <w:tcPr>
            <w:tcW w:w="562" w:type="pct"/>
          </w:tcPr>
          <w:p w:rsidR="00BB1D84" w:rsidRDefault="00BB1D84">
            <w:pPr>
              <w:spacing w:beforeLines="40" w:before="96" w:afterLines="40" w:after="96"/>
              <w:jc w:val="center"/>
              <w:rPr>
                <w:noProof/>
                <w:sz w:val="18"/>
              </w:rPr>
            </w:pPr>
          </w:p>
        </w:tc>
        <w:tc>
          <w:tcPr>
            <w:tcW w:w="557" w:type="pct"/>
          </w:tcPr>
          <w:p w:rsidR="00BB1D84" w:rsidRDefault="00BB1D84">
            <w:pPr>
              <w:spacing w:beforeLines="40" w:before="96" w:afterLines="40" w:after="96"/>
              <w:jc w:val="center"/>
              <w:rPr>
                <w:noProof/>
                <w:sz w:val="18"/>
              </w:rPr>
            </w:pPr>
          </w:p>
        </w:tc>
        <w:tc>
          <w:tcPr>
            <w:tcW w:w="677" w:type="pct"/>
          </w:tcPr>
          <w:p w:rsidR="00BB1D84" w:rsidRDefault="00BB1D84">
            <w:pPr>
              <w:spacing w:beforeLines="40" w:before="96" w:afterLines="40" w:after="96"/>
              <w:jc w:val="center"/>
              <w:rPr>
                <w:noProof/>
                <w:sz w:val="18"/>
              </w:rPr>
            </w:pPr>
          </w:p>
        </w:tc>
      </w:tr>
    </w:tbl>
    <w:p w:rsidR="00BB1D84" w:rsidRPr="0047065F" w:rsidRDefault="00BB1D84" w:rsidP="00BB1D84">
      <w:pPr>
        <w:pStyle w:val="Text1"/>
        <w:rPr>
          <w:noProof/>
          <w:szCs w:val="24"/>
        </w:rPr>
      </w:pPr>
      <w:r w:rsidRPr="0047065F">
        <w:rPr>
          <w:noProof/>
          <w:szCs w:val="24"/>
        </w:rPr>
        <w:t>For assigned revenue, specify the budget expenditure line(s) affected.</w:t>
      </w:r>
    </w:p>
    <w:p w:rsidR="00BB1D84" w:rsidRDefault="00BB1D84" w:rsidP="00BB1D84">
      <w:pPr>
        <w:pStyle w:val="Text1"/>
        <w:pBdr>
          <w:top w:val="single" w:sz="4" w:space="1" w:color="auto"/>
          <w:left w:val="single" w:sz="4" w:space="4" w:color="auto"/>
          <w:bottom w:val="single" w:sz="4" w:space="1" w:color="auto"/>
          <w:right w:val="single" w:sz="4" w:space="4" w:color="auto"/>
        </w:pBdr>
        <w:rPr>
          <w:noProof/>
        </w:rPr>
      </w:pPr>
    </w:p>
    <w:p w:rsidR="00BB1D84" w:rsidRPr="0047065F" w:rsidRDefault="00BB1D84" w:rsidP="00BB1D84">
      <w:pPr>
        <w:pStyle w:val="Text1"/>
        <w:rPr>
          <w:noProof/>
          <w:szCs w:val="24"/>
        </w:rPr>
      </w:pPr>
      <w:r w:rsidRPr="0047065F">
        <w:rPr>
          <w:noProof/>
          <w:szCs w:val="24"/>
        </w:rPr>
        <w:t>Other remarks (e.g. method/formula used for calculating the impact on revenue or any other information).</w:t>
      </w:r>
    </w:p>
    <w:p w:rsidR="00BB1D84" w:rsidRDefault="00BB1D84" w:rsidP="00BB1D84">
      <w:pPr>
        <w:pStyle w:val="Text1"/>
        <w:pBdr>
          <w:top w:val="single" w:sz="4" w:space="1" w:color="auto"/>
          <w:left w:val="single" w:sz="4" w:space="4" w:color="auto"/>
          <w:bottom w:val="single" w:sz="4" w:space="1" w:color="auto"/>
          <w:right w:val="single" w:sz="4" w:space="4" w:color="auto"/>
        </w:pBdr>
        <w:rPr>
          <w:noProof/>
        </w:rPr>
      </w:pPr>
    </w:p>
    <w:p w:rsidR="00BB1D84" w:rsidRDefault="00BB1D84" w:rsidP="00BB1D84">
      <w:pPr>
        <w:spacing w:before="0" w:after="200" w:line="276" w:lineRule="auto"/>
        <w:jc w:val="left"/>
        <w:rPr>
          <w:noProof/>
          <w:szCs w:val="24"/>
        </w:rPr>
        <w:sectPr w:rsidR="00BB1D84" w:rsidSect="00423DBB">
          <w:headerReference w:type="default" r:id="rId20"/>
          <w:footerReference w:type="default" r:id="rId21"/>
          <w:footnotePr>
            <w:numRestart w:val="eachSect"/>
          </w:footnotePr>
          <w:pgSz w:w="11907" w:h="16839"/>
          <w:pgMar w:top="1134" w:right="1417" w:bottom="1134" w:left="1417" w:header="709" w:footer="709" w:gutter="0"/>
          <w:cols w:space="720"/>
          <w:docGrid w:linePitch="360"/>
        </w:sectPr>
      </w:pPr>
    </w:p>
    <w:p w:rsidR="00BB1D84" w:rsidRPr="00657433" w:rsidRDefault="00BB1D84" w:rsidP="00BB1D84">
      <w:pPr>
        <w:pStyle w:val="ManualHeading1"/>
        <w:spacing w:line="259" w:lineRule="auto"/>
        <w:rPr>
          <w:noProof/>
        </w:rPr>
      </w:pPr>
      <w:bookmarkStart w:id="181" w:name="_Toc234245529"/>
      <w:r>
        <w:rPr>
          <w:noProof/>
        </w:rPr>
        <w:t>4.</w:t>
      </w:r>
      <w:r>
        <w:rPr>
          <w:noProof/>
        </w:rPr>
        <w:tab/>
        <w:t>Digital dimensions</w:t>
      </w:r>
      <w:bookmarkEnd w:id="181"/>
    </w:p>
    <w:p w:rsidR="00BB1D84" w:rsidRPr="008774EA" w:rsidRDefault="00BB1D84" w:rsidP="00BB1D84">
      <w:pPr>
        <w:pStyle w:val="ManualHeading2"/>
        <w:rPr>
          <w:noProof/>
        </w:rPr>
      </w:pPr>
      <w:bookmarkStart w:id="182" w:name="_Toc167220302"/>
      <w:bookmarkStart w:id="183" w:name="_Toc167265072"/>
      <w:bookmarkStart w:id="184" w:name="_Toc234245530"/>
      <w:r>
        <w:rPr>
          <w:noProof/>
        </w:rPr>
        <w:t>4.1.</w:t>
      </w:r>
      <w:r>
        <w:rPr>
          <w:noProof/>
        </w:rPr>
        <w:tab/>
        <w:t>Requirements of digital relevance</w:t>
      </w:r>
      <w:bookmarkEnd w:id="182"/>
      <w:bookmarkEnd w:id="183"/>
      <w:bookmarkEnd w:id="184"/>
    </w:p>
    <w:p w:rsidR="00BB1D84" w:rsidRPr="00160DEC" w:rsidRDefault="00BB1D84" w:rsidP="00BB1D84">
      <w:pPr>
        <w:rPr>
          <w:i/>
          <w:noProof/>
          <w:lang w:val="en-US"/>
        </w:rPr>
      </w:pPr>
      <w:r w:rsidRPr="00160DEC">
        <w:rPr>
          <w:i/>
          <w:noProof/>
          <w:lang w:val="en-US"/>
        </w:rPr>
        <w:t>High-level description of the requirements of digital relevance and related categories (data, process digitalisation &amp; automation, digital solutions and/or digital public services)</w:t>
      </w:r>
      <w:r w:rsidRPr="00160DEC">
        <w:rPr>
          <w:i/>
          <w:noProof/>
        </w:rPr>
        <w:t xml:space="preserve"> </w:t>
      </w:r>
    </w:p>
    <w:tbl>
      <w:tblPr>
        <w:tblStyle w:val="TableGrid"/>
        <w:tblW w:w="14709" w:type="dxa"/>
        <w:tblLook w:val="04A0" w:firstRow="1" w:lastRow="0" w:firstColumn="1" w:lastColumn="0" w:noHBand="0" w:noVBand="1"/>
      </w:tblPr>
      <w:tblGrid>
        <w:gridCol w:w="3435"/>
        <w:gridCol w:w="4073"/>
        <w:gridCol w:w="2693"/>
        <w:gridCol w:w="2665"/>
        <w:gridCol w:w="1843"/>
      </w:tblGrid>
      <w:tr w:rsidR="00BB1D84">
        <w:trPr>
          <w:trHeight w:val="300"/>
        </w:trPr>
        <w:tc>
          <w:tcPr>
            <w:tcW w:w="3435" w:type="dxa"/>
            <w:vAlign w:val="center"/>
          </w:tcPr>
          <w:p w:rsidR="00BB1D84" w:rsidRPr="00373F91" w:rsidRDefault="00BB1D84">
            <w:pPr>
              <w:jc w:val="left"/>
              <w:rPr>
                <w:b/>
                <w:noProof/>
              </w:rPr>
            </w:pPr>
            <w:r w:rsidRPr="40253774">
              <w:rPr>
                <w:rFonts w:eastAsia="Calibri"/>
                <w:b/>
                <w:noProof/>
              </w:rPr>
              <w:t>Reference to the requirement</w:t>
            </w:r>
          </w:p>
        </w:tc>
        <w:tc>
          <w:tcPr>
            <w:tcW w:w="4073" w:type="dxa"/>
            <w:vAlign w:val="center"/>
          </w:tcPr>
          <w:p w:rsidR="00BB1D84" w:rsidRPr="00373F91" w:rsidRDefault="00BB1D84">
            <w:pPr>
              <w:jc w:val="left"/>
              <w:rPr>
                <w:b/>
                <w:noProof/>
              </w:rPr>
            </w:pPr>
            <w:r w:rsidRPr="00373F91">
              <w:rPr>
                <w:rFonts w:eastAsia="Calibri"/>
                <w:b/>
                <w:noProof/>
              </w:rPr>
              <w:t>Requirement description</w:t>
            </w:r>
          </w:p>
        </w:tc>
        <w:tc>
          <w:tcPr>
            <w:tcW w:w="2693" w:type="dxa"/>
            <w:vAlign w:val="center"/>
          </w:tcPr>
          <w:p w:rsidR="00BB1D84" w:rsidRPr="00373F91" w:rsidRDefault="00BB1D84">
            <w:pPr>
              <w:jc w:val="left"/>
              <w:rPr>
                <w:b/>
                <w:noProof/>
              </w:rPr>
            </w:pPr>
            <w:r w:rsidRPr="40253774">
              <w:rPr>
                <w:rFonts w:eastAsia="Calibri"/>
                <w:b/>
                <w:noProof/>
              </w:rPr>
              <w:t>Actor</w:t>
            </w:r>
            <w:r>
              <w:rPr>
                <w:rFonts w:eastAsia="Calibri"/>
                <w:b/>
                <w:noProof/>
              </w:rPr>
              <w:t>s</w:t>
            </w:r>
            <w:r w:rsidRPr="40253774">
              <w:rPr>
                <w:rFonts w:eastAsia="Calibri"/>
                <w:b/>
                <w:noProof/>
              </w:rPr>
              <w:t xml:space="preserve"> affected or concerned by the requirement</w:t>
            </w:r>
          </w:p>
        </w:tc>
        <w:tc>
          <w:tcPr>
            <w:tcW w:w="2665" w:type="dxa"/>
            <w:vAlign w:val="center"/>
          </w:tcPr>
          <w:p w:rsidR="00BB1D84" w:rsidRPr="00373F91" w:rsidRDefault="00BB1D84">
            <w:pPr>
              <w:jc w:val="left"/>
              <w:rPr>
                <w:b/>
                <w:noProof/>
              </w:rPr>
            </w:pPr>
            <w:r w:rsidRPr="00373F91">
              <w:rPr>
                <w:rFonts w:eastAsia="Calibri"/>
                <w:b/>
                <w:noProof/>
              </w:rPr>
              <w:t>High-level Processes</w:t>
            </w:r>
          </w:p>
        </w:tc>
        <w:tc>
          <w:tcPr>
            <w:tcW w:w="1843" w:type="dxa"/>
            <w:vAlign w:val="center"/>
          </w:tcPr>
          <w:p w:rsidR="00BB1D84" w:rsidRPr="00373F91" w:rsidRDefault="00BB1D84">
            <w:pPr>
              <w:jc w:val="left"/>
              <w:rPr>
                <w:b/>
                <w:noProof/>
              </w:rPr>
            </w:pPr>
            <w:r w:rsidRPr="00373F91">
              <w:rPr>
                <w:rFonts w:eastAsia="Calibri"/>
                <w:b/>
                <w:noProof/>
              </w:rPr>
              <w:t>Categor</w:t>
            </w:r>
            <w:r>
              <w:rPr>
                <w:rFonts w:eastAsia="Calibri"/>
                <w:b/>
                <w:noProof/>
              </w:rPr>
              <w:t>ies</w:t>
            </w:r>
          </w:p>
        </w:tc>
      </w:tr>
      <w:tr w:rsidR="00BB1D84">
        <w:trPr>
          <w:trHeight w:val="300"/>
        </w:trPr>
        <w:tc>
          <w:tcPr>
            <w:tcW w:w="3435" w:type="dxa"/>
            <w:vAlign w:val="center"/>
          </w:tcPr>
          <w:p w:rsidR="00BB1D84" w:rsidRDefault="00BB1D84">
            <w:pPr>
              <w:rPr>
                <w:noProof/>
              </w:rPr>
            </w:pPr>
            <w:r w:rsidRPr="0004275F">
              <w:rPr>
                <w:noProof/>
              </w:rPr>
              <w:t>Requirement 1 (R1) – Article 18a(2), (3), (6) and Article 61.5a: Smart grid indicators and related governance framework</w:t>
            </w:r>
          </w:p>
        </w:tc>
        <w:tc>
          <w:tcPr>
            <w:tcW w:w="4073" w:type="dxa"/>
            <w:vAlign w:val="center"/>
          </w:tcPr>
          <w:p w:rsidR="00BB1D84" w:rsidRPr="0004275F" w:rsidRDefault="00BB1D84">
            <w:pPr>
              <w:rPr>
                <w:rFonts w:eastAsia="Calibri"/>
                <w:noProof/>
              </w:rPr>
            </w:pPr>
            <w:r w:rsidRPr="0004275F">
              <w:rPr>
                <w:rFonts w:eastAsia="Calibri"/>
                <w:noProof/>
              </w:rPr>
              <w:t>This requirement concerns the establishment of a Union-level framework for smart grid indicators, including an ACER recommendation, periodic Union-level progress reporting, and the possibility for the Commission to adopt implementing acts on a harmonised methodology. It is digitally relevant because it concerns the measurement and monitoring of the uptake of smart and innovative grid technologies and digital solutions in transmission and distribution networks.</w:t>
            </w:r>
          </w:p>
        </w:tc>
        <w:tc>
          <w:tcPr>
            <w:tcW w:w="2693" w:type="dxa"/>
            <w:vAlign w:val="center"/>
          </w:tcPr>
          <w:p w:rsidR="00BB1D84" w:rsidRDefault="00BB1D84">
            <w:pPr>
              <w:rPr>
                <w:noProof/>
              </w:rPr>
            </w:pPr>
            <w:r>
              <w:rPr>
                <w:noProof/>
              </w:rPr>
              <w:t xml:space="preserve">ACER, </w:t>
            </w:r>
          </w:p>
          <w:p w:rsidR="00BB1D84" w:rsidRDefault="00BB1D84">
            <w:pPr>
              <w:rPr>
                <w:noProof/>
              </w:rPr>
            </w:pPr>
            <w:r>
              <w:rPr>
                <w:noProof/>
              </w:rPr>
              <w:t xml:space="preserve">The Commission, </w:t>
            </w:r>
          </w:p>
          <w:p w:rsidR="00BB1D84" w:rsidRDefault="00BB1D84">
            <w:pPr>
              <w:rPr>
                <w:noProof/>
              </w:rPr>
            </w:pPr>
            <w:r>
              <w:rPr>
                <w:noProof/>
              </w:rPr>
              <w:t xml:space="preserve">National regulatory authorities </w:t>
            </w:r>
          </w:p>
          <w:p w:rsidR="00BB1D84" w:rsidRDefault="00BB1D84">
            <w:pPr>
              <w:rPr>
                <w:noProof/>
              </w:rPr>
            </w:pPr>
            <w:r>
              <w:rPr>
                <w:noProof/>
              </w:rPr>
              <w:t>Transmission system operators and distribution system operators.</w:t>
            </w:r>
          </w:p>
          <w:p w:rsidR="00BB1D84" w:rsidRDefault="00BB1D84">
            <w:pPr>
              <w:rPr>
                <w:noProof/>
              </w:rPr>
            </w:pPr>
          </w:p>
        </w:tc>
        <w:tc>
          <w:tcPr>
            <w:tcW w:w="2665" w:type="dxa"/>
            <w:vAlign w:val="center"/>
          </w:tcPr>
          <w:p w:rsidR="00BB1D84" w:rsidRDefault="00BB1D84">
            <w:pPr>
              <w:rPr>
                <w:noProof/>
              </w:rPr>
            </w:pPr>
            <w:r>
              <w:rPr>
                <w:noProof/>
                <w:szCs w:val="24"/>
              </w:rPr>
              <w:t>M</w:t>
            </w:r>
            <w:r w:rsidRPr="008B5598">
              <w:rPr>
                <w:noProof/>
                <w:szCs w:val="24"/>
              </w:rPr>
              <w:t>onitoring, reporting, regulatory assessment and development of harmonised methodologies.</w:t>
            </w:r>
          </w:p>
        </w:tc>
        <w:tc>
          <w:tcPr>
            <w:tcW w:w="1843" w:type="dxa"/>
            <w:vAlign w:val="center"/>
          </w:tcPr>
          <w:p w:rsidR="00BB1D84" w:rsidRPr="008B5598" w:rsidRDefault="00BB1D84">
            <w:pPr>
              <w:rPr>
                <w:noProof/>
              </w:rPr>
            </w:pPr>
            <w:r w:rsidRPr="63FB34D8">
              <w:rPr>
                <w:b/>
                <w:bCs/>
                <w:noProof/>
              </w:rPr>
              <w:t>Data</w:t>
            </w:r>
            <w:r>
              <w:rPr>
                <w:noProof/>
              </w:rPr>
              <w:t>.</w:t>
            </w:r>
          </w:p>
          <w:p w:rsidR="00BB1D84" w:rsidRDefault="00BB1D84">
            <w:pPr>
              <w:rPr>
                <w:noProof/>
              </w:rPr>
            </w:pPr>
          </w:p>
        </w:tc>
      </w:tr>
      <w:tr w:rsidR="00BB1D84">
        <w:trPr>
          <w:trHeight w:val="300"/>
        </w:trPr>
        <w:tc>
          <w:tcPr>
            <w:tcW w:w="3435" w:type="dxa"/>
            <w:vAlign w:val="center"/>
          </w:tcPr>
          <w:p w:rsidR="00BB1D84" w:rsidRDefault="00BB1D84">
            <w:pPr>
              <w:rPr>
                <w:noProof/>
              </w:rPr>
            </w:pPr>
            <w:r w:rsidRPr="0004275F">
              <w:rPr>
                <w:noProof/>
              </w:rPr>
              <w:t>Requirement 2 (R2) – Article 18a(4): Management and exchange of grid data for smart grid operation</w:t>
            </w:r>
          </w:p>
        </w:tc>
        <w:tc>
          <w:tcPr>
            <w:tcW w:w="4073" w:type="dxa"/>
            <w:vAlign w:val="center"/>
          </w:tcPr>
          <w:p w:rsidR="00BB1D84" w:rsidRDefault="00BB1D84">
            <w:pPr>
              <w:rPr>
                <w:noProof/>
              </w:rPr>
            </w:pPr>
            <w:r w:rsidRPr="008B5598">
              <w:rPr>
                <w:noProof/>
                <w:szCs w:val="24"/>
              </w:rPr>
              <w:t xml:space="preserve">This requirement concerns the obligation for transmission system operators and distribution system operators to manage and exchange grid data in a harmonised manner so as to enable the development, deployment and effective use of </w:t>
            </w:r>
            <w:r w:rsidR="0044498A">
              <w:rPr>
                <w:noProof/>
                <w:szCs w:val="24"/>
              </w:rPr>
              <w:t>smart electricity grids</w:t>
            </w:r>
            <w:r w:rsidRPr="008B5598">
              <w:rPr>
                <w:noProof/>
                <w:szCs w:val="24"/>
              </w:rPr>
              <w:t xml:space="preserve"> and of innovative data-driven solutions supporting the monitoring, optimisation and coordination of network operation. It is digitally relevant because it governs the exchange and use of network, market and operational data and supports the digitalisation of system operation.</w:t>
            </w:r>
          </w:p>
        </w:tc>
        <w:tc>
          <w:tcPr>
            <w:tcW w:w="2693" w:type="dxa"/>
            <w:vAlign w:val="center"/>
          </w:tcPr>
          <w:p w:rsidR="00BB1D84" w:rsidRDefault="00BB1D84">
            <w:pPr>
              <w:rPr>
                <w:noProof/>
              </w:rPr>
            </w:pPr>
            <w:r>
              <w:rPr>
                <w:noProof/>
              </w:rPr>
              <w:t>Transmission system operators, distribution system operators and, indirectly, other relevant actors involved in system operation and flexibility integration.</w:t>
            </w:r>
          </w:p>
        </w:tc>
        <w:tc>
          <w:tcPr>
            <w:tcW w:w="2665" w:type="dxa"/>
            <w:vAlign w:val="center"/>
          </w:tcPr>
          <w:p w:rsidR="00BB1D84" w:rsidRDefault="00BB1D84">
            <w:pPr>
              <w:rPr>
                <w:noProof/>
              </w:rPr>
            </w:pPr>
            <w:r w:rsidRPr="008B5598">
              <w:rPr>
                <w:noProof/>
                <w:szCs w:val="24"/>
              </w:rPr>
              <w:t xml:space="preserve"> </w:t>
            </w:r>
            <w:r>
              <w:rPr>
                <w:noProof/>
              </w:rPr>
              <w:t>D</w:t>
            </w:r>
            <w:r w:rsidRPr="008B5598">
              <w:rPr>
                <w:noProof/>
                <w:szCs w:val="24"/>
              </w:rPr>
              <w:t>ata exchange, network operation, monitoring, optimisation and coordination of electricity system operation.</w:t>
            </w:r>
          </w:p>
        </w:tc>
        <w:tc>
          <w:tcPr>
            <w:tcW w:w="1843" w:type="dxa"/>
            <w:vAlign w:val="center"/>
          </w:tcPr>
          <w:p w:rsidR="00BB1D84" w:rsidRPr="003B4D7A" w:rsidRDefault="00BB1D84">
            <w:pPr>
              <w:rPr>
                <w:b/>
                <w:bCs/>
                <w:noProof/>
              </w:rPr>
            </w:pPr>
            <w:r w:rsidRPr="003B4D7A">
              <w:rPr>
                <w:b/>
                <w:bCs/>
                <w:noProof/>
              </w:rPr>
              <w:t>D</w:t>
            </w:r>
            <w:r w:rsidRPr="003B4D7A">
              <w:rPr>
                <w:b/>
                <w:bCs/>
                <w:noProof/>
                <w:szCs w:val="24"/>
              </w:rPr>
              <w:t xml:space="preserve">ata </w:t>
            </w:r>
          </w:p>
          <w:p w:rsidR="00BB1D84" w:rsidRPr="003B4D7A" w:rsidRDefault="00BB1D84">
            <w:pPr>
              <w:rPr>
                <w:b/>
                <w:bCs/>
                <w:noProof/>
              </w:rPr>
            </w:pPr>
            <w:r w:rsidRPr="003B4D7A">
              <w:rPr>
                <w:b/>
                <w:bCs/>
                <w:noProof/>
              </w:rPr>
              <w:t>P</w:t>
            </w:r>
            <w:r w:rsidRPr="003B4D7A">
              <w:rPr>
                <w:b/>
                <w:bCs/>
                <w:noProof/>
                <w:szCs w:val="24"/>
              </w:rPr>
              <w:t>rocess digitalisation and automation.</w:t>
            </w:r>
          </w:p>
        </w:tc>
      </w:tr>
      <w:tr w:rsidR="00BB1D84">
        <w:trPr>
          <w:trHeight w:val="300"/>
        </w:trPr>
        <w:tc>
          <w:tcPr>
            <w:tcW w:w="3435" w:type="dxa"/>
            <w:vAlign w:val="center"/>
          </w:tcPr>
          <w:p w:rsidR="00BB1D84" w:rsidRDefault="00BB1D84">
            <w:pPr>
              <w:rPr>
                <w:noProof/>
              </w:rPr>
            </w:pPr>
            <w:r w:rsidRPr="0004275F">
              <w:rPr>
                <w:noProof/>
              </w:rPr>
              <w:t>Requirement 3 (R3) – Article 18a(5) and Article 61.5b: Voluntary secure electricity grid data exchange framework for innovation</w:t>
            </w:r>
          </w:p>
        </w:tc>
        <w:tc>
          <w:tcPr>
            <w:tcW w:w="4073" w:type="dxa"/>
            <w:vAlign w:val="center"/>
          </w:tcPr>
          <w:p w:rsidR="00BB1D84" w:rsidRPr="001F7FC1" w:rsidRDefault="00BB1D84">
            <w:pPr>
              <w:rPr>
                <w:rFonts w:eastAsia="Calibri"/>
                <w:noProof/>
                <w:lang w:val="en-US"/>
              </w:rPr>
            </w:pPr>
            <w:r w:rsidRPr="008B5598">
              <w:rPr>
                <w:noProof/>
                <w:szCs w:val="24"/>
              </w:rPr>
              <w:t>This requirement concerns the voluntary establishment of a secure electricity grid data exchange framework, jointly facilitated by the ENTSO for Electricity and the EU DSO Entity, to support the development, testing, integration and deployment of innovative technologies for grid operation and optimisation, as well as the related empowerment for the Commission to adopt implementing acts setting out guidelines on lawful, secure and controlled data reuse for research and innovation public-interest purposes. It is digitally relevant because it concerns structured data exchange, common data models, formats, ontologies and interfaces, as well as digital arrangements for testing, benchmarking, validation, interoperability and lifecycle management of digital tools.</w:t>
            </w:r>
          </w:p>
        </w:tc>
        <w:tc>
          <w:tcPr>
            <w:tcW w:w="2693" w:type="dxa"/>
            <w:vAlign w:val="center"/>
          </w:tcPr>
          <w:p w:rsidR="00BB1D84" w:rsidRDefault="00BB1D84">
            <w:pPr>
              <w:rPr>
                <w:noProof/>
              </w:rPr>
            </w:pPr>
            <w:r>
              <w:rPr>
                <w:noProof/>
              </w:rPr>
              <w:t xml:space="preserve"> Transmission system operators, distribution system operators, the ENTSO for Electricity, the EU DSO Entity, the Commission, and relevant participating stakeholders such as research and technology organisations and industrial solutions providers.</w:t>
            </w:r>
          </w:p>
        </w:tc>
        <w:tc>
          <w:tcPr>
            <w:tcW w:w="2665" w:type="dxa"/>
            <w:vAlign w:val="center"/>
          </w:tcPr>
          <w:p w:rsidR="00BB1D84" w:rsidRDefault="00BB1D84">
            <w:pPr>
              <w:rPr>
                <w:noProof/>
              </w:rPr>
            </w:pPr>
            <w:r>
              <w:rPr>
                <w:noProof/>
                <w:szCs w:val="24"/>
              </w:rPr>
              <w:t>D</w:t>
            </w:r>
            <w:r w:rsidRPr="008B5598">
              <w:rPr>
                <w:noProof/>
                <w:szCs w:val="24"/>
              </w:rPr>
              <w:t>ata sharing, secure data access, testing and validation of digital tools, interoperability governance, and innovation support.</w:t>
            </w:r>
          </w:p>
        </w:tc>
        <w:tc>
          <w:tcPr>
            <w:tcW w:w="1843" w:type="dxa"/>
            <w:vAlign w:val="center"/>
          </w:tcPr>
          <w:p w:rsidR="00BB1D84" w:rsidRDefault="00BB1D84">
            <w:pPr>
              <w:rPr>
                <w:noProof/>
              </w:rPr>
            </w:pPr>
            <w:r w:rsidRPr="7BAFA9CE">
              <w:rPr>
                <w:b/>
                <w:bCs/>
                <w:noProof/>
              </w:rPr>
              <w:t>Data</w:t>
            </w:r>
            <w:r w:rsidRPr="008B5598">
              <w:rPr>
                <w:noProof/>
                <w:szCs w:val="24"/>
              </w:rPr>
              <w:t xml:space="preserve">, </w:t>
            </w:r>
            <w:r w:rsidRPr="008B5598">
              <w:rPr>
                <w:b/>
                <w:bCs/>
                <w:noProof/>
                <w:szCs w:val="24"/>
              </w:rPr>
              <w:t>digital solutions</w:t>
            </w:r>
            <w:r w:rsidRPr="008B5598">
              <w:rPr>
                <w:noProof/>
                <w:szCs w:val="24"/>
              </w:rPr>
              <w:t xml:space="preserve">, and </w:t>
            </w:r>
            <w:r w:rsidRPr="008B5598">
              <w:rPr>
                <w:b/>
                <w:bCs/>
                <w:noProof/>
                <w:szCs w:val="24"/>
              </w:rPr>
              <w:t>process digitalisation and automation</w:t>
            </w:r>
            <w:r w:rsidRPr="008B5598">
              <w:rPr>
                <w:noProof/>
                <w:szCs w:val="24"/>
              </w:rPr>
              <w:t>.</w:t>
            </w:r>
          </w:p>
        </w:tc>
      </w:tr>
    </w:tbl>
    <w:p w:rsidR="00BB1D84" w:rsidRPr="00902D52" w:rsidRDefault="00BB1D84" w:rsidP="00BB1D84">
      <w:pPr>
        <w:pStyle w:val="ManualHeading2"/>
        <w:rPr>
          <w:noProof/>
        </w:rPr>
      </w:pPr>
      <w:bookmarkStart w:id="185" w:name="_Toc167220303"/>
      <w:bookmarkStart w:id="186" w:name="_Toc167265073"/>
      <w:bookmarkStart w:id="187" w:name="_Toc234245531"/>
      <w:r>
        <w:rPr>
          <w:noProof/>
        </w:rPr>
        <w:t>4.2.</w:t>
      </w:r>
      <w:r>
        <w:rPr>
          <w:noProof/>
        </w:rPr>
        <w:tab/>
        <w:t>Data</w:t>
      </w:r>
      <w:bookmarkEnd w:id="185"/>
      <w:bookmarkEnd w:id="186"/>
      <w:bookmarkEnd w:id="187"/>
    </w:p>
    <w:p w:rsidR="00BB1D84" w:rsidRPr="00E2430C" w:rsidRDefault="00BB1D84" w:rsidP="00BB1D84">
      <w:pPr>
        <w:rPr>
          <w:i/>
          <w:noProof/>
          <w:lang w:val="en-US"/>
        </w:rPr>
      </w:pPr>
      <w:bookmarkStart w:id="188" w:name="_Hlk227769743"/>
      <w:r w:rsidRPr="37B12ED3">
        <w:rPr>
          <w:i/>
          <w:noProof/>
          <w:lang w:val="en-US"/>
        </w:rPr>
        <w:t>High-level description of the data in scope</w:t>
      </w:r>
    </w:p>
    <w:tbl>
      <w:tblPr>
        <w:tblStyle w:val="TableGrid"/>
        <w:tblW w:w="14250" w:type="dxa"/>
        <w:tblLook w:val="04A0" w:firstRow="1" w:lastRow="0" w:firstColumn="1" w:lastColumn="0" w:noHBand="0" w:noVBand="1"/>
      </w:tblPr>
      <w:tblGrid>
        <w:gridCol w:w="7366"/>
        <w:gridCol w:w="3402"/>
        <w:gridCol w:w="3482"/>
      </w:tblGrid>
      <w:tr w:rsidR="00BB1D84" w:rsidRPr="00F41D6E">
        <w:tc>
          <w:tcPr>
            <w:tcW w:w="7366" w:type="dxa"/>
          </w:tcPr>
          <w:p w:rsidR="00BB1D84" w:rsidRDefault="00BB1D84">
            <w:pPr>
              <w:jc w:val="left"/>
              <w:rPr>
                <w:b/>
                <w:noProof/>
              </w:rPr>
            </w:pPr>
            <w:r w:rsidRPr="46002A1E">
              <w:rPr>
                <w:b/>
                <w:noProof/>
              </w:rPr>
              <w:t xml:space="preserve">Type of data </w:t>
            </w:r>
          </w:p>
        </w:tc>
        <w:tc>
          <w:tcPr>
            <w:tcW w:w="3402" w:type="dxa"/>
          </w:tcPr>
          <w:p w:rsidR="00BB1D84" w:rsidRPr="00F41D6E" w:rsidRDefault="00BB1D84">
            <w:pPr>
              <w:jc w:val="left"/>
              <w:rPr>
                <w:b/>
                <w:noProof/>
              </w:rPr>
            </w:pPr>
            <w:r w:rsidRPr="46002A1E">
              <w:rPr>
                <w:b/>
                <w:noProof/>
              </w:rPr>
              <w:t>Reference to the requirement(s)</w:t>
            </w:r>
          </w:p>
        </w:tc>
        <w:tc>
          <w:tcPr>
            <w:tcW w:w="3482" w:type="dxa"/>
          </w:tcPr>
          <w:p w:rsidR="00BB1D84" w:rsidRPr="00C40D00" w:rsidRDefault="00BB1D84">
            <w:pPr>
              <w:jc w:val="left"/>
              <w:rPr>
                <w:b/>
                <w:noProof/>
              </w:rPr>
            </w:pPr>
            <w:r w:rsidRPr="46002A1E">
              <w:rPr>
                <w:b/>
                <w:noProof/>
              </w:rPr>
              <w:t xml:space="preserve">Standard and/or specification </w:t>
            </w:r>
          </w:p>
        </w:tc>
      </w:tr>
      <w:tr w:rsidR="00BB1D84" w:rsidRPr="00F41D6E" w:rsidTr="003B4D7A">
        <w:trPr>
          <w:trHeight w:val="2502"/>
        </w:trPr>
        <w:tc>
          <w:tcPr>
            <w:tcW w:w="7366" w:type="dxa"/>
          </w:tcPr>
          <w:p w:rsidR="00BB1D84" w:rsidRDefault="00BB1D84">
            <w:pPr>
              <w:rPr>
                <w:noProof/>
                <w:szCs w:val="24"/>
              </w:rPr>
            </w:pPr>
            <w:r w:rsidRPr="00543AA2">
              <w:rPr>
                <w:noProof/>
                <w:szCs w:val="24"/>
              </w:rPr>
              <w:t xml:space="preserve">The data concerned relate to the uptake of smart and innovative grid technologies and digital solutions in transmission and distribution networks, as well as to the efficient use of electricity infrastructure. These data are expected to build primarily on existing national reports under Article 59(l) of Directive (EU) 2019/944, complemented where necessary by additional data specified through ACER’s recommendation and, where adopted, through Commission implementing acts on smart grid indicators. </w:t>
            </w:r>
          </w:p>
          <w:p w:rsidR="00BB1D84" w:rsidRDefault="00BB1D84">
            <w:pPr>
              <w:rPr>
                <w:noProof/>
              </w:rPr>
            </w:pPr>
          </w:p>
        </w:tc>
        <w:tc>
          <w:tcPr>
            <w:tcW w:w="3402" w:type="dxa"/>
          </w:tcPr>
          <w:p w:rsidR="00BB1D84" w:rsidRPr="0004275F" w:rsidRDefault="00BB1D84">
            <w:pPr>
              <w:rPr>
                <w:noProof/>
                <w:szCs w:val="24"/>
              </w:rPr>
            </w:pPr>
            <w:r w:rsidRPr="0004275F">
              <w:rPr>
                <w:noProof/>
                <w:szCs w:val="24"/>
              </w:rPr>
              <w:t>Requirement 1 (smart grid indicators)</w:t>
            </w:r>
          </w:p>
        </w:tc>
        <w:tc>
          <w:tcPr>
            <w:tcW w:w="3482" w:type="dxa"/>
          </w:tcPr>
          <w:p w:rsidR="00BB1D84" w:rsidRPr="00F41D6E" w:rsidRDefault="00BB1D84">
            <w:pPr>
              <w:jc w:val="left"/>
              <w:rPr>
                <w:noProof/>
              </w:rPr>
            </w:pPr>
            <w:r w:rsidRPr="00543AA2">
              <w:rPr>
                <w:noProof/>
                <w:szCs w:val="24"/>
              </w:rPr>
              <w:t xml:space="preserve">At this stage, no specific technical standard is prescribed in the legal text; any further harmonisation of methodology, indicators or reporting formats would be addressed in </w:t>
            </w:r>
            <w:r>
              <w:rPr>
                <w:noProof/>
                <w:szCs w:val="24"/>
              </w:rPr>
              <w:t xml:space="preserve">the recommendation and potentially in an </w:t>
            </w:r>
            <w:r w:rsidRPr="00543AA2">
              <w:rPr>
                <w:noProof/>
                <w:szCs w:val="24"/>
              </w:rPr>
              <w:t>implementing act.</w:t>
            </w:r>
          </w:p>
        </w:tc>
      </w:tr>
      <w:tr w:rsidR="00BB1D84" w:rsidRPr="00F41D6E">
        <w:tc>
          <w:tcPr>
            <w:tcW w:w="7366" w:type="dxa"/>
          </w:tcPr>
          <w:p w:rsidR="00BB1D84" w:rsidRPr="003B4D7A" w:rsidRDefault="00BB1D84">
            <w:pPr>
              <w:rPr>
                <w:noProof/>
                <w:szCs w:val="24"/>
              </w:rPr>
            </w:pPr>
            <w:r w:rsidRPr="00543AA2">
              <w:rPr>
                <w:noProof/>
                <w:szCs w:val="24"/>
              </w:rPr>
              <w:t xml:space="preserve">The data concerned are electricity grid data necessary for the development, deployment and effective use of </w:t>
            </w:r>
            <w:r w:rsidR="0044498A">
              <w:rPr>
                <w:noProof/>
                <w:szCs w:val="24"/>
              </w:rPr>
              <w:t>smart electricity grids</w:t>
            </w:r>
            <w:r w:rsidRPr="00543AA2">
              <w:rPr>
                <w:noProof/>
                <w:szCs w:val="24"/>
              </w:rPr>
              <w:t xml:space="preserve"> and innovative data-driven solutions supporting network operation. Depending on the use case, these data may include network topology and asset data, operational measurements, load flows, voltage and congestion data, outage and maintenance data, dispatch and curtailment data, connection and capacity data, flexibility-related data, and operational forecasts and constraints relevant for transmission and distribution system operation. </w:t>
            </w:r>
          </w:p>
        </w:tc>
        <w:tc>
          <w:tcPr>
            <w:tcW w:w="3402" w:type="dxa"/>
          </w:tcPr>
          <w:p w:rsidR="00BB1D84" w:rsidRDefault="00BB1D84">
            <w:pPr>
              <w:jc w:val="left"/>
              <w:rPr>
                <w:noProof/>
              </w:rPr>
            </w:pPr>
            <w:r w:rsidRPr="0004275F">
              <w:rPr>
                <w:noProof/>
              </w:rPr>
              <w:t>Requirement 2 (grid data exchange for smart grid operation)</w:t>
            </w:r>
          </w:p>
        </w:tc>
        <w:tc>
          <w:tcPr>
            <w:tcW w:w="3482" w:type="dxa"/>
          </w:tcPr>
          <w:p w:rsidR="00BB1D84" w:rsidRDefault="00BB1D84">
            <w:pPr>
              <w:jc w:val="left"/>
              <w:rPr>
                <w:noProof/>
                <w:szCs w:val="24"/>
              </w:rPr>
            </w:pPr>
            <w:r w:rsidRPr="00543AA2">
              <w:rPr>
                <w:noProof/>
                <w:szCs w:val="24"/>
              </w:rPr>
              <w:t>The legal text does not itself prescribe detailed technical standards.</w:t>
            </w:r>
          </w:p>
          <w:p w:rsidR="00BB1D84" w:rsidRPr="008C5267" w:rsidRDefault="00BB1D84">
            <w:pPr>
              <w:jc w:val="left"/>
              <w:rPr>
                <w:noProof/>
              </w:rPr>
            </w:pPr>
            <w:r w:rsidRPr="00543AA2">
              <w:rPr>
                <w:noProof/>
                <w:szCs w:val="24"/>
              </w:rPr>
              <w:t>Existing sectoral specifications and models, including where relevant Common Grid Model Exchange Standard (CGMES) or other electricity-sector interoperability solutions, may be relevant at implementation stage.</w:t>
            </w:r>
          </w:p>
        </w:tc>
      </w:tr>
      <w:tr w:rsidR="00BB1D84" w:rsidRPr="00F41D6E">
        <w:tc>
          <w:tcPr>
            <w:tcW w:w="7366" w:type="dxa"/>
          </w:tcPr>
          <w:p w:rsidR="00BB1D84" w:rsidRDefault="00BB1D84">
            <w:pPr>
              <w:rPr>
                <w:rFonts w:eastAsia="Calibri"/>
                <w:noProof/>
              </w:rPr>
            </w:pPr>
            <w:r w:rsidRPr="00543AA2">
              <w:rPr>
                <w:noProof/>
                <w:szCs w:val="24"/>
              </w:rPr>
              <w:t xml:space="preserve">The data concerned are electricity grid data and related technical information used within a voluntary secure framework for research and innovation public-interest purposes supporting the operation and optimisation of the electricity system. Depending on the concrete use case, such data may include operational, planning, asset, flexibility and system-performance data contributed by participating transmission system operators and distribution system operators, as well as metadata, benchmark data and outputs generated through testing and validation activities. </w:t>
            </w:r>
          </w:p>
        </w:tc>
        <w:tc>
          <w:tcPr>
            <w:tcW w:w="3402" w:type="dxa"/>
          </w:tcPr>
          <w:p w:rsidR="00BB1D84" w:rsidRPr="00F41D6E" w:rsidRDefault="00BB1D84">
            <w:pPr>
              <w:jc w:val="left"/>
              <w:rPr>
                <w:noProof/>
              </w:rPr>
            </w:pPr>
            <w:r w:rsidRPr="0004275F">
              <w:rPr>
                <w:noProof/>
              </w:rPr>
              <w:t>Requirement 3 (secure electricity grid data exchange framework for innovation)</w:t>
            </w:r>
          </w:p>
        </w:tc>
        <w:tc>
          <w:tcPr>
            <w:tcW w:w="3482" w:type="dxa"/>
          </w:tcPr>
          <w:p w:rsidR="00BB1D84" w:rsidRPr="00F41D6E" w:rsidRDefault="00BB1D84">
            <w:pPr>
              <w:jc w:val="left"/>
              <w:rPr>
                <w:noProof/>
              </w:rPr>
            </w:pPr>
            <w:r w:rsidRPr="00543AA2">
              <w:rPr>
                <w:noProof/>
                <w:szCs w:val="24"/>
              </w:rPr>
              <w:t>The proposal provides that Commission implementing acts may specify or update the data models, formats, ontologies and interfaces relevant for the framework, together with conditions on transparency, accountability, cybersecurity and risk mitigation.</w:t>
            </w:r>
          </w:p>
        </w:tc>
      </w:tr>
    </w:tbl>
    <w:bookmarkEnd w:id="188"/>
    <w:p w:rsidR="00BB1D84" w:rsidRPr="00B837D5" w:rsidRDefault="00BB1D84" w:rsidP="00BB1D84">
      <w:pPr>
        <w:rPr>
          <w:b/>
          <w:noProof/>
          <w:lang w:val="en-US"/>
        </w:rPr>
      </w:pPr>
      <w:r w:rsidRPr="00B837D5">
        <w:rPr>
          <w:b/>
          <w:noProof/>
          <w:lang w:val="en-US"/>
        </w:rPr>
        <w:t>Alignment with the European Data Strategy</w:t>
      </w:r>
    </w:p>
    <w:p w:rsidR="00BB1D84" w:rsidRPr="002370F4" w:rsidRDefault="00BB1D84" w:rsidP="00BB1D84">
      <w:pPr>
        <w:rPr>
          <w:i/>
          <w:noProof/>
          <w:lang w:val="en-US"/>
        </w:rPr>
      </w:pPr>
      <w:r w:rsidRPr="00A36706">
        <w:rPr>
          <w:i/>
          <w:noProof/>
          <w:lang w:val="en-US"/>
        </w:rPr>
        <w:t>Explanation of how the requirement(s) are aligned with the European Data Strategy</w:t>
      </w:r>
    </w:p>
    <w:tbl>
      <w:tblPr>
        <w:tblStyle w:val="TableGrid"/>
        <w:tblW w:w="0" w:type="auto"/>
        <w:tblLook w:val="04A0" w:firstRow="1" w:lastRow="0" w:firstColumn="1" w:lastColumn="0" w:noHBand="0" w:noVBand="1"/>
      </w:tblPr>
      <w:tblGrid>
        <w:gridCol w:w="13994"/>
      </w:tblGrid>
      <w:tr w:rsidR="00BB1D84">
        <w:tc>
          <w:tcPr>
            <w:tcW w:w="13994" w:type="dxa"/>
          </w:tcPr>
          <w:p w:rsidR="00BB1D84" w:rsidRDefault="00BB1D84">
            <w:pPr>
              <w:rPr>
                <w:noProof/>
                <w:szCs w:val="24"/>
              </w:rPr>
            </w:pPr>
            <w:r>
              <w:rPr>
                <w:noProof/>
                <w:szCs w:val="24"/>
              </w:rPr>
              <w:t xml:space="preserve">The </w:t>
            </w:r>
            <w:r w:rsidRPr="0004275F">
              <w:rPr>
                <w:noProof/>
                <w:szCs w:val="24"/>
              </w:rPr>
              <w:t>Requirement 1 (smart grid indicators)</w:t>
            </w:r>
            <w:r>
              <w:rPr>
                <w:noProof/>
                <w:szCs w:val="24"/>
              </w:rPr>
              <w:t xml:space="preserve"> </w:t>
            </w:r>
            <w:r w:rsidRPr="00543AA2">
              <w:rPr>
                <w:noProof/>
                <w:szCs w:val="24"/>
              </w:rPr>
              <w:t>is aligned with the European Data Strategy insofar as it supports consistent and fair use of data for regulatory monitoring and policy development within the energy sector, while relying on existing sectoral reporting structures.</w:t>
            </w:r>
          </w:p>
          <w:p w:rsidR="00BB1D84" w:rsidRDefault="00BB1D84">
            <w:pPr>
              <w:rPr>
                <w:noProof/>
                <w:szCs w:val="24"/>
              </w:rPr>
            </w:pPr>
            <w:r>
              <w:rPr>
                <w:noProof/>
                <w:szCs w:val="24"/>
              </w:rPr>
              <w:t>The</w:t>
            </w:r>
            <w:r w:rsidRPr="00543AA2">
              <w:rPr>
                <w:noProof/>
                <w:szCs w:val="24"/>
              </w:rPr>
              <w:t xml:space="preserve"> </w:t>
            </w:r>
            <w:r w:rsidRPr="0004275F">
              <w:rPr>
                <w:noProof/>
                <w:szCs w:val="24"/>
              </w:rPr>
              <w:t>Requirement 2 (grid data exchange for smart grid operation)</w:t>
            </w:r>
            <w:r>
              <w:rPr>
                <w:noProof/>
                <w:szCs w:val="24"/>
              </w:rPr>
              <w:t xml:space="preserve"> </w:t>
            </w:r>
            <w:r w:rsidRPr="00543AA2">
              <w:rPr>
                <w:noProof/>
                <w:szCs w:val="24"/>
              </w:rPr>
              <w:t>is aligned with the European Data Strategy because it supports sector-specific data sharing and interoperability in a way that is consistent with Union rules on data protection, cybersecurity and fair access to data. It also complements the existing energy data framework without duplicating the Data Act, as it concerns regulated grid data and cooperation between regulated entities for system operation.</w:t>
            </w:r>
          </w:p>
          <w:p w:rsidR="00BB1D84" w:rsidRDefault="00BB1D84">
            <w:pPr>
              <w:rPr>
                <w:noProof/>
              </w:rPr>
            </w:pPr>
            <w:r>
              <w:rPr>
                <w:noProof/>
              </w:rPr>
              <w:t xml:space="preserve">The </w:t>
            </w:r>
            <w:r w:rsidRPr="0004275F">
              <w:rPr>
                <w:noProof/>
              </w:rPr>
              <w:t>Requirement 3 (secure electricity grid data exchange framework for innovation</w:t>
            </w:r>
            <w:r>
              <w:rPr>
                <w:noProof/>
              </w:rPr>
              <w:t xml:space="preserve">) is aligned with the European Data Strategy because it aims to enable lawful, secure and controlled data reuse within a sector-specific framework, while respecting EU rules on GDPR, the Data Act, the AI Act and other applicable legislation. </w:t>
            </w:r>
            <w:r w:rsidRPr="00DF13A1">
              <w:rPr>
                <w:noProof/>
              </w:rPr>
              <w:t xml:space="preserve">In practice, this framework </w:t>
            </w:r>
            <w:r>
              <w:rPr>
                <w:noProof/>
              </w:rPr>
              <w:t>would</w:t>
            </w:r>
            <w:r w:rsidRPr="00DF13A1">
              <w:rPr>
                <w:noProof/>
              </w:rPr>
              <w:t xml:space="preserve"> also underpin the development and deployment of AI-based solutions supporting the operation and optimisation of the electricity system. Any such development and deployment should take place in compliance with Regulation (EU) 2024/1689 (AI Act) and other applicable Union legislation, in particular as regards risk management, data governance, transparency, human oversight, robustness and cybersecurity.</w:t>
            </w:r>
          </w:p>
          <w:p w:rsidR="00BB1D84" w:rsidRPr="007515B7" w:rsidRDefault="00BB1D84">
            <w:pPr>
              <w:rPr>
                <w:noProof/>
              </w:rPr>
            </w:pPr>
          </w:p>
        </w:tc>
      </w:tr>
    </w:tbl>
    <w:p w:rsidR="00BB1D84" w:rsidRPr="007205A9" w:rsidRDefault="00BB1D84" w:rsidP="00BB1D84">
      <w:pPr>
        <w:rPr>
          <w:b/>
          <w:noProof/>
          <w:lang w:val="en-US"/>
        </w:rPr>
      </w:pPr>
      <w:r w:rsidRPr="37B12ED3">
        <w:rPr>
          <w:b/>
          <w:noProof/>
          <w:lang w:val="en-US"/>
        </w:rPr>
        <w:t>Alignment with the once-only principle</w:t>
      </w:r>
    </w:p>
    <w:p w:rsidR="00BB1D84" w:rsidRPr="0046599E" w:rsidRDefault="00BB1D84" w:rsidP="00BB1D84">
      <w:pPr>
        <w:rPr>
          <w:i/>
          <w:noProof/>
          <w:lang w:val="en-US"/>
        </w:rPr>
      </w:pPr>
      <w:r w:rsidRPr="005C3BC0">
        <w:rPr>
          <w:i/>
          <w:noProof/>
          <w:lang w:val="en-US"/>
        </w:rPr>
        <w:t>Explanation of how the once-only principle has been considered and how the possibility to reuse existing data has been explored</w:t>
      </w:r>
    </w:p>
    <w:tbl>
      <w:tblPr>
        <w:tblStyle w:val="TableGrid"/>
        <w:tblW w:w="0" w:type="auto"/>
        <w:tblLook w:val="04A0" w:firstRow="1" w:lastRow="0" w:firstColumn="1" w:lastColumn="0" w:noHBand="0" w:noVBand="1"/>
      </w:tblPr>
      <w:tblGrid>
        <w:gridCol w:w="13994"/>
      </w:tblGrid>
      <w:tr w:rsidR="00BB1D84">
        <w:tc>
          <w:tcPr>
            <w:tcW w:w="13994" w:type="dxa"/>
          </w:tcPr>
          <w:p w:rsidR="00BB1D84" w:rsidRDefault="00BB1D84">
            <w:pPr>
              <w:rPr>
                <w:noProof/>
                <w:szCs w:val="24"/>
              </w:rPr>
            </w:pPr>
            <w:r>
              <w:rPr>
                <w:noProof/>
              </w:rPr>
              <w:t xml:space="preserve">For Requirement 1 </w:t>
            </w:r>
            <w:r w:rsidRPr="0004275F">
              <w:rPr>
                <w:noProof/>
                <w:szCs w:val="24"/>
              </w:rPr>
              <w:t>(smart grid indicators)</w:t>
            </w:r>
            <w:r>
              <w:rPr>
                <w:noProof/>
                <w:szCs w:val="24"/>
              </w:rPr>
              <w:t xml:space="preserve"> t</w:t>
            </w:r>
            <w:r w:rsidRPr="00543AA2">
              <w:rPr>
                <w:noProof/>
                <w:szCs w:val="24"/>
              </w:rPr>
              <w:t>he proposal follows the once-only principle by building, to the extent possible, on already existing national reporting obligations rather than creating a wholly new reporting system.</w:t>
            </w:r>
          </w:p>
          <w:p w:rsidR="00BB1D84" w:rsidRDefault="00BB1D84">
            <w:pPr>
              <w:rPr>
                <w:noProof/>
                <w:szCs w:val="24"/>
              </w:rPr>
            </w:pPr>
            <w:r>
              <w:rPr>
                <w:noProof/>
                <w:szCs w:val="24"/>
              </w:rPr>
              <w:t xml:space="preserve">For </w:t>
            </w:r>
            <w:r w:rsidRPr="0004275F">
              <w:rPr>
                <w:noProof/>
                <w:szCs w:val="24"/>
              </w:rPr>
              <w:t>Requirement 2 (grid data exchange for smart grid operation)</w:t>
            </w:r>
            <w:r>
              <w:rPr>
                <w:noProof/>
                <w:szCs w:val="24"/>
              </w:rPr>
              <w:t xml:space="preserve"> t</w:t>
            </w:r>
            <w:r w:rsidRPr="00543AA2">
              <w:rPr>
                <w:noProof/>
                <w:szCs w:val="24"/>
              </w:rPr>
              <w:t>he once-only principle is respected in that the provision builds on data already generated and used by system operators in the normal course of system operation; it does not create a general obligation to re-collect the same information from new sources, but rather aims to improve the way existing data are exchanged and used.</w:t>
            </w:r>
          </w:p>
          <w:p w:rsidR="00BB1D84" w:rsidRPr="005C3BC0" w:rsidRDefault="00BB1D84">
            <w:pPr>
              <w:rPr>
                <w:noProof/>
              </w:rPr>
            </w:pPr>
            <w:r>
              <w:rPr>
                <w:noProof/>
              </w:rPr>
              <w:t xml:space="preserve">For </w:t>
            </w:r>
            <w:r w:rsidRPr="0004275F">
              <w:rPr>
                <w:noProof/>
              </w:rPr>
              <w:t>Requirement 3 (secure electricity grid data exchange framework for innovation</w:t>
            </w:r>
            <w:r>
              <w:rPr>
                <w:noProof/>
              </w:rPr>
              <w:t>) t</w:t>
            </w:r>
            <w:r w:rsidRPr="00543AA2">
              <w:rPr>
                <w:noProof/>
                <w:szCs w:val="24"/>
              </w:rPr>
              <w:t>he once-only principle should guide implementation of the framework, notably by reusing existing sectoral datasets, reporting channels and technical solutions where possible, and by avoiding unnecessary duplication of collection or transmission obligations.</w:t>
            </w:r>
          </w:p>
        </w:tc>
      </w:tr>
    </w:tbl>
    <w:p w:rsidR="00BB1D84" w:rsidRPr="0046599E" w:rsidRDefault="00BB1D84" w:rsidP="00BB1D84">
      <w:pPr>
        <w:rPr>
          <w:i/>
          <w:noProof/>
          <w:lang w:val="en-US"/>
        </w:rPr>
      </w:pPr>
      <w:r w:rsidRPr="00077846">
        <w:rPr>
          <w:i/>
          <w:noProof/>
          <w:lang w:val="en-US"/>
        </w:rPr>
        <w:t>Explanation of how newly created data is findable, accessible, interoperable and reusable, and meets high-quality standards</w:t>
      </w:r>
    </w:p>
    <w:tbl>
      <w:tblPr>
        <w:tblStyle w:val="TableGrid"/>
        <w:tblW w:w="0" w:type="auto"/>
        <w:tblLook w:val="04A0" w:firstRow="1" w:lastRow="0" w:firstColumn="1" w:lastColumn="0" w:noHBand="0" w:noVBand="1"/>
      </w:tblPr>
      <w:tblGrid>
        <w:gridCol w:w="13994"/>
      </w:tblGrid>
      <w:tr w:rsidR="00BB1D84">
        <w:tc>
          <w:tcPr>
            <w:tcW w:w="13994" w:type="dxa"/>
          </w:tcPr>
          <w:p w:rsidR="00BB1D84" w:rsidRPr="00077846" w:rsidRDefault="00BB1D84">
            <w:pPr>
              <w:rPr>
                <w:noProof/>
              </w:rPr>
            </w:pPr>
            <w:r>
              <w:rPr>
                <w:noProof/>
              </w:rPr>
              <w:t>N/A.</w:t>
            </w:r>
          </w:p>
        </w:tc>
      </w:tr>
    </w:tbl>
    <w:p w:rsidR="00BB1D84" w:rsidRDefault="00BB1D84" w:rsidP="00BB1D84">
      <w:pPr>
        <w:tabs>
          <w:tab w:val="left" w:pos="5370"/>
        </w:tabs>
        <w:rPr>
          <w:b/>
          <w:noProof/>
        </w:rPr>
      </w:pPr>
      <w:r w:rsidRPr="37B12ED3">
        <w:rPr>
          <w:b/>
          <w:noProof/>
        </w:rPr>
        <w:t>Data flows</w:t>
      </w:r>
    </w:p>
    <w:p w:rsidR="00BB1D84" w:rsidRPr="009B1204" w:rsidRDefault="00BB1D84" w:rsidP="00BB1D84">
      <w:pPr>
        <w:tabs>
          <w:tab w:val="left" w:pos="5370"/>
        </w:tabs>
        <w:rPr>
          <w:i/>
          <w:noProof/>
        </w:rPr>
      </w:pPr>
      <w:r w:rsidRPr="009B1204">
        <w:rPr>
          <w:i/>
          <w:noProof/>
        </w:rPr>
        <w:t>High-level description of the data flows</w:t>
      </w:r>
    </w:p>
    <w:tbl>
      <w:tblPr>
        <w:tblStyle w:val="TableGrid"/>
        <w:tblW w:w="14078" w:type="dxa"/>
        <w:tblLook w:val="04A0" w:firstRow="1" w:lastRow="0" w:firstColumn="1" w:lastColumn="0" w:noHBand="0" w:noVBand="1"/>
      </w:tblPr>
      <w:tblGrid>
        <w:gridCol w:w="3908"/>
        <w:gridCol w:w="1749"/>
        <w:gridCol w:w="1822"/>
        <w:gridCol w:w="2266"/>
        <w:gridCol w:w="2164"/>
        <w:gridCol w:w="2169"/>
      </w:tblGrid>
      <w:tr w:rsidR="00BB1D84" w:rsidRPr="00C40D00" w:rsidTr="003B4D7A">
        <w:trPr>
          <w:trHeight w:val="300"/>
        </w:trPr>
        <w:tc>
          <w:tcPr>
            <w:tcW w:w="3908" w:type="dxa"/>
          </w:tcPr>
          <w:p w:rsidR="00BB1D84" w:rsidRPr="00C40D00" w:rsidRDefault="00BB1D84">
            <w:pPr>
              <w:jc w:val="left"/>
              <w:rPr>
                <w:b/>
                <w:noProof/>
              </w:rPr>
            </w:pPr>
            <w:r w:rsidRPr="46002A1E">
              <w:rPr>
                <w:b/>
                <w:noProof/>
              </w:rPr>
              <w:t>Type of data</w:t>
            </w:r>
          </w:p>
        </w:tc>
        <w:tc>
          <w:tcPr>
            <w:tcW w:w="1749" w:type="dxa"/>
          </w:tcPr>
          <w:p w:rsidR="00BB1D84" w:rsidRPr="00C40D00" w:rsidRDefault="00BB1D84">
            <w:pPr>
              <w:jc w:val="left"/>
              <w:rPr>
                <w:b/>
                <w:noProof/>
              </w:rPr>
            </w:pPr>
            <w:r w:rsidRPr="46002A1E">
              <w:rPr>
                <w:b/>
                <w:noProof/>
              </w:rPr>
              <w:t>Reference(s) to the requirement(s)</w:t>
            </w:r>
          </w:p>
        </w:tc>
        <w:tc>
          <w:tcPr>
            <w:tcW w:w="1822" w:type="dxa"/>
          </w:tcPr>
          <w:p w:rsidR="00BB1D84" w:rsidRPr="00C40D00" w:rsidRDefault="00BB1D84">
            <w:pPr>
              <w:jc w:val="left"/>
              <w:rPr>
                <w:b/>
                <w:noProof/>
              </w:rPr>
            </w:pPr>
            <w:r>
              <w:rPr>
                <w:b/>
                <w:noProof/>
              </w:rPr>
              <w:t>Actors who provide the data</w:t>
            </w:r>
          </w:p>
        </w:tc>
        <w:tc>
          <w:tcPr>
            <w:tcW w:w="2266" w:type="dxa"/>
          </w:tcPr>
          <w:p w:rsidR="00BB1D84" w:rsidRPr="00C40D00" w:rsidRDefault="00BB1D84">
            <w:pPr>
              <w:jc w:val="left"/>
              <w:rPr>
                <w:b/>
                <w:noProof/>
              </w:rPr>
            </w:pPr>
            <w:r>
              <w:rPr>
                <w:b/>
                <w:noProof/>
              </w:rPr>
              <w:t>Actors who receive the data</w:t>
            </w:r>
          </w:p>
        </w:tc>
        <w:tc>
          <w:tcPr>
            <w:tcW w:w="2164" w:type="dxa"/>
          </w:tcPr>
          <w:p w:rsidR="00BB1D84" w:rsidRPr="00C40D00" w:rsidRDefault="00BB1D84">
            <w:pPr>
              <w:jc w:val="left"/>
              <w:rPr>
                <w:b/>
                <w:noProof/>
              </w:rPr>
            </w:pPr>
            <w:r w:rsidRPr="46002A1E">
              <w:rPr>
                <w:b/>
                <w:noProof/>
              </w:rPr>
              <w:t>Trigger for the data exchange</w:t>
            </w:r>
          </w:p>
        </w:tc>
        <w:tc>
          <w:tcPr>
            <w:tcW w:w="2169" w:type="dxa"/>
          </w:tcPr>
          <w:p w:rsidR="00BB1D84" w:rsidRPr="41D495C5" w:rsidRDefault="00BB1D84">
            <w:pPr>
              <w:jc w:val="left"/>
              <w:rPr>
                <w:b/>
                <w:noProof/>
              </w:rPr>
            </w:pPr>
            <w:r w:rsidRPr="46002A1E">
              <w:rPr>
                <w:b/>
                <w:noProof/>
              </w:rPr>
              <w:t>Frequency (if applicable)</w:t>
            </w:r>
          </w:p>
        </w:tc>
      </w:tr>
      <w:tr w:rsidR="00BB1D84" w:rsidRPr="00FF0413" w:rsidTr="003B4D7A">
        <w:trPr>
          <w:trHeight w:val="300"/>
        </w:trPr>
        <w:tc>
          <w:tcPr>
            <w:tcW w:w="3908" w:type="dxa"/>
          </w:tcPr>
          <w:p w:rsidR="00BB1D84" w:rsidRDefault="00BB1D84">
            <w:pPr>
              <w:rPr>
                <w:noProof/>
              </w:rPr>
            </w:pPr>
            <w:r>
              <w:rPr>
                <w:noProof/>
                <w:szCs w:val="24"/>
              </w:rPr>
              <w:t>D</w:t>
            </w:r>
            <w:r w:rsidRPr="00543AA2">
              <w:rPr>
                <w:noProof/>
                <w:szCs w:val="24"/>
              </w:rPr>
              <w:t>ata relate</w:t>
            </w:r>
            <w:r>
              <w:rPr>
                <w:noProof/>
                <w:szCs w:val="24"/>
              </w:rPr>
              <w:t>d</w:t>
            </w:r>
            <w:r w:rsidRPr="00543AA2">
              <w:rPr>
                <w:noProof/>
                <w:szCs w:val="24"/>
              </w:rPr>
              <w:t xml:space="preserve"> to the uptake of smart and innovative grid technologies and digital solutions</w:t>
            </w:r>
          </w:p>
          <w:p w:rsidR="00BB1D84" w:rsidRDefault="00BB1D84">
            <w:pPr>
              <w:rPr>
                <w:rFonts w:eastAsia="Calibri"/>
                <w:noProof/>
              </w:rPr>
            </w:pPr>
          </w:p>
        </w:tc>
        <w:tc>
          <w:tcPr>
            <w:tcW w:w="1749" w:type="dxa"/>
          </w:tcPr>
          <w:p w:rsidR="00BB1D84" w:rsidRDefault="00BB1D84">
            <w:pPr>
              <w:jc w:val="left"/>
              <w:rPr>
                <w:noProof/>
              </w:rPr>
            </w:pPr>
            <w:r>
              <w:rPr>
                <w:noProof/>
              </w:rPr>
              <w:t xml:space="preserve">Requirement 1 </w:t>
            </w:r>
            <w:r w:rsidRPr="0004275F">
              <w:rPr>
                <w:noProof/>
                <w:szCs w:val="24"/>
              </w:rPr>
              <w:t>(smart grid indicators)</w:t>
            </w:r>
          </w:p>
        </w:tc>
        <w:tc>
          <w:tcPr>
            <w:tcW w:w="1822" w:type="dxa"/>
          </w:tcPr>
          <w:p w:rsidR="00BB1D84" w:rsidRPr="00FF0413" w:rsidRDefault="00BB1D84">
            <w:pPr>
              <w:jc w:val="left"/>
              <w:rPr>
                <w:noProof/>
              </w:rPr>
            </w:pPr>
            <w:r>
              <w:rPr>
                <w:noProof/>
              </w:rPr>
              <w:t>National regulatory authorities, and where relevant system operators,</w:t>
            </w:r>
          </w:p>
        </w:tc>
        <w:tc>
          <w:tcPr>
            <w:tcW w:w="2266" w:type="dxa"/>
          </w:tcPr>
          <w:p w:rsidR="00BB1D84" w:rsidRPr="00FF0413" w:rsidRDefault="00BB1D84">
            <w:pPr>
              <w:jc w:val="left"/>
              <w:rPr>
                <w:noProof/>
              </w:rPr>
            </w:pPr>
            <w:r>
              <w:rPr>
                <w:noProof/>
              </w:rPr>
              <w:t>ACER for the preparation of its recommendation and progress reports, and from ACER to the Commission in the form of those outputs.</w:t>
            </w:r>
          </w:p>
        </w:tc>
        <w:tc>
          <w:tcPr>
            <w:tcW w:w="2164" w:type="dxa"/>
          </w:tcPr>
          <w:p w:rsidR="00BB1D84" w:rsidRPr="00FF0413" w:rsidRDefault="00BB1D84">
            <w:pPr>
              <w:jc w:val="left"/>
              <w:rPr>
                <w:noProof/>
              </w:rPr>
            </w:pPr>
            <w:r w:rsidRPr="00543AA2">
              <w:rPr>
                <w:noProof/>
                <w:szCs w:val="24"/>
              </w:rPr>
              <w:t>The initial trigger would be the entry into force of the Regulation</w:t>
            </w:r>
          </w:p>
        </w:tc>
        <w:tc>
          <w:tcPr>
            <w:tcW w:w="2169" w:type="dxa"/>
          </w:tcPr>
          <w:p w:rsidR="00BB1D84" w:rsidRDefault="00BB1D84">
            <w:pPr>
              <w:jc w:val="left"/>
              <w:rPr>
                <w:noProof/>
              </w:rPr>
            </w:pPr>
            <w:r w:rsidRPr="00543AA2">
              <w:rPr>
                <w:noProof/>
                <w:szCs w:val="24"/>
              </w:rPr>
              <w:t>followed by the preparation of ACER’s recommendation within one year, and thereafter by the regular three-year reporting cycle</w:t>
            </w:r>
          </w:p>
        </w:tc>
      </w:tr>
      <w:tr w:rsidR="00BB1D84" w:rsidRPr="00F41D6E" w:rsidTr="003B4D7A">
        <w:trPr>
          <w:trHeight w:val="300"/>
        </w:trPr>
        <w:tc>
          <w:tcPr>
            <w:tcW w:w="3908" w:type="dxa"/>
          </w:tcPr>
          <w:p w:rsidR="00BB1D84" w:rsidRPr="0004275F" w:rsidRDefault="00BB1D84">
            <w:pPr>
              <w:jc w:val="left"/>
              <w:rPr>
                <w:noProof/>
                <w:szCs w:val="24"/>
              </w:rPr>
            </w:pPr>
            <w:r>
              <w:rPr>
                <w:noProof/>
                <w:szCs w:val="24"/>
              </w:rPr>
              <w:t>D</w:t>
            </w:r>
            <w:r w:rsidRPr="00543AA2">
              <w:rPr>
                <w:noProof/>
                <w:szCs w:val="24"/>
              </w:rPr>
              <w:t xml:space="preserve">ata concerned are electricity grid data necessary for the development, deployment and effective use of </w:t>
            </w:r>
            <w:r w:rsidR="0044498A">
              <w:rPr>
                <w:noProof/>
                <w:szCs w:val="24"/>
              </w:rPr>
              <w:t>smart electricity grids</w:t>
            </w:r>
            <w:r w:rsidRPr="00543AA2">
              <w:rPr>
                <w:noProof/>
                <w:szCs w:val="24"/>
              </w:rPr>
              <w:t xml:space="preserve"> and innovative data-driven solutions supporting network operation</w:t>
            </w:r>
          </w:p>
        </w:tc>
        <w:tc>
          <w:tcPr>
            <w:tcW w:w="1749" w:type="dxa"/>
          </w:tcPr>
          <w:p w:rsidR="00BB1D84" w:rsidRDefault="00BB1D84">
            <w:pPr>
              <w:jc w:val="left"/>
              <w:rPr>
                <w:noProof/>
                <w:lang w:val="en-US"/>
              </w:rPr>
            </w:pPr>
            <w:r w:rsidRPr="0004275F">
              <w:rPr>
                <w:noProof/>
                <w:lang w:val="en-US"/>
              </w:rPr>
              <w:t>Requirement 2 (grid data exchange for smart grid operation)</w:t>
            </w:r>
          </w:p>
        </w:tc>
        <w:tc>
          <w:tcPr>
            <w:tcW w:w="1822" w:type="dxa"/>
          </w:tcPr>
          <w:p w:rsidR="00BB1D84" w:rsidRPr="00F41D6E" w:rsidRDefault="00BB1D84">
            <w:pPr>
              <w:jc w:val="left"/>
              <w:rPr>
                <w:noProof/>
              </w:rPr>
            </w:pPr>
            <w:r>
              <w:rPr>
                <w:noProof/>
              </w:rPr>
              <w:t>Grid operators</w:t>
            </w:r>
          </w:p>
        </w:tc>
        <w:tc>
          <w:tcPr>
            <w:tcW w:w="2266" w:type="dxa"/>
          </w:tcPr>
          <w:p w:rsidR="00BB1D84" w:rsidRPr="00F41D6E" w:rsidRDefault="00BB1D84">
            <w:pPr>
              <w:jc w:val="left"/>
              <w:rPr>
                <w:noProof/>
              </w:rPr>
            </w:pPr>
            <w:r>
              <w:rPr>
                <w:noProof/>
              </w:rPr>
              <w:t>Grid operators</w:t>
            </w:r>
          </w:p>
        </w:tc>
        <w:tc>
          <w:tcPr>
            <w:tcW w:w="2164" w:type="dxa"/>
          </w:tcPr>
          <w:p w:rsidR="00BB1D84" w:rsidRPr="00F41D6E" w:rsidRDefault="00BB1D84">
            <w:pPr>
              <w:jc w:val="left"/>
              <w:rPr>
                <w:noProof/>
              </w:rPr>
            </w:pPr>
            <w:r w:rsidRPr="00543AA2">
              <w:rPr>
                <w:noProof/>
                <w:szCs w:val="24"/>
              </w:rPr>
              <w:t xml:space="preserve">operational system needs </w:t>
            </w:r>
            <w:r>
              <w:rPr>
                <w:noProof/>
              </w:rPr>
              <w:t xml:space="preserve">to be </w:t>
            </w:r>
            <w:r w:rsidRPr="00543AA2">
              <w:rPr>
                <w:noProof/>
                <w:szCs w:val="24"/>
              </w:rPr>
              <w:t>linked to monitoring, optimisation and coordination of network operation, including the integration of demand response, renewable energy sources and non-fossil flexibility</w:t>
            </w:r>
          </w:p>
        </w:tc>
        <w:tc>
          <w:tcPr>
            <w:tcW w:w="2169" w:type="dxa"/>
          </w:tcPr>
          <w:p w:rsidR="00BB1D84" w:rsidRPr="00543AA2" w:rsidRDefault="00BB1D84">
            <w:pPr>
              <w:rPr>
                <w:noProof/>
                <w:szCs w:val="24"/>
              </w:rPr>
            </w:pPr>
            <w:r w:rsidRPr="00543AA2">
              <w:rPr>
                <w:noProof/>
                <w:szCs w:val="24"/>
              </w:rPr>
              <w:t>The frequency of such exchanges would depend on the operational use case and may range from near real-time exchanges to periodic sharing of static or planning-related data.</w:t>
            </w:r>
          </w:p>
          <w:p w:rsidR="00BB1D84" w:rsidRDefault="00BB1D84">
            <w:pPr>
              <w:jc w:val="left"/>
              <w:rPr>
                <w:noProof/>
              </w:rPr>
            </w:pPr>
          </w:p>
        </w:tc>
      </w:tr>
      <w:tr w:rsidR="00BB1D84" w:rsidTr="003B4D7A">
        <w:trPr>
          <w:trHeight w:val="300"/>
        </w:trPr>
        <w:tc>
          <w:tcPr>
            <w:tcW w:w="3908" w:type="dxa"/>
          </w:tcPr>
          <w:p w:rsidR="00BB1D84" w:rsidRDefault="00BB1D84">
            <w:pPr>
              <w:jc w:val="left"/>
              <w:rPr>
                <w:noProof/>
              </w:rPr>
            </w:pPr>
            <w:r>
              <w:rPr>
                <w:noProof/>
                <w:szCs w:val="24"/>
              </w:rPr>
              <w:t>E</w:t>
            </w:r>
            <w:r w:rsidRPr="00543AA2">
              <w:rPr>
                <w:noProof/>
                <w:szCs w:val="24"/>
              </w:rPr>
              <w:t>lectricity grid data and related technical information used within a voluntary secure framework for research and innovation public-interest purposes supporting the operation and optimisation of the electricity system</w:t>
            </w:r>
          </w:p>
        </w:tc>
        <w:tc>
          <w:tcPr>
            <w:tcW w:w="1749" w:type="dxa"/>
          </w:tcPr>
          <w:p w:rsidR="00BB1D84" w:rsidRDefault="00BB1D84">
            <w:pPr>
              <w:jc w:val="left"/>
              <w:rPr>
                <w:noProof/>
              </w:rPr>
            </w:pPr>
            <w:r w:rsidRPr="0004275F">
              <w:rPr>
                <w:noProof/>
              </w:rPr>
              <w:t>Requirement 3 (secure electricity grid data exchange framework for innovation</w:t>
            </w:r>
            <w:r>
              <w:rPr>
                <w:noProof/>
              </w:rPr>
              <w:t>)</w:t>
            </w:r>
          </w:p>
        </w:tc>
        <w:tc>
          <w:tcPr>
            <w:tcW w:w="4088" w:type="dxa"/>
            <w:gridSpan w:val="2"/>
          </w:tcPr>
          <w:p w:rsidR="00BB1D84" w:rsidRDefault="00BB1D84">
            <w:pPr>
              <w:jc w:val="left"/>
              <w:rPr>
                <w:noProof/>
              </w:rPr>
            </w:pPr>
            <w:r w:rsidRPr="00543AA2">
              <w:rPr>
                <w:noProof/>
                <w:szCs w:val="24"/>
              </w:rPr>
              <w:t>The main data flows would be from participating transmission system operators and distribution system operators into the coordinated arrangement, between participants within that framework under agreed governance rules, from the ENTSO for Electricity and the EU DSO Entity to the Commission when communicating the governance and technical arrangements, and from the Commission back to participants through its opinion and, where adopted, through implementing acts.</w:t>
            </w:r>
          </w:p>
        </w:tc>
        <w:tc>
          <w:tcPr>
            <w:tcW w:w="2164" w:type="dxa"/>
          </w:tcPr>
          <w:p w:rsidR="00BB1D84" w:rsidRDefault="00BB1D84">
            <w:pPr>
              <w:jc w:val="left"/>
              <w:rPr>
                <w:noProof/>
              </w:rPr>
            </w:pPr>
            <w:r w:rsidRPr="00543AA2">
              <w:rPr>
                <w:noProof/>
                <w:szCs w:val="24"/>
              </w:rPr>
              <w:t>The trigger would be the voluntary establishment of the coordinated arrangement by interested operators, followed by the communication of the relevant governance and technical elements to the Commission.</w:t>
            </w:r>
          </w:p>
        </w:tc>
        <w:tc>
          <w:tcPr>
            <w:tcW w:w="2169" w:type="dxa"/>
          </w:tcPr>
          <w:p w:rsidR="00BB1D84" w:rsidRDefault="00BB1D84">
            <w:pPr>
              <w:jc w:val="left"/>
              <w:rPr>
                <w:noProof/>
              </w:rPr>
            </w:pPr>
            <w:r w:rsidRPr="00543AA2">
              <w:rPr>
                <w:noProof/>
                <w:szCs w:val="24"/>
              </w:rPr>
              <w:t>Subsequent data exchanges would depend on participation in the framework and on the concrete research, testing, benchmarking and deployment activities carried out within it.</w:t>
            </w:r>
          </w:p>
        </w:tc>
      </w:tr>
    </w:tbl>
    <w:p w:rsidR="00491A83" w:rsidRDefault="00491A83" w:rsidP="00BB1D84">
      <w:pPr>
        <w:rPr>
          <w:noProof/>
        </w:rPr>
      </w:pPr>
    </w:p>
    <w:p w:rsidR="00491A83" w:rsidRDefault="00491A83">
      <w:pPr>
        <w:spacing w:before="0" w:after="200" w:line="276" w:lineRule="auto"/>
        <w:jc w:val="left"/>
        <w:rPr>
          <w:noProof/>
        </w:rPr>
      </w:pPr>
      <w:r>
        <w:rPr>
          <w:noProof/>
        </w:rPr>
        <w:br w:type="page"/>
      </w:r>
    </w:p>
    <w:p w:rsidR="00BB1D84" w:rsidRPr="009347D1" w:rsidRDefault="00BB1D84" w:rsidP="00BB1D84">
      <w:pPr>
        <w:pStyle w:val="ManualHeading2"/>
        <w:rPr>
          <w:noProof/>
        </w:rPr>
      </w:pPr>
      <w:bookmarkStart w:id="189" w:name="_Toc167220305"/>
      <w:bookmarkStart w:id="190" w:name="_Toc167265074"/>
      <w:bookmarkStart w:id="191" w:name="_Toc234245532"/>
      <w:r>
        <w:rPr>
          <w:noProof/>
        </w:rPr>
        <w:t>4.3.</w:t>
      </w:r>
      <w:r>
        <w:rPr>
          <w:noProof/>
        </w:rPr>
        <w:tab/>
        <w:t>Digital solutions</w:t>
      </w:r>
      <w:bookmarkEnd w:id="189"/>
      <w:bookmarkEnd w:id="190"/>
      <w:bookmarkEnd w:id="191"/>
    </w:p>
    <w:p w:rsidR="00BB1D84" w:rsidRDefault="00BB1D84" w:rsidP="00BB1D84">
      <w:pPr>
        <w:rPr>
          <w:i/>
          <w:noProof/>
          <w:lang w:val="en-US"/>
        </w:rPr>
      </w:pPr>
      <w:r w:rsidRPr="00EE10ED">
        <w:rPr>
          <w:i/>
          <w:noProof/>
          <w:lang w:val="en-US"/>
        </w:rPr>
        <w:t>High-level description of digital solutions</w:t>
      </w:r>
    </w:p>
    <w:tbl>
      <w:tblPr>
        <w:tblStyle w:val="TableGrid"/>
        <w:tblW w:w="13993" w:type="dxa"/>
        <w:tblLook w:val="04A0" w:firstRow="1" w:lastRow="0" w:firstColumn="1" w:lastColumn="0" w:noHBand="0" w:noVBand="1"/>
      </w:tblPr>
      <w:tblGrid>
        <w:gridCol w:w="1696"/>
        <w:gridCol w:w="1749"/>
        <w:gridCol w:w="2759"/>
        <w:gridCol w:w="2514"/>
        <w:gridCol w:w="1635"/>
        <w:gridCol w:w="2110"/>
        <w:gridCol w:w="1530"/>
      </w:tblGrid>
      <w:tr w:rsidR="00BB1D84" w:rsidRPr="00F41D6E" w:rsidTr="003B4D7A">
        <w:trPr>
          <w:trHeight w:val="300"/>
        </w:trPr>
        <w:tc>
          <w:tcPr>
            <w:tcW w:w="1696" w:type="dxa"/>
            <w:vAlign w:val="center"/>
          </w:tcPr>
          <w:p w:rsidR="00BB1D84" w:rsidRPr="00083536" w:rsidRDefault="00BB1D84">
            <w:pPr>
              <w:spacing w:before="0" w:after="0"/>
              <w:jc w:val="center"/>
              <w:rPr>
                <w:b/>
                <w:bCs/>
                <w:noProof/>
                <w:color w:val="000000"/>
                <w:szCs w:val="24"/>
                <w:lang w:val="fr-BE" w:eastAsia="fr-BE"/>
              </w:rPr>
            </w:pPr>
            <w:r w:rsidRPr="00083536">
              <w:rPr>
                <w:b/>
                <w:bCs/>
                <w:noProof/>
                <w:color w:val="000000"/>
                <w:szCs w:val="24"/>
              </w:rPr>
              <w:t>Digital solution</w:t>
            </w:r>
          </w:p>
        </w:tc>
        <w:tc>
          <w:tcPr>
            <w:tcW w:w="1749" w:type="dxa"/>
            <w:vAlign w:val="center"/>
          </w:tcPr>
          <w:p w:rsidR="00BB1D84" w:rsidRPr="00083536" w:rsidRDefault="00BB1D84">
            <w:pPr>
              <w:jc w:val="center"/>
              <w:rPr>
                <w:b/>
                <w:bCs/>
                <w:noProof/>
                <w:szCs w:val="24"/>
              </w:rPr>
            </w:pPr>
            <w:r w:rsidRPr="00083536">
              <w:rPr>
                <w:b/>
                <w:bCs/>
                <w:noProof/>
                <w:szCs w:val="24"/>
              </w:rPr>
              <w:t>Reference(s) to the requirement(s)</w:t>
            </w:r>
          </w:p>
        </w:tc>
        <w:tc>
          <w:tcPr>
            <w:tcW w:w="2759" w:type="dxa"/>
            <w:vAlign w:val="center"/>
          </w:tcPr>
          <w:p w:rsidR="00BB1D84" w:rsidRPr="00083536" w:rsidRDefault="00BB1D84">
            <w:pPr>
              <w:spacing w:before="0" w:after="0"/>
              <w:jc w:val="center"/>
              <w:rPr>
                <w:b/>
                <w:bCs/>
                <w:noProof/>
                <w:color w:val="000000"/>
                <w:szCs w:val="24"/>
                <w:lang w:val="fr-BE" w:eastAsia="fr-BE"/>
              </w:rPr>
            </w:pPr>
            <w:r w:rsidRPr="00083536">
              <w:rPr>
                <w:b/>
                <w:bCs/>
                <w:noProof/>
                <w:color w:val="000000"/>
                <w:szCs w:val="24"/>
              </w:rPr>
              <w:t>Main mandated functionalities</w:t>
            </w:r>
          </w:p>
        </w:tc>
        <w:tc>
          <w:tcPr>
            <w:tcW w:w="2514" w:type="dxa"/>
            <w:vAlign w:val="center"/>
          </w:tcPr>
          <w:p w:rsidR="00BB1D84" w:rsidRPr="00083536" w:rsidRDefault="00BB1D84">
            <w:pPr>
              <w:jc w:val="center"/>
              <w:rPr>
                <w:b/>
                <w:bCs/>
                <w:noProof/>
                <w:color w:val="000000" w:themeColor="text1"/>
                <w:szCs w:val="24"/>
              </w:rPr>
            </w:pPr>
            <w:r w:rsidRPr="00083536">
              <w:rPr>
                <w:b/>
                <w:bCs/>
                <w:noProof/>
                <w:color w:val="000000" w:themeColor="text1"/>
                <w:szCs w:val="24"/>
              </w:rPr>
              <w:t>Responsible body</w:t>
            </w:r>
          </w:p>
        </w:tc>
        <w:tc>
          <w:tcPr>
            <w:tcW w:w="1635" w:type="dxa"/>
            <w:vAlign w:val="center"/>
          </w:tcPr>
          <w:p w:rsidR="00BB1D84" w:rsidRPr="00083536" w:rsidRDefault="00BB1D84">
            <w:pPr>
              <w:spacing w:before="0" w:after="0"/>
              <w:jc w:val="center"/>
              <w:rPr>
                <w:b/>
                <w:bCs/>
                <w:noProof/>
                <w:color w:val="000000"/>
                <w:szCs w:val="24"/>
              </w:rPr>
            </w:pPr>
            <w:r w:rsidRPr="00083536">
              <w:rPr>
                <w:b/>
                <w:bCs/>
                <w:noProof/>
                <w:color w:val="000000"/>
                <w:szCs w:val="24"/>
              </w:rPr>
              <w:t>How is accessibility catered for?</w:t>
            </w:r>
          </w:p>
        </w:tc>
        <w:tc>
          <w:tcPr>
            <w:tcW w:w="2110" w:type="dxa"/>
            <w:vAlign w:val="center"/>
          </w:tcPr>
          <w:p w:rsidR="00BB1D84" w:rsidRPr="00083536" w:rsidRDefault="00BB1D84">
            <w:pPr>
              <w:spacing w:before="0" w:after="0"/>
              <w:jc w:val="center"/>
              <w:rPr>
                <w:b/>
                <w:bCs/>
                <w:noProof/>
                <w:color w:val="000000"/>
                <w:szCs w:val="24"/>
              </w:rPr>
            </w:pPr>
            <w:r w:rsidRPr="00083536">
              <w:rPr>
                <w:b/>
                <w:bCs/>
                <w:noProof/>
                <w:color w:val="000000"/>
                <w:szCs w:val="24"/>
              </w:rPr>
              <w:t>How is reusability considered?</w:t>
            </w:r>
          </w:p>
        </w:tc>
        <w:tc>
          <w:tcPr>
            <w:tcW w:w="1530" w:type="dxa"/>
            <w:vAlign w:val="center"/>
          </w:tcPr>
          <w:p w:rsidR="00BB1D84" w:rsidRPr="00083536" w:rsidRDefault="00BB1D84">
            <w:pPr>
              <w:spacing w:before="0" w:after="0"/>
              <w:jc w:val="center"/>
              <w:rPr>
                <w:b/>
                <w:bCs/>
                <w:noProof/>
                <w:color w:val="000000"/>
                <w:szCs w:val="24"/>
              </w:rPr>
            </w:pPr>
            <w:r w:rsidRPr="00083536">
              <w:rPr>
                <w:b/>
                <w:bCs/>
                <w:noProof/>
                <w:color w:val="000000"/>
                <w:szCs w:val="24"/>
              </w:rPr>
              <w:t>Use of AI technologies (if applicable)</w:t>
            </w:r>
          </w:p>
        </w:tc>
      </w:tr>
      <w:tr w:rsidR="00BB1D84" w:rsidRPr="00F41D6E" w:rsidTr="003B4D7A">
        <w:trPr>
          <w:trHeight w:val="300"/>
        </w:trPr>
        <w:tc>
          <w:tcPr>
            <w:tcW w:w="1696" w:type="dxa"/>
          </w:tcPr>
          <w:p w:rsidR="00BB1D84" w:rsidRDefault="00BB1D84">
            <w:pPr>
              <w:jc w:val="left"/>
              <w:rPr>
                <w:noProof/>
              </w:rPr>
            </w:pPr>
            <w:r>
              <w:rPr>
                <w:noProof/>
              </w:rPr>
              <w:t>Digital solution #1</w:t>
            </w:r>
          </w:p>
          <w:p w:rsidR="00BB1D84" w:rsidRDefault="00BB1D84">
            <w:pPr>
              <w:jc w:val="left"/>
              <w:rPr>
                <w:noProof/>
              </w:rPr>
            </w:pPr>
            <w:r w:rsidRPr="00E73205">
              <w:rPr>
                <w:noProof/>
              </w:rPr>
              <w:t>Existing reporting, monitoring and analytical systems for smart grid indicators</w:t>
            </w:r>
          </w:p>
        </w:tc>
        <w:tc>
          <w:tcPr>
            <w:tcW w:w="1749" w:type="dxa"/>
          </w:tcPr>
          <w:p w:rsidR="00BB1D84" w:rsidRPr="00F41D6E" w:rsidRDefault="00BB1D84">
            <w:pPr>
              <w:jc w:val="left"/>
              <w:rPr>
                <w:noProof/>
              </w:rPr>
            </w:pPr>
            <w:r>
              <w:rPr>
                <w:noProof/>
              </w:rPr>
              <w:t>Requirement 1</w:t>
            </w:r>
          </w:p>
        </w:tc>
        <w:tc>
          <w:tcPr>
            <w:tcW w:w="2759" w:type="dxa"/>
          </w:tcPr>
          <w:p w:rsidR="00BB1D84" w:rsidRPr="00F41D6E" w:rsidRDefault="00BB1D84">
            <w:pPr>
              <w:jc w:val="left"/>
              <w:rPr>
                <w:noProof/>
              </w:rPr>
            </w:pPr>
            <w:r>
              <w:rPr>
                <w:noProof/>
              </w:rPr>
              <w:t>The proposal does not create a standalone new Union digital platform. The relevant digital solutions are the existing reporting, monitoring and analytical systems used by ACER and national regulatory authorities to collect, process and assess information on network performance and on the uptake of smart and digital grid solutions. Depending on future implementing acts, those existing systems may need to be updated to support a more harmonised indicator methodology, common reporting structures and comparable analytical outputs.</w:t>
            </w:r>
          </w:p>
        </w:tc>
        <w:tc>
          <w:tcPr>
            <w:tcW w:w="2514" w:type="dxa"/>
          </w:tcPr>
          <w:p w:rsidR="00BB1D84" w:rsidRDefault="00BB1D84">
            <w:pPr>
              <w:jc w:val="left"/>
              <w:rPr>
                <w:noProof/>
              </w:rPr>
            </w:pPr>
            <w:r>
              <w:rPr>
                <w:noProof/>
              </w:rPr>
              <w:t>ACER is responsible for the Union-level recommendation and progress report. National regulatory authorities are responsible for national monitoring and reporting.</w:t>
            </w:r>
          </w:p>
        </w:tc>
        <w:tc>
          <w:tcPr>
            <w:tcW w:w="3745" w:type="dxa"/>
            <w:gridSpan w:val="2"/>
          </w:tcPr>
          <w:p w:rsidR="00BB1D84" w:rsidRPr="00F41D6E" w:rsidRDefault="00BB1D84">
            <w:pPr>
              <w:jc w:val="left"/>
              <w:rPr>
                <w:noProof/>
              </w:rPr>
            </w:pPr>
            <w:r>
              <w:rPr>
                <w:noProof/>
              </w:rPr>
              <w:t>No specific accessibility requirements are set, as these are primarily regulatory and expert-facing systems rather than public-facing digital services. Outputs such as ACER reports should nevertheless remain publicly accessible in line with existing transparency practices. Reusability is ensured by building on existing regulatory reporting and analytical tools rather than creating a new solution from scratch.</w:t>
            </w:r>
          </w:p>
        </w:tc>
        <w:tc>
          <w:tcPr>
            <w:tcW w:w="1530" w:type="dxa"/>
          </w:tcPr>
          <w:p w:rsidR="00BB1D84" w:rsidRPr="00F41D6E" w:rsidRDefault="00BB1D84">
            <w:pPr>
              <w:jc w:val="left"/>
              <w:rPr>
                <w:noProof/>
              </w:rPr>
            </w:pPr>
            <w:r>
              <w:rPr>
                <w:noProof/>
              </w:rPr>
              <w:t>At present, the proposal does not require the use of AI for this digital solution.</w:t>
            </w:r>
          </w:p>
        </w:tc>
      </w:tr>
      <w:tr w:rsidR="00BB1D84" w:rsidRPr="00F41D6E" w:rsidTr="003B4D7A">
        <w:trPr>
          <w:trHeight w:val="300"/>
        </w:trPr>
        <w:tc>
          <w:tcPr>
            <w:tcW w:w="1696" w:type="dxa"/>
          </w:tcPr>
          <w:p w:rsidR="00BB1D84" w:rsidRDefault="00BB1D84">
            <w:pPr>
              <w:jc w:val="left"/>
              <w:rPr>
                <w:rFonts w:eastAsia="Calibri"/>
                <w:noProof/>
                <w:lang w:val="en-US"/>
              </w:rPr>
            </w:pPr>
            <w:r>
              <w:rPr>
                <w:rFonts w:eastAsia="Calibri"/>
                <w:noProof/>
                <w:lang w:val="en-US"/>
              </w:rPr>
              <w:t>Digital solution #2</w:t>
            </w:r>
          </w:p>
          <w:p w:rsidR="00BB1D84" w:rsidRDefault="00BB1D84">
            <w:pPr>
              <w:jc w:val="left"/>
              <w:rPr>
                <w:rFonts w:eastAsia="Calibri"/>
                <w:noProof/>
                <w:lang w:val="en-US"/>
              </w:rPr>
            </w:pPr>
            <w:r>
              <w:rPr>
                <w:noProof/>
              </w:rPr>
              <w:t>Grid data exchange interfaces, systems and interoperability components for smart grid operation</w:t>
            </w:r>
          </w:p>
        </w:tc>
        <w:tc>
          <w:tcPr>
            <w:tcW w:w="1749" w:type="dxa"/>
          </w:tcPr>
          <w:p w:rsidR="00BB1D84" w:rsidRDefault="00BB1D84">
            <w:pPr>
              <w:jc w:val="left"/>
              <w:rPr>
                <w:noProof/>
              </w:rPr>
            </w:pPr>
            <w:r>
              <w:rPr>
                <w:noProof/>
              </w:rPr>
              <w:t>Requirement 2</w:t>
            </w:r>
          </w:p>
        </w:tc>
        <w:tc>
          <w:tcPr>
            <w:tcW w:w="2759" w:type="dxa"/>
          </w:tcPr>
          <w:p w:rsidR="00BB1D84" w:rsidRPr="008C5267" w:rsidRDefault="00BB1D84">
            <w:pPr>
              <w:jc w:val="left"/>
              <w:rPr>
                <w:noProof/>
              </w:rPr>
            </w:pPr>
            <w:r>
              <w:rPr>
                <w:noProof/>
              </w:rPr>
              <w:t>The relevant digital solutions are the interfaces, systems and interoperability components used by transmission system operators and distribution system operators to exchange and process grid data in a harmonised manner. These may include machine-to-machine interfaces, data exchange gateways, shared semantic models, data management systems, and other digital tools supporting monitoring, optimisation and coordination of network operation.</w:t>
            </w:r>
          </w:p>
        </w:tc>
        <w:tc>
          <w:tcPr>
            <w:tcW w:w="2514" w:type="dxa"/>
          </w:tcPr>
          <w:p w:rsidR="00BB1D84" w:rsidRDefault="00BB1D84">
            <w:pPr>
              <w:jc w:val="left"/>
              <w:rPr>
                <w:noProof/>
              </w:rPr>
            </w:pPr>
            <w:r>
              <w:rPr>
                <w:noProof/>
              </w:rPr>
              <w:t>Transmission system operators and distribution system operators, acting within their existing operational responsibilities.</w:t>
            </w:r>
          </w:p>
        </w:tc>
        <w:tc>
          <w:tcPr>
            <w:tcW w:w="3745" w:type="dxa"/>
            <w:gridSpan w:val="2"/>
          </w:tcPr>
          <w:p w:rsidR="00BB1D84" w:rsidRPr="008C5267" w:rsidRDefault="00BB1D84">
            <w:pPr>
              <w:jc w:val="left"/>
              <w:rPr>
                <w:noProof/>
              </w:rPr>
            </w:pPr>
            <w:r>
              <w:rPr>
                <w:noProof/>
              </w:rPr>
              <w:t>The proposal does not establish a citizen-facing digital service and therefore does not raise specific accessibility issues for the general public. The digital solutions are intended to support interoperability and reuse of data and should, where possible, build on existing sectoral solutions and standards rather than require entirely new architectures.</w:t>
            </w:r>
          </w:p>
        </w:tc>
        <w:tc>
          <w:tcPr>
            <w:tcW w:w="1530" w:type="dxa"/>
          </w:tcPr>
          <w:p w:rsidR="00BB1D84" w:rsidRPr="008C5267" w:rsidRDefault="00BB1D84">
            <w:pPr>
              <w:jc w:val="left"/>
              <w:rPr>
                <w:noProof/>
              </w:rPr>
            </w:pPr>
            <w:r>
              <w:rPr>
                <w:noProof/>
              </w:rPr>
              <w:t>The text envisages the development and operation of innovative data-driven solutions, which may include AI-enabled tools for forecasting, optimisation or system observability.</w:t>
            </w:r>
          </w:p>
        </w:tc>
      </w:tr>
      <w:tr w:rsidR="00BB1D84" w:rsidRPr="00F41D6E" w:rsidTr="003B4D7A">
        <w:trPr>
          <w:trHeight w:val="300"/>
        </w:trPr>
        <w:tc>
          <w:tcPr>
            <w:tcW w:w="1696" w:type="dxa"/>
          </w:tcPr>
          <w:p w:rsidR="00BB1D84" w:rsidRDefault="00BB1D84">
            <w:pPr>
              <w:jc w:val="left"/>
              <w:rPr>
                <w:rFonts w:eastAsia="Calibri"/>
                <w:noProof/>
                <w:lang w:val="en-US"/>
              </w:rPr>
            </w:pPr>
            <w:r>
              <w:rPr>
                <w:rFonts w:eastAsia="Calibri"/>
                <w:noProof/>
                <w:lang w:val="en-US"/>
              </w:rPr>
              <w:t>Digital solution #3</w:t>
            </w:r>
          </w:p>
          <w:p w:rsidR="00BB1D84" w:rsidRDefault="00BB1D84">
            <w:pPr>
              <w:jc w:val="left"/>
              <w:rPr>
                <w:noProof/>
              </w:rPr>
            </w:pPr>
            <w:r w:rsidRPr="00116A3E">
              <w:rPr>
                <w:noProof/>
              </w:rPr>
              <w:t>Secure electricity grid data exchange framework for innovation</w:t>
            </w:r>
          </w:p>
        </w:tc>
        <w:tc>
          <w:tcPr>
            <w:tcW w:w="1749" w:type="dxa"/>
          </w:tcPr>
          <w:p w:rsidR="00BB1D84" w:rsidRPr="00F41D6E" w:rsidRDefault="00BB1D84">
            <w:pPr>
              <w:jc w:val="left"/>
              <w:rPr>
                <w:noProof/>
              </w:rPr>
            </w:pPr>
            <w:r>
              <w:rPr>
                <w:noProof/>
              </w:rPr>
              <w:t>Requirement 3</w:t>
            </w:r>
          </w:p>
        </w:tc>
        <w:tc>
          <w:tcPr>
            <w:tcW w:w="2759" w:type="dxa"/>
          </w:tcPr>
          <w:p w:rsidR="00BB1D84" w:rsidRPr="00F41D6E" w:rsidRDefault="00BB1D84">
            <w:pPr>
              <w:jc w:val="left"/>
              <w:rPr>
                <w:noProof/>
              </w:rPr>
            </w:pPr>
            <w:r>
              <w:rPr>
                <w:noProof/>
              </w:rPr>
              <w:t>The relevant digital solution is the secure electricity grid data exchange framework established on a voluntary basis through a coordinated arrangement jointly facilitated by the ENTSO for Electricity and the EU DSO Entity. This framework may rely on digital platforms, secure processing environments, shared testing and benchmarking environments, validation tools, and other digital infrastructures necessary to support the development, testing, integration and deployment of innovative technologies for grid operation and optimisation.</w:t>
            </w:r>
          </w:p>
        </w:tc>
        <w:tc>
          <w:tcPr>
            <w:tcW w:w="2514" w:type="dxa"/>
          </w:tcPr>
          <w:p w:rsidR="00BB1D84" w:rsidRDefault="00BB1D84">
            <w:pPr>
              <w:jc w:val="left"/>
              <w:rPr>
                <w:noProof/>
              </w:rPr>
            </w:pPr>
            <w:r>
              <w:rPr>
                <w:noProof/>
              </w:rPr>
              <w:t>The participating transmission system operators and distribution system operators are primarily responsible, with the ENTSO for Electricity and the EU DSO Entity jointly facilitating the coordinated arrangement. The Commission exercises oversight through its opinion on the communicated governance and technical arrangements and through possible implementing acts under Article 61.5b.</w:t>
            </w:r>
          </w:p>
        </w:tc>
        <w:tc>
          <w:tcPr>
            <w:tcW w:w="3745" w:type="dxa"/>
            <w:gridSpan w:val="2"/>
          </w:tcPr>
          <w:p w:rsidR="00BB1D84" w:rsidRPr="00F41D6E" w:rsidRDefault="00BB1D84">
            <w:pPr>
              <w:jc w:val="left"/>
              <w:rPr>
                <w:noProof/>
              </w:rPr>
            </w:pPr>
            <w:r>
              <w:rPr>
                <w:noProof/>
              </w:rPr>
              <w:t>The proposal does not prescribe a specific technological architecture, which preserves flexibility to build on existing or pilot infrastructures. Reusability is a central feature, since the framework is intended to enable developed innovative solutions to be used by other European transmission and distribution system operators requesting access via the coordinated arrangement. No specific accessibility requirements arise, as this is not a public-facing service.</w:t>
            </w:r>
          </w:p>
        </w:tc>
        <w:tc>
          <w:tcPr>
            <w:tcW w:w="1530" w:type="dxa"/>
          </w:tcPr>
          <w:p w:rsidR="00BB1D84" w:rsidRPr="00F41D6E" w:rsidRDefault="00BB1D84">
            <w:pPr>
              <w:jc w:val="left"/>
              <w:rPr>
                <w:noProof/>
              </w:rPr>
            </w:pPr>
            <w:r>
              <w:rPr>
                <w:noProof/>
              </w:rPr>
              <w:t>The framework is expressly designed to support innovative technologies and may include AI-based tools, including for modelling, testing, optimisation or validation.</w:t>
            </w:r>
          </w:p>
        </w:tc>
      </w:tr>
    </w:tbl>
    <w:p w:rsidR="00491A83" w:rsidRDefault="00BB1D84" w:rsidP="00BB1D84">
      <w:pPr>
        <w:rPr>
          <w:i/>
          <w:noProof/>
          <w:lang w:val="en-US"/>
        </w:rPr>
      </w:pPr>
      <w:r w:rsidRPr="00F77D8C">
        <w:rPr>
          <w:i/>
          <w:noProof/>
          <w:lang w:val="en-US"/>
        </w:rPr>
        <w:t>For each digital solution, explanation of how the digital solution complies with applicable digital policies and legislative enactments</w:t>
      </w:r>
    </w:p>
    <w:p w:rsidR="00491A83" w:rsidRDefault="00491A83">
      <w:pPr>
        <w:spacing w:before="0" w:after="200" w:line="276" w:lineRule="auto"/>
        <w:jc w:val="left"/>
        <w:rPr>
          <w:i/>
          <w:noProof/>
          <w:lang w:val="en-US"/>
        </w:rPr>
      </w:pPr>
      <w:r>
        <w:rPr>
          <w:i/>
          <w:noProof/>
          <w:lang w:val="en-US"/>
        </w:rPr>
        <w:br w:type="page"/>
      </w:r>
    </w:p>
    <w:p w:rsidR="00BB1D84" w:rsidRPr="00B02F5B" w:rsidRDefault="00BB1D84" w:rsidP="00BB1D84">
      <w:pPr>
        <w:rPr>
          <w:b/>
          <w:noProof/>
          <w:u w:val="single"/>
          <w:lang w:val="en-US"/>
        </w:rPr>
      </w:pPr>
      <w:r w:rsidRPr="00B02F5B">
        <w:rPr>
          <w:b/>
          <w:noProof/>
          <w:u w:val="single"/>
          <w:lang w:val="en-US"/>
        </w:rPr>
        <w:t>Digital solution #1</w:t>
      </w:r>
    </w:p>
    <w:tbl>
      <w:tblPr>
        <w:tblStyle w:val="TableGrid"/>
        <w:tblW w:w="14077" w:type="dxa"/>
        <w:tblLook w:val="04A0" w:firstRow="1" w:lastRow="0" w:firstColumn="1" w:lastColumn="0" w:noHBand="0" w:noVBand="1"/>
      </w:tblPr>
      <w:tblGrid>
        <w:gridCol w:w="5788"/>
        <w:gridCol w:w="8289"/>
      </w:tblGrid>
      <w:tr w:rsidR="00BB1D84" w:rsidRPr="00C40D00">
        <w:tc>
          <w:tcPr>
            <w:tcW w:w="1560" w:type="dxa"/>
          </w:tcPr>
          <w:p w:rsidR="00BB1D84" w:rsidRPr="00C40D00" w:rsidRDefault="00BB1D84">
            <w:pPr>
              <w:jc w:val="left"/>
              <w:rPr>
                <w:b/>
                <w:noProof/>
              </w:rPr>
            </w:pPr>
            <w:r w:rsidRPr="6EED4E03">
              <w:rPr>
                <w:b/>
                <w:noProof/>
              </w:rPr>
              <w:t xml:space="preserve">Digital </w:t>
            </w:r>
            <w:r>
              <w:rPr>
                <w:b/>
                <w:noProof/>
              </w:rPr>
              <w:t xml:space="preserve">and/or sectorial </w:t>
            </w:r>
            <w:r w:rsidRPr="6EED4E03">
              <w:rPr>
                <w:b/>
                <w:noProof/>
              </w:rPr>
              <w:t xml:space="preserve">policy </w:t>
            </w:r>
            <w:r>
              <w:rPr>
                <w:b/>
                <w:noProof/>
              </w:rPr>
              <w:t>(when these are applicable)</w:t>
            </w:r>
          </w:p>
        </w:tc>
        <w:tc>
          <w:tcPr>
            <w:tcW w:w="2257" w:type="dxa"/>
          </w:tcPr>
          <w:p w:rsidR="00BB1D84" w:rsidRPr="00C40D00" w:rsidRDefault="00BB1D84">
            <w:pPr>
              <w:jc w:val="left"/>
              <w:rPr>
                <w:b/>
                <w:noProof/>
              </w:rPr>
            </w:pPr>
            <w:r w:rsidRPr="6EED4E03">
              <w:rPr>
                <w:b/>
                <w:noProof/>
              </w:rPr>
              <w:t>Explanation o</w:t>
            </w:r>
            <w:r>
              <w:rPr>
                <w:b/>
                <w:noProof/>
              </w:rPr>
              <w:t>n</w:t>
            </w:r>
            <w:r w:rsidRPr="6EED4E03">
              <w:rPr>
                <w:b/>
                <w:noProof/>
              </w:rPr>
              <w:t xml:space="preserve"> how it aligns</w:t>
            </w:r>
          </w:p>
        </w:tc>
      </w:tr>
      <w:tr w:rsidR="00BB1D84" w:rsidRPr="00FF0413">
        <w:tc>
          <w:tcPr>
            <w:tcW w:w="1560" w:type="dxa"/>
          </w:tcPr>
          <w:p w:rsidR="00BB1D84" w:rsidRPr="000D37B0" w:rsidRDefault="00BB1D84">
            <w:pPr>
              <w:jc w:val="left"/>
              <w:rPr>
                <w:b/>
                <w:i/>
                <w:noProof/>
              </w:rPr>
            </w:pPr>
            <w:r w:rsidRPr="000D37B0">
              <w:rPr>
                <w:b/>
                <w:i/>
                <w:noProof/>
                <w:lang w:val="en-US"/>
              </w:rPr>
              <w:t>AI Act</w:t>
            </w:r>
          </w:p>
        </w:tc>
        <w:tc>
          <w:tcPr>
            <w:tcW w:w="2257" w:type="dxa"/>
          </w:tcPr>
          <w:p w:rsidR="00BB1D84" w:rsidRPr="00FF0413" w:rsidRDefault="00BB1D84">
            <w:pPr>
              <w:jc w:val="left"/>
              <w:rPr>
                <w:noProof/>
              </w:rPr>
            </w:pPr>
            <w:r>
              <w:rPr>
                <w:noProof/>
              </w:rPr>
              <w:t xml:space="preserve">Any future use of AI-based analytical tools by ACER or national regulatory authorities would need to comply with the AI Act. </w:t>
            </w:r>
          </w:p>
        </w:tc>
      </w:tr>
      <w:tr w:rsidR="00BB1D84" w:rsidRPr="00F41D6E">
        <w:tc>
          <w:tcPr>
            <w:tcW w:w="1560" w:type="dxa"/>
          </w:tcPr>
          <w:p w:rsidR="00BB1D84" w:rsidRPr="000D37B0" w:rsidRDefault="00BB1D84">
            <w:pPr>
              <w:jc w:val="left"/>
              <w:rPr>
                <w:b/>
                <w:i/>
                <w:noProof/>
                <w:lang w:val="en-US"/>
              </w:rPr>
            </w:pPr>
            <w:r w:rsidRPr="000D37B0">
              <w:rPr>
                <w:b/>
                <w:i/>
                <w:noProof/>
                <w:lang w:val="en-US"/>
              </w:rPr>
              <w:t>EU Cybersecurity framework</w:t>
            </w:r>
          </w:p>
        </w:tc>
        <w:tc>
          <w:tcPr>
            <w:tcW w:w="2257" w:type="dxa"/>
          </w:tcPr>
          <w:p w:rsidR="00BB1D84" w:rsidRPr="00F41D6E" w:rsidRDefault="00BB1D84">
            <w:pPr>
              <w:jc w:val="left"/>
              <w:rPr>
                <w:noProof/>
              </w:rPr>
            </w:pPr>
            <w:r>
              <w:rPr>
                <w:noProof/>
              </w:rPr>
              <w:t>The solution must also remain consistent with the general Union framework on data protection and cybersecurity.</w:t>
            </w:r>
          </w:p>
        </w:tc>
      </w:tr>
      <w:tr w:rsidR="00BB1D84">
        <w:tc>
          <w:tcPr>
            <w:tcW w:w="1560" w:type="dxa"/>
          </w:tcPr>
          <w:p w:rsidR="00BB1D84" w:rsidRPr="000D37B0" w:rsidRDefault="00BB1D84">
            <w:pPr>
              <w:jc w:val="left"/>
              <w:rPr>
                <w:b/>
                <w:i/>
                <w:noProof/>
              </w:rPr>
            </w:pPr>
            <w:r w:rsidRPr="000D37B0">
              <w:rPr>
                <w:b/>
                <w:i/>
                <w:noProof/>
              </w:rPr>
              <w:t>eIDAS</w:t>
            </w:r>
          </w:p>
        </w:tc>
        <w:tc>
          <w:tcPr>
            <w:tcW w:w="2257" w:type="dxa"/>
          </w:tcPr>
          <w:p w:rsidR="00BB1D84" w:rsidRDefault="00BB1D84">
            <w:pPr>
              <w:jc w:val="left"/>
              <w:rPr>
                <w:noProof/>
              </w:rPr>
            </w:pPr>
            <w:r>
              <w:rPr>
                <w:noProof/>
              </w:rPr>
              <w:t>No specific link</w:t>
            </w:r>
          </w:p>
        </w:tc>
      </w:tr>
      <w:tr w:rsidR="00BB1D84" w:rsidRPr="00F41D6E">
        <w:tc>
          <w:tcPr>
            <w:tcW w:w="1560" w:type="dxa"/>
          </w:tcPr>
          <w:p w:rsidR="00BB1D84" w:rsidRPr="000D37B0" w:rsidRDefault="00BB1D84">
            <w:pPr>
              <w:jc w:val="left"/>
              <w:rPr>
                <w:b/>
                <w:i/>
                <w:noProof/>
                <w:lang w:val="en-US"/>
              </w:rPr>
            </w:pPr>
            <w:r w:rsidRPr="000D37B0">
              <w:rPr>
                <w:b/>
                <w:i/>
                <w:noProof/>
                <w:lang w:val="en-US"/>
              </w:rPr>
              <w:t>Single Digital Gateway and IMI</w:t>
            </w:r>
          </w:p>
        </w:tc>
        <w:tc>
          <w:tcPr>
            <w:tcW w:w="2257" w:type="dxa"/>
          </w:tcPr>
          <w:p w:rsidR="00BB1D84" w:rsidRPr="00F41D6E" w:rsidRDefault="00BB1D84">
            <w:pPr>
              <w:jc w:val="left"/>
              <w:rPr>
                <w:noProof/>
              </w:rPr>
            </w:pPr>
            <w:r>
              <w:rPr>
                <w:noProof/>
              </w:rPr>
              <w:t>No specific link</w:t>
            </w:r>
          </w:p>
        </w:tc>
      </w:tr>
      <w:tr w:rsidR="00BB1D84" w:rsidRPr="00F41D6E">
        <w:tc>
          <w:tcPr>
            <w:tcW w:w="1560" w:type="dxa"/>
          </w:tcPr>
          <w:p w:rsidR="00BB1D84" w:rsidRPr="000D37B0" w:rsidRDefault="00BB1D84">
            <w:pPr>
              <w:jc w:val="left"/>
              <w:rPr>
                <w:b/>
                <w:i/>
                <w:noProof/>
              </w:rPr>
            </w:pPr>
            <w:r w:rsidRPr="000D37B0">
              <w:rPr>
                <w:b/>
                <w:i/>
                <w:noProof/>
              </w:rPr>
              <w:t>Others</w:t>
            </w:r>
          </w:p>
        </w:tc>
        <w:tc>
          <w:tcPr>
            <w:tcW w:w="2257" w:type="dxa"/>
          </w:tcPr>
          <w:p w:rsidR="00BB1D84" w:rsidRPr="00F41D6E" w:rsidRDefault="00BB1D84">
            <w:pPr>
              <w:jc w:val="left"/>
              <w:rPr>
                <w:rFonts w:eastAsia="Calibri"/>
                <w:noProof/>
              </w:rPr>
            </w:pPr>
          </w:p>
        </w:tc>
      </w:tr>
    </w:tbl>
    <w:p w:rsidR="00BB1D84" w:rsidRPr="00B02F5B" w:rsidRDefault="00BB1D84" w:rsidP="00BB1D84">
      <w:pPr>
        <w:rPr>
          <w:b/>
          <w:noProof/>
          <w:u w:val="single"/>
          <w:lang w:val="en-US"/>
        </w:rPr>
      </w:pPr>
      <w:r w:rsidRPr="00B02F5B">
        <w:rPr>
          <w:b/>
          <w:noProof/>
          <w:u w:val="single"/>
          <w:lang w:val="en-US"/>
        </w:rPr>
        <w:t>Digital solution #2</w:t>
      </w:r>
      <w:r>
        <w:rPr>
          <w:b/>
          <w:noProof/>
          <w:u w:val="single"/>
          <w:lang w:val="en-US"/>
        </w:rPr>
        <w:t xml:space="preserve"> </w:t>
      </w:r>
      <w:r>
        <w:rPr>
          <w:b/>
          <w:noProof/>
        </w:rPr>
        <w:t>Grid data exchange interfaces, systems and interoperability components for smart grid operation</w:t>
      </w:r>
    </w:p>
    <w:tbl>
      <w:tblPr>
        <w:tblStyle w:val="TableGrid"/>
        <w:tblW w:w="14077" w:type="dxa"/>
        <w:tblLook w:val="04A0" w:firstRow="1" w:lastRow="0" w:firstColumn="1" w:lastColumn="0" w:noHBand="0" w:noVBand="1"/>
      </w:tblPr>
      <w:tblGrid>
        <w:gridCol w:w="5753"/>
        <w:gridCol w:w="8324"/>
      </w:tblGrid>
      <w:tr w:rsidR="00BB1D84" w:rsidRPr="00C40D00">
        <w:tc>
          <w:tcPr>
            <w:tcW w:w="5753" w:type="dxa"/>
          </w:tcPr>
          <w:p w:rsidR="00BB1D84" w:rsidRPr="00C40D00" w:rsidRDefault="00BB1D84">
            <w:pPr>
              <w:jc w:val="left"/>
              <w:rPr>
                <w:b/>
                <w:noProof/>
              </w:rPr>
            </w:pPr>
            <w:r w:rsidRPr="6EED4E03">
              <w:rPr>
                <w:b/>
                <w:noProof/>
              </w:rPr>
              <w:t xml:space="preserve">Digital </w:t>
            </w:r>
            <w:r>
              <w:rPr>
                <w:b/>
                <w:noProof/>
              </w:rPr>
              <w:t xml:space="preserve">and/or sectorial </w:t>
            </w:r>
            <w:r w:rsidRPr="6EED4E03">
              <w:rPr>
                <w:b/>
                <w:noProof/>
              </w:rPr>
              <w:t xml:space="preserve">policy </w:t>
            </w:r>
            <w:r>
              <w:rPr>
                <w:b/>
                <w:noProof/>
              </w:rPr>
              <w:t>(when these are applicable)</w:t>
            </w:r>
          </w:p>
        </w:tc>
        <w:tc>
          <w:tcPr>
            <w:tcW w:w="8324" w:type="dxa"/>
          </w:tcPr>
          <w:p w:rsidR="00BB1D84" w:rsidRPr="00C40D00" w:rsidRDefault="00BB1D84">
            <w:pPr>
              <w:jc w:val="left"/>
              <w:rPr>
                <w:b/>
                <w:noProof/>
              </w:rPr>
            </w:pPr>
            <w:r w:rsidRPr="6EED4E03">
              <w:rPr>
                <w:b/>
                <w:noProof/>
              </w:rPr>
              <w:t>Explanation o</w:t>
            </w:r>
            <w:r>
              <w:rPr>
                <w:b/>
                <w:noProof/>
              </w:rPr>
              <w:t>n</w:t>
            </w:r>
            <w:r w:rsidRPr="6EED4E03">
              <w:rPr>
                <w:b/>
                <w:noProof/>
              </w:rPr>
              <w:t xml:space="preserve"> how it aligns</w:t>
            </w:r>
          </w:p>
        </w:tc>
      </w:tr>
      <w:tr w:rsidR="00BB1D84" w:rsidRPr="00FF0413">
        <w:tc>
          <w:tcPr>
            <w:tcW w:w="5753" w:type="dxa"/>
          </w:tcPr>
          <w:p w:rsidR="00BB1D84" w:rsidRDefault="00BB1D84">
            <w:pPr>
              <w:jc w:val="left"/>
              <w:rPr>
                <w:noProof/>
              </w:rPr>
            </w:pPr>
            <w:r w:rsidRPr="000D37B0">
              <w:rPr>
                <w:b/>
                <w:i/>
                <w:noProof/>
                <w:lang w:val="en-US"/>
              </w:rPr>
              <w:t>AI Act</w:t>
            </w:r>
          </w:p>
        </w:tc>
        <w:tc>
          <w:tcPr>
            <w:tcW w:w="8324" w:type="dxa"/>
          </w:tcPr>
          <w:p w:rsidR="00BB1D84" w:rsidRPr="00FF0413" w:rsidRDefault="00BB1D84">
            <w:pPr>
              <w:jc w:val="left"/>
              <w:rPr>
                <w:noProof/>
              </w:rPr>
            </w:pPr>
            <w:r>
              <w:rPr>
                <w:noProof/>
              </w:rPr>
              <w:t>Where such tools are used, they would need to comply with the applicable Union framework, in particular the AI Act where relevant</w:t>
            </w:r>
          </w:p>
        </w:tc>
      </w:tr>
      <w:tr w:rsidR="00BB1D84" w:rsidRPr="00F41D6E">
        <w:tc>
          <w:tcPr>
            <w:tcW w:w="5753" w:type="dxa"/>
          </w:tcPr>
          <w:p w:rsidR="00BB1D84" w:rsidRDefault="00BB1D84">
            <w:pPr>
              <w:jc w:val="left"/>
              <w:rPr>
                <w:noProof/>
                <w:lang w:val="en-US"/>
              </w:rPr>
            </w:pPr>
            <w:r w:rsidRPr="000D37B0">
              <w:rPr>
                <w:b/>
                <w:i/>
                <w:noProof/>
                <w:lang w:val="en-US"/>
              </w:rPr>
              <w:t>EU Cybersecurity framework</w:t>
            </w:r>
          </w:p>
        </w:tc>
        <w:tc>
          <w:tcPr>
            <w:tcW w:w="8324" w:type="dxa"/>
          </w:tcPr>
          <w:p w:rsidR="00BB1D84" w:rsidRPr="00F41D6E" w:rsidRDefault="00BB1D84">
            <w:pPr>
              <w:jc w:val="left"/>
              <w:rPr>
                <w:noProof/>
              </w:rPr>
            </w:pPr>
            <w:r>
              <w:rPr>
                <w:noProof/>
              </w:rPr>
              <w:t>Where such tools are used, they would need to comply with the applicable Union framework, in particular the NIS2-related obligations applicable to the entities concerned, and other cybersecurity requirements under sectoral law</w:t>
            </w:r>
          </w:p>
        </w:tc>
      </w:tr>
      <w:tr w:rsidR="00BB1D84">
        <w:tc>
          <w:tcPr>
            <w:tcW w:w="5753" w:type="dxa"/>
          </w:tcPr>
          <w:p w:rsidR="00BB1D84" w:rsidRDefault="00BB1D84">
            <w:pPr>
              <w:jc w:val="left"/>
              <w:rPr>
                <w:noProof/>
              </w:rPr>
            </w:pPr>
            <w:r w:rsidRPr="000D37B0">
              <w:rPr>
                <w:b/>
                <w:i/>
                <w:noProof/>
              </w:rPr>
              <w:t>eIDAS</w:t>
            </w:r>
          </w:p>
        </w:tc>
        <w:tc>
          <w:tcPr>
            <w:tcW w:w="8324" w:type="dxa"/>
          </w:tcPr>
          <w:p w:rsidR="00BB1D84" w:rsidRDefault="00BB1D84">
            <w:pPr>
              <w:jc w:val="left"/>
              <w:rPr>
                <w:noProof/>
              </w:rPr>
            </w:pPr>
            <w:r>
              <w:rPr>
                <w:noProof/>
              </w:rPr>
              <w:t>No specific link</w:t>
            </w:r>
          </w:p>
        </w:tc>
      </w:tr>
      <w:tr w:rsidR="00BB1D84" w:rsidRPr="00F41D6E">
        <w:tc>
          <w:tcPr>
            <w:tcW w:w="5753" w:type="dxa"/>
          </w:tcPr>
          <w:p w:rsidR="00BB1D84" w:rsidRDefault="00BB1D84">
            <w:pPr>
              <w:jc w:val="left"/>
              <w:rPr>
                <w:noProof/>
                <w:lang w:val="en-US"/>
              </w:rPr>
            </w:pPr>
            <w:r w:rsidRPr="000D37B0">
              <w:rPr>
                <w:b/>
                <w:i/>
                <w:noProof/>
                <w:lang w:val="en-US"/>
              </w:rPr>
              <w:t>Single Digital Gateway and IMI</w:t>
            </w:r>
          </w:p>
        </w:tc>
        <w:tc>
          <w:tcPr>
            <w:tcW w:w="8324" w:type="dxa"/>
          </w:tcPr>
          <w:p w:rsidR="00BB1D84" w:rsidRPr="00F41D6E" w:rsidRDefault="00BB1D84">
            <w:pPr>
              <w:jc w:val="left"/>
              <w:rPr>
                <w:noProof/>
              </w:rPr>
            </w:pPr>
            <w:r>
              <w:rPr>
                <w:noProof/>
              </w:rPr>
              <w:t>No specific link</w:t>
            </w:r>
          </w:p>
        </w:tc>
      </w:tr>
      <w:tr w:rsidR="00BB1D84" w:rsidRPr="00F41D6E">
        <w:tc>
          <w:tcPr>
            <w:tcW w:w="5753" w:type="dxa"/>
          </w:tcPr>
          <w:p w:rsidR="00BB1D84" w:rsidRDefault="00BB1D84">
            <w:pPr>
              <w:jc w:val="left"/>
              <w:rPr>
                <w:noProof/>
              </w:rPr>
            </w:pPr>
            <w:r w:rsidRPr="000D37B0">
              <w:rPr>
                <w:b/>
                <w:i/>
                <w:noProof/>
              </w:rPr>
              <w:t>Others</w:t>
            </w:r>
          </w:p>
        </w:tc>
        <w:tc>
          <w:tcPr>
            <w:tcW w:w="8324" w:type="dxa"/>
          </w:tcPr>
          <w:p w:rsidR="00BB1D84" w:rsidRPr="00F41D6E" w:rsidRDefault="00BB1D84">
            <w:pPr>
              <w:jc w:val="left"/>
              <w:rPr>
                <w:rFonts w:eastAsia="Calibri"/>
                <w:noProof/>
              </w:rPr>
            </w:pPr>
          </w:p>
        </w:tc>
      </w:tr>
    </w:tbl>
    <w:p w:rsidR="00BB1D84" w:rsidRPr="00B02F5B" w:rsidRDefault="00BB1D84" w:rsidP="00BB1D84">
      <w:pPr>
        <w:rPr>
          <w:b/>
          <w:noProof/>
          <w:u w:val="single"/>
          <w:lang w:val="en-US"/>
        </w:rPr>
      </w:pPr>
      <w:r w:rsidRPr="00B02F5B">
        <w:rPr>
          <w:b/>
          <w:noProof/>
          <w:u w:val="single"/>
          <w:lang w:val="en-US"/>
        </w:rPr>
        <w:t>Digital solution #</w:t>
      </w:r>
      <w:r>
        <w:rPr>
          <w:b/>
          <w:noProof/>
          <w:u w:val="single"/>
          <w:lang w:val="en-US"/>
        </w:rPr>
        <w:t xml:space="preserve">3 </w:t>
      </w:r>
      <w:r>
        <w:rPr>
          <w:b/>
          <w:noProof/>
        </w:rPr>
        <w:t>Secure electricity grid data exchange framework for innovation</w:t>
      </w:r>
    </w:p>
    <w:tbl>
      <w:tblPr>
        <w:tblStyle w:val="TableGrid"/>
        <w:tblW w:w="14077" w:type="dxa"/>
        <w:tblLook w:val="04A0" w:firstRow="1" w:lastRow="0" w:firstColumn="1" w:lastColumn="0" w:noHBand="0" w:noVBand="1"/>
      </w:tblPr>
      <w:tblGrid>
        <w:gridCol w:w="5788"/>
        <w:gridCol w:w="8289"/>
      </w:tblGrid>
      <w:tr w:rsidR="00BB1D84" w:rsidRPr="00C40D00">
        <w:tc>
          <w:tcPr>
            <w:tcW w:w="5788" w:type="dxa"/>
          </w:tcPr>
          <w:p w:rsidR="00BB1D84" w:rsidRPr="00C40D00" w:rsidRDefault="00BB1D84">
            <w:pPr>
              <w:jc w:val="left"/>
              <w:rPr>
                <w:b/>
                <w:noProof/>
              </w:rPr>
            </w:pPr>
            <w:r w:rsidRPr="6EED4E03">
              <w:rPr>
                <w:b/>
                <w:noProof/>
              </w:rPr>
              <w:t xml:space="preserve">Digital </w:t>
            </w:r>
            <w:r>
              <w:rPr>
                <w:b/>
                <w:noProof/>
              </w:rPr>
              <w:t xml:space="preserve">and/or sectorial </w:t>
            </w:r>
            <w:r w:rsidRPr="6EED4E03">
              <w:rPr>
                <w:b/>
                <w:noProof/>
              </w:rPr>
              <w:t xml:space="preserve">policy </w:t>
            </w:r>
            <w:r>
              <w:rPr>
                <w:b/>
                <w:noProof/>
              </w:rPr>
              <w:t>(when these are applicable)</w:t>
            </w:r>
          </w:p>
        </w:tc>
        <w:tc>
          <w:tcPr>
            <w:tcW w:w="8289" w:type="dxa"/>
          </w:tcPr>
          <w:p w:rsidR="00BB1D84" w:rsidRPr="00C40D00" w:rsidRDefault="00BB1D84">
            <w:pPr>
              <w:jc w:val="left"/>
              <w:rPr>
                <w:b/>
                <w:noProof/>
              </w:rPr>
            </w:pPr>
            <w:r w:rsidRPr="6EED4E03">
              <w:rPr>
                <w:b/>
                <w:noProof/>
              </w:rPr>
              <w:t>Explanation o</w:t>
            </w:r>
            <w:r>
              <w:rPr>
                <w:b/>
                <w:noProof/>
              </w:rPr>
              <w:t>n</w:t>
            </w:r>
            <w:r w:rsidRPr="6EED4E03">
              <w:rPr>
                <w:b/>
                <w:noProof/>
              </w:rPr>
              <w:t xml:space="preserve"> how it aligns</w:t>
            </w:r>
          </w:p>
        </w:tc>
      </w:tr>
      <w:tr w:rsidR="00BB1D84" w:rsidRPr="00FF0413">
        <w:tc>
          <w:tcPr>
            <w:tcW w:w="5788" w:type="dxa"/>
          </w:tcPr>
          <w:p w:rsidR="00BB1D84" w:rsidRPr="000D37B0" w:rsidRDefault="00BB1D84">
            <w:pPr>
              <w:jc w:val="left"/>
              <w:rPr>
                <w:b/>
                <w:i/>
                <w:noProof/>
              </w:rPr>
            </w:pPr>
            <w:r w:rsidRPr="000D37B0">
              <w:rPr>
                <w:b/>
                <w:i/>
                <w:noProof/>
                <w:lang w:val="en-US"/>
              </w:rPr>
              <w:t>AI Act</w:t>
            </w:r>
          </w:p>
        </w:tc>
        <w:tc>
          <w:tcPr>
            <w:tcW w:w="8289" w:type="dxa"/>
          </w:tcPr>
          <w:p w:rsidR="00BB1D84" w:rsidRPr="00FF0413" w:rsidRDefault="00BB1D84">
            <w:pPr>
              <w:jc w:val="left"/>
              <w:rPr>
                <w:noProof/>
              </w:rPr>
            </w:pPr>
            <w:r>
              <w:rPr>
                <w:noProof/>
              </w:rPr>
              <w:t>Where AI-based tools are used, compliance with the AI Act is expressly relevant, alongside GDPR, the Data Act, cybersecurity rules and other applicable Union legislation</w:t>
            </w:r>
          </w:p>
        </w:tc>
      </w:tr>
      <w:tr w:rsidR="00BB1D84" w:rsidRPr="00F41D6E">
        <w:tc>
          <w:tcPr>
            <w:tcW w:w="5788" w:type="dxa"/>
          </w:tcPr>
          <w:p w:rsidR="00BB1D84" w:rsidRPr="000D37B0" w:rsidRDefault="00BB1D84">
            <w:pPr>
              <w:jc w:val="left"/>
              <w:rPr>
                <w:b/>
                <w:i/>
                <w:noProof/>
                <w:lang w:val="en-US"/>
              </w:rPr>
            </w:pPr>
            <w:r w:rsidRPr="000D37B0">
              <w:rPr>
                <w:b/>
                <w:i/>
                <w:noProof/>
                <w:lang w:val="en-US"/>
              </w:rPr>
              <w:t>EU Cybersecurity framework</w:t>
            </w:r>
          </w:p>
        </w:tc>
        <w:tc>
          <w:tcPr>
            <w:tcW w:w="8289" w:type="dxa"/>
          </w:tcPr>
          <w:p w:rsidR="00BB1D84" w:rsidRPr="00F41D6E" w:rsidRDefault="00BB1D84">
            <w:pPr>
              <w:jc w:val="left"/>
              <w:rPr>
                <w:noProof/>
              </w:rPr>
            </w:pPr>
            <w:r>
              <w:rPr>
                <w:noProof/>
              </w:rPr>
              <w:t>Where AI-based tools are used, compliance with cybersecurity rules and other applicable Union legislation</w:t>
            </w:r>
          </w:p>
        </w:tc>
      </w:tr>
      <w:tr w:rsidR="00BB1D84">
        <w:tc>
          <w:tcPr>
            <w:tcW w:w="5788" w:type="dxa"/>
          </w:tcPr>
          <w:p w:rsidR="00BB1D84" w:rsidRPr="000D37B0" w:rsidRDefault="00BB1D84">
            <w:pPr>
              <w:jc w:val="left"/>
              <w:rPr>
                <w:b/>
                <w:i/>
                <w:noProof/>
              </w:rPr>
            </w:pPr>
            <w:r w:rsidRPr="000D37B0">
              <w:rPr>
                <w:b/>
                <w:i/>
                <w:noProof/>
              </w:rPr>
              <w:t>eIDAS</w:t>
            </w:r>
          </w:p>
        </w:tc>
        <w:tc>
          <w:tcPr>
            <w:tcW w:w="8289" w:type="dxa"/>
          </w:tcPr>
          <w:p w:rsidR="00BB1D84" w:rsidRDefault="00BB1D84">
            <w:pPr>
              <w:jc w:val="left"/>
              <w:rPr>
                <w:noProof/>
              </w:rPr>
            </w:pPr>
            <w:r>
              <w:rPr>
                <w:noProof/>
              </w:rPr>
              <w:t>No specific link</w:t>
            </w:r>
          </w:p>
        </w:tc>
      </w:tr>
      <w:tr w:rsidR="00BB1D84" w:rsidRPr="00F41D6E">
        <w:tc>
          <w:tcPr>
            <w:tcW w:w="5788" w:type="dxa"/>
          </w:tcPr>
          <w:p w:rsidR="00BB1D84" w:rsidRPr="000D37B0" w:rsidRDefault="00BB1D84">
            <w:pPr>
              <w:jc w:val="left"/>
              <w:rPr>
                <w:b/>
                <w:i/>
                <w:noProof/>
                <w:lang w:val="en-US"/>
              </w:rPr>
            </w:pPr>
            <w:r w:rsidRPr="000D37B0">
              <w:rPr>
                <w:b/>
                <w:i/>
                <w:noProof/>
                <w:lang w:val="en-US"/>
              </w:rPr>
              <w:t>Single Digital Gateway and IMI</w:t>
            </w:r>
          </w:p>
        </w:tc>
        <w:tc>
          <w:tcPr>
            <w:tcW w:w="8289" w:type="dxa"/>
          </w:tcPr>
          <w:p w:rsidR="00BB1D84" w:rsidRPr="00F41D6E" w:rsidRDefault="00BB1D84">
            <w:pPr>
              <w:jc w:val="left"/>
              <w:rPr>
                <w:noProof/>
              </w:rPr>
            </w:pPr>
            <w:r>
              <w:rPr>
                <w:noProof/>
              </w:rPr>
              <w:t>No specific link</w:t>
            </w:r>
          </w:p>
        </w:tc>
      </w:tr>
      <w:tr w:rsidR="00BB1D84" w:rsidRPr="00F41D6E">
        <w:tc>
          <w:tcPr>
            <w:tcW w:w="5788" w:type="dxa"/>
          </w:tcPr>
          <w:p w:rsidR="00BB1D84" w:rsidRPr="000D37B0" w:rsidRDefault="00BB1D84">
            <w:pPr>
              <w:jc w:val="left"/>
              <w:rPr>
                <w:b/>
                <w:i/>
                <w:noProof/>
              </w:rPr>
            </w:pPr>
            <w:r w:rsidRPr="000D37B0">
              <w:rPr>
                <w:b/>
                <w:i/>
                <w:noProof/>
              </w:rPr>
              <w:t>Others</w:t>
            </w:r>
          </w:p>
        </w:tc>
        <w:tc>
          <w:tcPr>
            <w:tcW w:w="8289" w:type="dxa"/>
          </w:tcPr>
          <w:p w:rsidR="00BB1D84" w:rsidRPr="00F41D6E" w:rsidRDefault="00BB1D84">
            <w:pPr>
              <w:jc w:val="left"/>
              <w:rPr>
                <w:rFonts w:eastAsia="Calibri"/>
                <w:noProof/>
              </w:rPr>
            </w:pPr>
          </w:p>
        </w:tc>
      </w:tr>
    </w:tbl>
    <w:p w:rsidR="00BB1D84" w:rsidRPr="004509F8" w:rsidRDefault="00BB1D84" w:rsidP="00BB1D84">
      <w:pPr>
        <w:pStyle w:val="ManualHeading2"/>
        <w:rPr>
          <w:rStyle w:val="Emphasis"/>
          <w:bCs/>
          <w:i w:val="0"/>
          <w:iCs w:val="0"/>
          <w:noProof/>
        </w:rPr>
      </w:pPr>
      <w:bookmarkStart w:id="192" w:name="_Toc167220304"/>
      <w:bookmarkStart w:id="193" w:name="_Toc167265075"/>
      <w:bookmarkStart w:id="194" w:name="_Toc234245533"/>
      <w:r w:rsidRPr="004509F8">
        <w:rPr>
          <w:rStyle w:val="Emphasis"/>
          <w:bCs/>
          <w:i w:val="0"/>
          <w:iCs w:val="0"/>
          <w:noProof/>
        </w:rPr>
        <w:t>4.4.</w:t>
      </w:r>
      <w:r w:rsidRPr="004509F8">
        <w:rPr>
          <w:i/>
          <w:iCs/>
          <w:noProof/>
        </w:rPr>
        <w:tab/>
      </w:r>
      <w:r w:rsidRPr="004509F8">
        <w:rPr>
          <w:rStyle w:val="Emphasis"/>
          <w:bCs/>
          <w:i w:val="0"/>
          <w:iCs w:val="0"/>
          <w:noProof/>
        </w:rPr>
        <w:t>Interoperability assessment</w:t>
      </w:r>
      <w:bookmarkEnd w:id="192"/>
      <w:bookmarkEnd w:id="193"/>
      <w:bookmarkEnd w:id="194"/>
    </w:p>
    <w:p w:rsidR="00491A83" w:rsidRDefault="00BB1D84" w:rsidP="00BB1D84">
      <w:pPr>
        <w:rPr>
          <w:noProof/>
        </w:rPr>
      </w:pPr>
      <w:r>
        <w:rPr>
          <w:noProof/>
        </w:rPr>
        <w:t>For this legislative initiative, the requirements concerning data exchange, smart grid indicators, the coordinated innovation framework and smart metering systems do not establish or affect a trans-European digital public service within the meaning of the Interoperable Europe Act. They primarily concern regulatory obligations, operational data exchange arrangements and digital infrastructures of regulated electricity sector entities, rather than digital services provided by Union entities or public sector bodies to one another or to citizens or businesses. No cross-border digital public service is affected by the policy initiative, and, therefore, the interoperability assessment section does not apply.</w:t>
      </w:r>
    </w:p>
    <w:p w:rsidR="00491A83" w:rsidRDefault="00491A83">
      <w:pPr>
        <w:spacing w:before="0" w:after="200" w:line="276" w:lineRule="auto"/>
        <w:jc w:val="left"/>
        <w:rPr>
          <w:noProof/>
        </w:rPr>
      </w:pPr>
      <w:r>
        <w:rPr>
          <w:noProof/>
        </w:rPr>
        <w:br w:type="page"/>
      </w:r>
    </w:p>
    <w:p w:rsidR="00BB1D84" w:rsidRPr="001B7467" w:rsidRDefault="00BB1D84" w:rsidP="00BB1D84">
      <w:pPr>
        <w:pStyle w:val="ManualHeading2"/>
        <w:rPr>
          <w:noProof/>
        </w:rPr>
      </w:pPr>
      <w:bookmarkStart w:id="195" w:name="_Toc167220306"/>
      <w:bookmarkStart w:id="196" w:name="_Toc167265076"/>
      <w:bookmarkStart w:id="197" w:name="_Toc234245534"/>
      <w:r>
        <w:rPr>
          <w:noProof/>
        </w:rPr>
        <w:t>4.5.</w:t>
      </w:r>
      <w:r>
        <w:rPr>
          <w:noProof/>
        </w:rPr>
        <w:tab/>
        <w:t>Measures to support digital</w:t>
      </w:r>
      <w:r w:rsidRPr="001B7467">
        <w:rPr>
          <w:noProof/>
        </w:rPr>
        <w:t xml:space="preserve"> </w:t>
      </w:r>
      <w:r>
        <w:rPr>
          <w:noProof/>
        </w:rPr>
        <w:t>i</w:t>
      </w:r>
      <w:r w:rsidRPr="001B7467">
        <w:rPr>
          <w:noProof/>
        </w:rPr>
        <w:t>mplementation</w:t>
      </w:r>
      <w:bookmarkEnd w:id="195"/>
      <w:bookmarkEnd w:id="196"/>
      <w:bookmarkEnd w:id="197"/>
    </w:p>
    <w:p w:rsidR="00BB1D84" w:rsidRPr="00083536" w:rsidRDefault="00BB1D84" w:rsidP="00BB1D84">
      <w:pPr>
        <w:rPr>
          <w:i/>
          <w:iCs/>
          <w:noProof/>
          <w:szCs w:val="24"/>
        </w:rPr>
      </w:pPr>
      <w:r w:rsidRPr="00083536">
        <w:rPr>
          <w:i/>
          <w:iCs/>
          <w:noProof/>
          <w:szCs w:val="24"/>
        </w:rPr>
        <w:t>High-level description of measures supporting digital implementation</w:t>
      </w:r>
    </w:p>
    <w:tbl>
      <w:tblPr>
        <w:tblStyle w:val="TableGrid"/>
        <w:tblW w:w="13887" w:type="dxa"/>
        <w:tblLook w:val="04A0" w:firstRow="1" w:lastRow="0" w:firstColumn="1" w:lastColumn="0" w:noHBand="0" w:noVBand="1"/>
      </w:tblPr>
      <w:tblGrid>
        <w:gridCol w:w="4248"/>
        <w:gridCol w:w="2551"/>
        <w:gridCol w:w="2410"/>
        <w:gridCol w:w="2126"/>
        <w:gridCol w:w="2552"/>
      </w:tblGrid>
      <w:tr w:rsidR="00BB1D84" w:rsidRPr="00F41D6E">
        <w:trPr>
          <w:trHeight w:val="300"/>
        </w:trPr>
        <w:tc>
          <w:tcPr>
            <w:tcW w:w="4248" w:type="dxa"/>
          </w:tcPr>
          <w:p w:rsidR="00BB1D84" w:rsidRPr="00083536" w:rsidRDefault="00BB1D84">
            <w:pPr>
              <w:jc w:val="left"/>
              <w:rPr>
                <w:b/>
                <w:bCs/>
                <w:noProof/>
                <w:color w:val="000000"/>
                <w:szCs w:val="24"/>
                <w:lang w:val="en-US" w:eastAsia="fr-BE"/>
              </w:rPr>
            </w:pPr>
            <w:r w:rsidRPr="009F6FC3">
              <w:rPr>
                <w:b/>
                <w:bCs/>
                <w:noProof/>
                <w:szCs w:val="24"/>
              </w:rPr>
              <w:t>Description</w:t>
            </w:r>
            <w:r w:rsidRPr="00083536">
              <w:rPr>
                <w:b/>
                <w:bCs/>
                <w:noProof/>
                <w:color w:val="000000"/>
                <w:szCs w:val="24"/>
              </w:rPr>
              <w:t xml:space="preserve"> of the measure</w:t>
            </w:r>
          </w:p>
        </w:tc>
        <w:tc>
          <w:tcPr>
            <w:tcW w:w="2551" w:type="dxa"/>
          </w:tcPr>
          <w:p w:rsidR="00BB1D84" w:rsidRPr="00083536" w:rsidRDefault="00BB1D84">
            <w:pPr>
              <w:jc w:val="left"/>
              <w:rPr>
                <w:b/>
                <w:bCs/>
                <w:noProof/>
                <w:szCs w:val="24"/>
              </w:rPr>
            </w:pPr>
            <w:r w:rsidRPr="00083536">
              <w:rPr>
                <w:b/>
                <w:bCs/>
                <w:noProof/>
                <w:szCs w:val="24"/>
              </w:rPr>
              <w:t>Reference(s) to the requirement(s)</w:t>
            </w:r>
            <w:r>
              <w:rPr>
                <w:b/>
                <w:bCs/>
                <w:noProof/>
                <w:szCs w:val="24"/>
              </w:rPr>
              <w:t xml:space="preserve"> </w:t>
            </w:r>
          </w:p>
        </w:tc>
        <w:tc>
          <w:tcPr>
            <w:tcW w:w="2410" w:type="dxa"/>
          </w:tcPr>
          <w:p w:rsidR="00BB1D84" w:rsidRPr="00083536" w:rsidRDefault="00BB1D84">
            <w:pPr>
              <w:jc w:val="left"/>
              <w:rPr>
                <w:b/>
                <w:bCs/>
                <w:noProof/>
                <w:szCs w:val="24"/>
              </w:rPr>
            </w:pPr>
            <w:r w:rsidRPr="00083536">
              <w:rPr>
                <w:b/>
                <w:bCs/>
                <w:noProof/>
                <w:szCs w:val="24"/>
              </w:rPr>
              <w:t xml:space="preserve">Commission role </w:t>
            </w:r>
          </w:p>
          <w:p w:rsidR="00BB1D84" w:rsidRPr="00083536" w:rsidRDefault="00BB1D84">
            <w:pPr>
              <w:jc w:val="left"/>
              <w:rPr>
                <w:b/>
                <w:bCs/>
                <w:noProof/>
                <w:szCs w:val="24"/>
              </w:rPr>
            </w:pPr>
            <w:r w:rsidRPr="00083536">
              <w:rPr>
                <w:noProof/>
                <w:szCs w:val="24"/>
              </w:rPr>
              <w:t>(if applicable)</w:t>
            </w:r>
          </w:p>
        </w:tc>
        <w:tc>
          <w:tcPr>
            <w:tcW w:w="2126" w:type="dxa"/>
          </w:tcPr>
          <w:p w:rsidR="00BB1D84" w:rsidRPr="00083536" w:rsidRDefault="00BB1D84">
            <w:pPr>
              <w:jc w:val="left"/>
              <w:rPr>
                <w:b/>
                <w:bCs/>
                <w:noProof/>
                <w:szCs w:val="24"/>
              </w:rPr>
            </w:pPr>
            <w:r w:rsidRPr="00083536">
              <w:rPr>
                <w:b/>
                <w:bCs/>
                <w:noProof/>
                <w:szCs w:val="24"/>
              </w:rPr>
              <w:t>Actors to be involved</w:t>
            </w:r>
          </w:p>
          <w:p w:rsidR="00BB1D84" w:rsidRPr="00083536" w:rsidRDefault="00BB1D84">
            <w:pPr>
              <w:jc w:val="left"/>
              <w:rPr>
                <w:noProof/>
                <w:szCs w:val="24"/>
              </w:rPr>
            </w:pPr>
            <w:r w:rsidRPr="00083536">
              <w:rPr>
                <w:noProof/>
                <w:szCs w:val="24"/>
              </w:rPr>
              <w:t>(if applicable)</w:t>
            </w:r>
          </w:p>
        </w:tc>
        <w:tc>
          <w:tcPr>
            <w:tcW w:w="2552" w:type="dxa"/>
          </w:tcPr>
          <w:p w:rsidR="00BB1D84" w:rsidRPr="00083536" w:rsidRDefault="00BB1D84">
            <w:pPr>
              <w:jc w:val="left"/>
              <w:rPr>
                <w:b/>
                <w:bCs/>
                <w:noProof/>
                <w:szCs w:val="24"/>
              </w:rPr>
            </w:pPr>
            <w:r w:rsidRPr="00083536">
              <w:rPr>
                <w:b/>
                <w:bCs/>
                <w:noProof/>
                <w:szCs w:val="24"/>
              </w:rPr>
              <w:t>Expected timeline</w:t>
            </w:r>
          </w:p>
          <w:p w:rsidR="00BB1D84" w:rsidRPr="00083536" w:rsidRDefault="00BB1D84">
            <w:pPr>
              <w:jc w:val="left"/>
              <w:rPr>
                <w:noProof/>
                <w:szCs w:val="24"/>
              </w:rPr>
            </w:pPr>
            <w:r w:rsidRPr="00083536">
              <w:rPr>
                <w:noProof/>
                <w:szCs w:val="24"/>
              </w:rPr>
              <w:t>(if applicable)</w:t>
            </w:r>
          </w:p>
        </w:tc>
      </w:tr>
      <w:tr w:rsidR="00BB1D84" w:rsidRPr="00F41D6E">
        <w:trPr>
          <w:trHeight w:val="300"/>
        </w:trPr>
        <w:tc>
          <w:tcPr>
            <w:tcW w:w="4248" w:type="dxa"/>
          </w:tcPr>
          <w:p w:rsidR="00BB1D84" w:rsidRDefault="00BB1D84">
            <w:pPr>
              <w:jc w:val="left"/>
              <w:rPr>
                <w:noProof/>
              </w:rPr>
            </w:pPr>
            <w:r w:rsidRPr="00B25ACF">
              <w:rPr>
                <w:b/>
                <w:bCs/>
                <w:noProof/>
                <w:szCs w:val="24"/>
              </w:rPr>
              <w:t>For Requirement 1</w:t>
            </w:r>
            <w:r w:rsidRPr="00B25ACF">
              <w:rPr>
                <w:noProof/>
                <w:szCs w:val="24"/>
              </w:rPr>
              <w:t>, an important implementation measure is the preparation by ACER of a recommendation on smart grid indicators, followed, where appropriate, by Commission implementing acts setting out a harmonised methodology. This measure supports the gradual development of a more coherent Union-level framework for measuring the uptake of smart and digital grid solutions and their contribution to the efficient use of electricity infrastructure.</w:t>
            </w:r>
          </w:p>
        </w:tc>
        <w:tc>
          <w:tcPr>
            <w:tcW w:w="2551" w:type="dxa"/>
          </w:tcPr>
          <w:p w:rsidR="00BB1D84" w:rsidRPr="00F41D6E" w:rsidRDefault="00BB1D84">
            <w:pPr>
              <w:jc w:val="left"/>
              <w:rPr>
                <w:noProof/>
              </w:rPr>
            </w:pPr>
            <w:r w:rsidRPr="00BB39AA">
              <w:rPr>
                <w:noProof/>
              </w:rPr>
              <w:t>Requirement 1 (smart grid indicators)</w:t>
            </w:r>
          </w:p>
        </w:tc>
        <w:tc>
          <w:tcPr>
            <w:tcW w:w="2410" w:type="dxa"/>
          </w:tcPr>
          <w:p w:rsidR="00BB1D84" w:rsidRPr="00F41D6E" w:rsidRDefault="00BB1D84">
            <w:pPr>
              <w:jc w:val="left"/>
              <w:rPr>
                <w:noProof/>
              </w:rPr>
            </w:pPr>
            <w:r w:rsidRPr="00B25ACF">
              <w:rPr>
                <w:noProof/>
                <w:szCs w:val="24"/>
              </w:rPr>
              <w:t>The Commission’s role would be to assess the need for further harmonisation and, where appropriate, adopt implementing acts.</w:t>
            </w:r>
          </w:p>
        </w:tc>
        <w:tc>
          <w:tcPr>
            <w:tcW w:w="2126" w:type="dxa"/>
          </w:tcPr>
          <w:p w:rsidR="00BB1D84" w:rsidRDefault="00BB1D84">
            <w:pPr>
              <w:jc w:val="left"/>
              <w:rPr>
                <w:noProof/>
              </w:rPr>
            </w:pPr>
            <w:r w:rsidRPr="00B25ACF">
              <w:rPr>
                <w:noProof/>
                <w:szCs w:val="24"/>
              </w:rPr>
              <w:t>The actors involved would include ACER, the Commission, national regulatory authorities, transmission system operators, distribution system operators and relevant stakeholders.</w:t>
            </w:r>
          </w:p>
        </w:tc>
        <w:tc>
          <w:tcPr>
            <w:tcW w:w="2552" w:type="dxa"/>
          </w:tcPr>
          <w:p w:rsidR="00BB1D84" w:rsidRPr="00B25ACF" w:rsidRDefault="00BB1D84">
            <w:pPr>
              <w:rPr>
                <w:noProof/>
                <w:szCs w:val="24"/>
              </w:rPr>
            </w:pPr>
            <w:r w:rsidRPr="00B25ACF">
              <w:rPr>
                <w:noProof/>
                <w:szCs w:val="24"/>
              </w:rPr>
              <w:t xml:space="preserve">The first milestone would be ACER’s recommendation </w:t>
            </w:r>
            <w:r w:rsidRPr="00B25ACF">
              <w:rPr>
                <w:b/>
                <w:bCs/>
                <w:noProof/>
                <w:szCs w:val="24"/>
              </w:rPr>
              <w:t>within one year after entry into force</w:t>
            </w:r>
            <w:r w:rsidRPr="00B25ACF">
              <w:rPr>
                <w:noProof/>
                <w:szCs w:val="24"/>
              </w:rPr>
              <w:t>, followed by possible implementing acts at a later stage if needed.</w:t>
            </w:r>
          </w:p>
          <w:p w:rsidR="00BB1D84" w:rsidRDefault="00BB1D84">
            <w:pPr>
              <w:jc w:val="left"/>
              <w:rPr>
                <w:noProof/>
              </w:rPr>
            </w:pPr>
          </w:p>
        </w:tc>
      </w:tr>
      <w:tr w:rsidR="00BB1D84" w:rsidRPr="00F41D6E">
        <w:trPr>
          <w:trHeight w:val="300"/>
        </w:trPr>
        <w:tc>
          <w:tcPr>
            <w:tcW w:w="4248" w:type="dxa"/>
          </w:tcPr>
          <w:p w:rsidR="00BB1D84" w:rsidRDefault="00BB1D84">
            <w:pPr>
              <w:jc w:val="left"/>
              <w:rPr>
                <w:rFonts w:eastAsia="Calibri"/>
                <w:noProof/>
                <w:lang w:val="en-US"/>
              </w:rPr>
            </w:pPr>
            <w:r w:rsidRPr="00B25ACF">
              <w:rPr>
                <w:b/>
                <w:bCs/>
                <w:noProof/>
                <w:szCs w:val="24"/>
              </w:rPr>
              <w:t>For Requirement 2</w:t>
            </w:r>
            <w:r w:rsidRPr="00B25ACF">
              <w:rPr>
                <w:noProof/>
                <w:szCs w:val="24"/>
              </w:rPr>
              <w:t>, the main implementation measure is the gradual adaptation by transmission system operators and distribution system operators of their data management, exchange and interoperability arrangements so that grid data can be used in a more harmonised way to support smart grid deployment and innovative data-driven solutions. This is primarily an operational implementation measure at sector level rather than a measure to be specified by a Commission act.</w:t>
            </w:r>
          </w:p>
        </w:tc>
        <w:tc>
          <w:tcPr>
            <w:tcW w:w="2551" w:type="dxa"/>
          </w:tcPr>
          <w:p w:rsidR="00BB1D84" w:rsidRDefault="00BB1D84">
            <w:pPr>
              <w:jc w:val="left"/>
              <w:rPr>
                <w:noProof/>
              </w:rPr>
            </w:pPr>
            <w:r w:rsidRPr="00BB39AA">
              <w:rPr>
                <w:noProof/>
              </w:rPr>
              <w:t>Requirement 2 (grid data exchange for smart grid operation)</w:t>
            </w:r>
          </w:p>
        </w:tc>
        <w:tc>
          <w:tcPr>
            <w:tcW w:w="2410" w:type="dxa"/>
          </w:tcPr>
          <w:p w:rsidR="00BB1D84" w:rsidRDefault="00BB1D84">
            <w:pPr>
              <w:jc w:val="left"/>
              <w:rPr>
                <w:noProof/>
              </w:rPr>
            </w:pPr>
            <w:r w:rsidRPr="00B25ACF">
              <w:rPr>
                <w:noProof/>
                <w:szCs w:val="24"/>
              </w:rPr>
              <w:t>The Commission’s role would mainly consist of policy monitoring and follow-up in the context of implementation of the Regulation.</w:t>
            </w:r>
          </w:p>
        </w:tc>
        <w:tc>
          <w:tcPr>
            <w:tcW w:w="2126" w:type="dxa"/>
          </w:tcPr>
          <w:p w:rsidR="00BB1D84" w:rsidRDefault="00BB1D84">
            <w:pPr>
              <w:jc w:val="left"/>
              <w:rPr>
                <w:noProof/>
              </w:rPr>
            </w:pPr>
            <w:r w:rsidRPr="00B25ACF">
              <w:rPr>
                <w:noProof/>
                <w:szCs w:val="24"/>
              </w:rPr>
              <w:t>The actors involved would include transmission system operators, distribution system operators, national regulatory authorities and, where relevant, ENTSO for Electricity and the EU DSO Entity.</w:t>
            </w:r>
          </w:p>
        </w:tc>
        <w:tc>
          <w:tcPr>
            <w:tcW w:w="2552" w:type="dxa"/>
          </w:tcPr>
          <w:p w:rsidR="00BB1D84" w:rsidRDefault="00BB1D84">
            <w:pPr>
              <w:jc w:val="left"/>
              <w:rPr>
                <w:noProof/>
              </w:rPr>
            </w:pPr>
            <w:r w:rsidRPr="00B25ACF">
              <w:rPr>
                <w:noProof/>
                <w:szCs w:val="24"/>
              </w:rPr>
              <w:t xml:space="preserve">Implementation would begin </w:t>
            </w:r>
            <w:r w:rsidRPr="00B25ACF">
              <w:rPr>
                <w:b/>
                <w:bCs/>
                <w:noProof/>
                <w:szCs w:val="24"/>
              </w:rPr>
              <w:t>from the date of application of the Regulation</w:t>
            </w:r>
            <w:r w:rsidRPr="00B25ACF">
              <w:rPr>
                <w:noProof/>
                <w:szCs w:val="24"/>
              </w:rPr>
              <w:t xml:space="preserve"> and proceed progressively as operators adapt existing systems and processes.</w:t>
            </w:r>
          </w:p>
        </w:tc>
      </w:tr>
      <w:tr w:rsidR="00BB1D84" w:rsidRPr="00F41D6E">
        <w:trPr>
          <w:trHeight w:val="300"/>
        </w:trPr>
        <w:tc>
          <w:tcPr>
            <w:tcW w:w="4248" w:type="dxa"/>
          </w:tcPr>
          <w:p w:rsidR="00BB1D84" w:rsidRDefault="00BB1D84">
            <w:pPr>
              <w:jc w:val="left"/>
              <w:rPr>
                <w:rFonts w:eastAsia="Calibri"/>
                <w:noProof/>
                <w:lang w:val="en-US"/>
              </w:rPr>
            </w:pPr>
            <w:r w:rsidRPr="00B25ACF">
              <w:rPr>
                <w:b/>
                <w:bCs/>
                <w:noProof/>
                <w:szCs w:val="24"/>
              </w:rPr>
              <w:t>For Requirement 3</w:t>
            </w:r>
            <w:r w:rsidRPr="00B25ACF">
              <w:rPr>
                <w:noProof/>
                <w:szCs w:val="24"/>
              </w:rPr>
              <w:t>, a key implementation measure is the establishment of the coordinated arrangement jointly facilitated by ENTSO for Electricity and the EU DSO Entity, including the development of governance, participation, technical, operational and cybersecurity rules for the voluntary secure electricity grid data exchange framework. A further supporting measure is the adoption by the Commission of implementing acts under Article 61.5b, setting out common guidelines on data models, formats, ontologies, interfaces, transparency and risk-management requirements.</w:t>
            </w:r>
          </w:p>
        </w:tc>
        <w:tc>
          <w:tcPr>
            <w:tcW w:w="2551" w:type="dxa"/>
          </w:tcPr>
          <w:p w:rsidR="00BB1D84" w:rsidRDefault="00BB1D84">
            <w:pPr>
              <w:jc w:val="left"/>
              <w:rPr>
                <w:noProof/>
              </w:rPr>
            </w:pPr>
            <w:r w:rsidRPr="00BB39AA">
              <w:rPr>
                <w:noProof/>
              </w:rPr>
              <w:t>Requirement 3 (secure electricity grid data exchange framework for innovation)</w:t>
            </w:r>
          </w:p>
        </w:tc>
        <w:tc>
          <w:tcPr>
            <w:tcW w:w="2410" w:type="dxa"/>
          </w:tcPr>
          <w:p w:rsidR="00BB1D84" w:rsidRDefault="00BB1D84">
            <w:pPr>
              <w:jc w:val="left"/>
              <w:rPr>
                <w:noProof/>
              </w:rPr>
            </w:pPr>
            <w:r w:rsidRPr="00B25ACF">
              <w:rPr>
                <w:noProof/>
                <w:szCs w:val="24"/>
              </w:rPr>
              <w:t>The Commission’s role would therefore include receiving the communicated arrangements, issuing an opinion on them, and, where appropriate, adopting implementing acts to support a more consistent and secure rollout.</w:t>
            </w:r>
          </w:p>
        </w:tc>
        <w:tc>
          <w:tcPr>
            <w:tcW w:w="2126" w:type="dxa"/>
          </w:tcPr>
          <w:p w:rsidR="00BB1D84" w:rsidRDefault="00BB1D84">
            <w:pPr>
              <w:jc w:val="left"/>
              <w:rPr>
                <w:noProof/>
              </w:rPr>
            </w:pPr>
            <w:r w:rsidRPr="00B25ACF">
              <w:rPr>
                <w:noProof/>
                <w:szCs w:val="24"/>
              </w:rPr>
              <w:t>The actors involved would include the Commission, ENTSO for Electricity, the EU DSO Entity, participating transmission system operators and distribution system operators, and relevant European stakeholders such as research and technology organisations and industrial solutions providers.</w:t>
            </w:r>
          </w:p>
        </w:tc>
        <w:tc>
          <w:tcPr>
            <w:tcW w:w="2552" w:type="dxa"/>
          </w:tcPr>
          <w:p w:rsidR="00BB1D84" w:rsidRDefault="00BB1D84">
            <w:pPr>
              <w:jc w:val="left"/>
              <w:rPr>
                <w:noProof/>
              </w:rPr>
            </w:pPr>
            <w:r w:rsidRPr="00B25ACF">
              <w:rPr>
                <w:noProof/>
                <w:szCs w:val="24"/>
              </w:rPr>
              <w:t xml:space="preserve">The coordinated arrangement would be expected to be developed </w:t>
            </w:r>
            <w:r w:rsidRPr="00B25ACF">
              <w:rPr>
                <w:b/>
                <w:bCs/>
                <w:noProof/>
                <w:szCs w:val="24"/>
              </w:rPr>
              <w:t>after entry into force of the Regulation</w:t>
            </w:r>
            <w:r w:rsidRPr="00B25ACF">
              <w:rPr>
                <w:noProof/>
                <w:szCs w:val="24"/>
              </w:rPr>
              <w:t>, while implementing acts would follow subsequently, depending on the progress of the framework and the need for further specification.</w:t>
            </w:r>
          </w:p>
        </w:tc>
      </w:tr>
    </w:tbl>
    <w:p w:rsidR="00AC4B8B" w:rsidRDefault="00AC4B8B" w:rsidP="00BB1D84">
      <w:pPr>
        <w:pStyle w:val="Fichefinanciretitre"/>
        <w:keepNext/>
        <w:rPr>
          <w:noProof/>
          <w:lang w:val="en-IE"/>
        </w:rPr>
        <w:sectPr w:rsidR="00AC4B8B" w:rsidSect="00423DBB">
          <w:headerReference w:type="default" r:id="rId22"/>
          <w:footerReference w:type="default" r:id="rId23"/>
          <w:pgSz w:w="16839" w:h="11907" w:orient="landscape"/>
          <w:pgMar w:top="1417" w:right="1134" w:bottom="1417" w:left="1134" w:header="709" w:footer="709" w:gutter="0"/>
          <w:cols w:space="720"/>
          <w:docGrid w:linePitch="360"/>
        </w:sectPr>
      </w:pPr>
    </w:p>
    <w:p w:rsidR="00155377" w:rsidRPr="00AD3300" w:rsidRDefault="00155377" w:rsidP="00AD3300">
      <w:pPr>
        <w:jc w:val="center"/>
        <w:rPr>
          <w:b/>
          <w:bCs/>
          <w:noProof/>
        </w:rPr>
      </w:pPr>
      <w:r w:rsidRPr="00AD3300">
        <w:rPr>
          <w:b/>
          <w:bCs/>
          <w:noProof/>
        </w:rPr>
        <w:t>ANNEX</w:t>
      </w:r>
      <w:r w:rsidRPr="00AD3300">
        <w:rPr>
          <w:b/>
          <w:bCs/>
          <w:noProof/>
        </w:rPr>
        <w:br/>
        <w:t>to the LEGISLATIVE FINANCIAL AND DIGITAL STATEMENT</w:t>
      </w:r>
    </w:p>
    <w:p w:rsidR="00155377" w:rsidRDefault="00155377" w:rsidP="00155377">
      <w:pPr>
        <w:spacing w:before="240"/>
        <w:ind w:left="360"/>
        <w:jc w:val="center"/>
        <w:rPr>
          <w:noProof/>
        </w:rPr>
      </w:pPr>
      <w:r>
        <w:rPr>
          <w:noProof/>
        </w:rPr>
        <w:t>Name of the proposal:</w:t>
      </w:r>
    </w:p>
    <w:p w:rsidR="00537A5F" w:rsidRPr="00A45DD7" w:rsidRDefault="00537A5F" w:rsidP="00AD3300">
      <w:pPr>
        <w:spacing w:before="240"/>
        <w:ind w:left="360"/>
        <w:jc w:val="center"/>
        <w:rPr>
          <w:b/>
          <w:bCs/>
          <w:noProof/>
        </w:rPr>
      </w:pPr>
      <w:r w:rsidRPr="00A45DD7">
        <w:rPr>
          <w:b/>
          <w:bCs/>
          <w:noProof/>
        </w:rPr>
        <w:t>Proposal for a</w:t>
      </w:r>
    </w:p>
    <w:p w:rsidR="00537A5F" w:rsidRPr="00AD3300" w:rsidRDefault="00537A5F" w:rsidP="00AD3300">
      <w:pPr>
        <w:jc w:val="center"/>
        <w:rPr>
          <w:b/>
          <w:bCs/>
          <w:noProof/>
        </w:rPr>
      </w:pPr>
      <w:r w:rsidRPr="00AD3300">
        <w:rPr>
          <w:b/>
          <w:bCs/>
          <w:noProof/>
        </w:rPr>
        <w:t>REGULATION OF THE EUROPEAN PARLIAMENT AND OF THE COUNCIL</w:t>
      </w:r>
    </w:p>
    <w:p w:rsidR="007B26E6" w:rsidRPr="00A45DD7" w:rsidRDefault="007B26E6" w:rsidP="00A45DD7">
      <w:pPr>
        <w:jc w:val="center"/>
        <w:rPr>
          <w:b/>
          <w:bCs/>
          <w:noProof/>
        </w:rPr>
      </w:pPr>
      <w:r w:rsidRPr="00A45DD7">
        <w:rPr>
          <w:b/>
          <w:bCs/>
          <w:noProof/>
        </w:rPr>
        <w:t>amending Regulation (EU) 2019/943, as regards future-proofing electricity bills in the European Union, through reducing system costs and fostering electrification and digitalisation</w:t>
      </w:r>
    </w:p>
    <w:p w:rsidR="00155377" w:rsidRPr="008B4CF8" w:rsidRDefault="00155377" w:rsidP="00155377">
      <w:pPr>
        <w:pStyle w:val="ManualNumPar1"/>
        <w:rPr>
          <w:bCs/>
          <w:noProof/>
        </w:rPr>
      </w:pPr>
      <w:r w:rsidRPr="00C119BA">
        <w:rPr>
          <w:noProof/>
        </w:rPr>
        <w:t>1.</w:t>
      </w:r>
      <w:r w:rsidRPr="00C119BA">
        <w:rPr>
          <w:noProof/>
        </w:rPr>
        <w:tab/>
      </w:r>
      <w:r w:rsidRPr="008B4CF8">
        <w:rPr>
          <w:noProof/>
        </w:rPr>
        <w:t>NUMBER and COST of HUMAN RESOURCES CONSIDERED NECESSARY</w:t>
      </w:r>
    </w:p>
    <w:p w:rsidR="00155377" w:rsidRPr="008B4CF8" w:rsidRDefault="00155377" w:rsidP="00155377">
      <w:pPr>
        <w:pStyle w:val="ManualNumPar1"/>
        <w:rPr>
          <w:bCs/>
          <w:noProof/>
        </w:rPr>
      </w:pPr>
      <w:r w:rsidRPr="00C119BA">
        <w:rPr>
          <w:noProof/>
        </w:rPr>
        <w:t>2.</w:t>
      </w:r>
      <w:r w:rsidRPr="00C119BA">
        <w:rPr>
          <w:noProof/>
        </w:rPr>
        <w:tab/>
      </w:r>
      <w:r w:rsidRPr="008B4CF8">
        <w:rPr>
          <w:noProof/>
        </w:rPr>
        <w:t>COST of OTHER ADMINISTRATIVE EXPENDITURE</w:t>
      </w:r>
    </w:p>
    <w:p w:rsidR="00155377" w:rsidRPr="008B4CF8" w:rsidRDefault="00155377" w:rsidP="00155377">
      <w:pPr>
        <w:pStyle w:val="ManualNumPar1"/>
        <w:rPr>
          <w:noProof/>
        </w:rPr>
      </w:pPr>
      <w:r w:rsidRPr="00C119BA">
        <w:rPr>
          <w:noProof/>
        </w:rPr>
        <w:t>3.</w:t>
      </w:r>
      <w:r w:rsidRPr="00C119BA">
        <w:rPr>
          <w:noProof/>
        </w:rPr>
        <w:tab/>
      </w:r>
      <w:r w:rsidRPr="008B4CF8">
        <w:rPr>
          <w:noProof/>
        </w:rPr>
        <w:t>TOTAL ADMINISTRATIVE COSTS</w:t>
      </w:r>
    </w:p>
    <w:p w:rsidR="00155377" w:rsidRPr="008B4CF8" w:rsidRDefault="00155377" w:rsidP="00155377">
      <w:pPr>
        <w:pStyle w:val="ManualNumPar1"/>
        <w:rPr>
          <w:bCs/>
          <w:noProof/>
        </w:rPr>
      </w:pPr>
      <w:r w:rsidRPr="00C119BA">
        <w:rPr>
          <w:noProof/>
        </w:rPr>
        <w:t>4.</w:t>
      </w:r>
      <w:r w:rsidRPr="00C119BA">
        <w:rPr>
          <w:noProof/>
        </w:rPr>
        <w:tab/>
      </w:r>
      <w:r w:rsidRPr="008B4CF8">
        <w:rPr>
          <w:noProof/>
        </w:rPr>
        <w:t>METHODS of CALCULATION USED for ESTIMATING COSTS</w:t>
      </w:r>
    </w:p>
    <w:p w:rsidR="00155377" w:rsidRPr="008B4CF8" w:rsidRDefault="00155377" w:rsidP="00155377">
      <w:pPr>
        <w:pStyle w:val="ManualNumPar2"/>
        <w:rPr>
          <w:bCs/>
          <w:noProof/>
        </w:rPr>
      </w:pPr>
      <w:r w:rsidRPr="00C119BA">
        <w:rPr>
          <w:noProof/>
        </w:rPr>
        <w:t>4.1.</w:t>
      </w:r>
      <w:r w:rsidRPr="00C119BA">
        <w:rPr>
          <w:noProof/>
        </w:rPr>
        <w:tab/>
      </w:r>
      <w:r w:rsidRPr="008B4CF8">
        <w:rPr>
          <w:noProof/>
        </w:rPr>
        <w:t>Human resources</w:t>
      </w:r>
    </w:p>
    <w:p w:rsidR="00155377" w:rsidRPr="008B4CF8" w:rsidRDefault="00155377" w:rsidP="00155377">
      <w:pPr>
        <w:pStyle w:val="ManualNumPar2"/>
        <w:rPr>
          <w:bCs/>
          <w:noProof/>
        </w:rPr>
      </w:pPr>
      <w:r w:rsidRPr="00C119BA">
        <w:rPr>
          <w:noProof/>
        </w:rPr>
        <w:t>4.2.</w:t>
      </w:r>
      <w:r w:rsidRPr="00C119BA">
        <w:rPr>
          <w:noProof/>
        </w:rPr>
        <w:tab/>
      </w:r>
      <w:r w:rsidRPr="008B4CF8">
        <w:rPr>
          <w:noProof/>
        </w:rPr>
        <w:t>Other administrative expenditure</w:t>
      </w:r>
    </w:p>
    <w:p w:rsidR="00155377" w:rsidRDefault="00155377" w:rsidP="00155377">
      <w:pPr>
        <w:rPr>
          <w:noProof/>
        </w:rPr>
        <w:sectPr w:rsidR="00155377" w:rsidSect="00423DBB">
          <w:headerReference w:type="default" r:id="rId24"/>
          <w:footerReference w:type="default" r:id="rId25"/>
          <w:pgSz w:w="12240" w:h="15840" w:code="1"/>
          <w:pgMar w:top="902" w:right="1134" w:bottom="1247" w:left="902" w:header="709" w:footer="709" w:gutter="0"/>
          <w:pgNumType w:start="1"/>
          <w:cols w:space="720"/>
          <w:docGrid w:linePitch="360"/>
        </w:sectPr>
      </w:pPr>
    </w:p>
    <w:p w:rsidR="00155377" w:rsidRPr="008B4CF8" w:rsidRDefault="00155377" w:rsidP="00AE6949">
      <w:pPr>
        <w:pStyle w:val="ManualNumPar1"/>
        <w:ind w:left="426" w:hanging="426"/>
        <w:rPr>
          <w:noProof/>
        </w:rPr>
      </w:pPr>
      <w:r w:rsidRPr="00C119BA">
        <w:rPr>
          <w:noProof/>
        </w:rPr>
        <w:t>1.</w:t>
      </w:r>
      <w:r w:rsidRPr="00C119BA">
        <w:rPr>
          <w:noProof/>
        </w:rPr>
        <w:tab/>
      </w:r>
      <w:r w:rsidRPr="008B4CF8">
        <w:rPr>
          <w:noProof/>
        </w:rPr>
        <w:t>Cost of human resources considered necessary</w:t>
      </w:r>
    </w:p>
    <w:p w:rsidR="00155377" w:rsidRDefault="00155377" w:rsidP="00155377">
      <w:pPr>
        <w:pStyle w:val="Point1"/>
        <w:spacing w:after="0"/>
        <w:ind w:left="2263" w:hanging="284"/>
        <w:rPr>
          <w:noProof/>
        </w:rPr>
      </w:pPr>
      <w:r>
        <w:rPr>
          <w:rFonts w:ascii="Wingdings" w:eastAsia="Wingdings" w:hAnsi="Wingdings" w:cs="Wingdings"/>
          <w:noProof/>
        </w:rPr>
        <w:t></w:t>
      </w:r>
      <w:r>
        <w:rPr>
          <w:noProof/>
        </w:rPr>
        <w:tab/>
      </w:r>
      <w:r>
        <w:rPr>
          <w:noProof/>
          <w:sz w:val="22"/>
        </w:rPr>
        <w:t>The proposal/initiative does not require the use of human resources</w:t>
      </w:r>
    </w:p>
    <w:p w:rsidR="00155377" w:rsidRDefault="00155377" w:rsidP="00155377">
      <w:pPr>
        <w:pStyle w:val="Text1"/>
        <w:spacing w:before="60" w:after="0"/>
        <w:ind w:left="2263" w:hanging="284"/>
        <w:rPr>
          <w:noProof/>
          <w:sz w:val="22"/>
        </w:rPr>
      </w:pPr>
      <w:r>
        <w:rPr>
          <w:rFonts w:ascii="Wingdings" w:eastAsia="Wingdings" w:hAnsi="Wingdings" w:cs="Wingdings"/>
          <w:noProof/>
        </w:rPr>
        <w:t></w:t>
      </w:r>
      <w:r>
        <w:rPr>
          <w:noProof/>
          <w:sz w:val="22"/>
        </w:rPr>
        <w:t>The proposal/initiative requires the use of human resources, as explained below:</w:t>
      </w:r>
    </w:p>
    <w:p w:rsidR="00155377" w:rsidRDefault="00155377" w:rsidP="00155377">
      <w:pPr>
        <w:rPr>
          <w:noProof/>
        </w:rPr>
      </w:pPr>
      <w:r>
        <w:rPr>
          <w:noProof/>
        </w:rPr>
        <w:t xml:space="preserve">1.1. </w:t>
      </w:r>
      <w:r w:rsidRPr="00FE63D1">
        <w:rPr>
          <w:noProof/>
        </w:rPr>
        <w:t>Financed from voted bud</w:t>
      </w:r>
      <w:r>
        <w:rPr>
          <w:noProof/>
        </w:rPr>
        <w:t>g</w:t>
      </w:r>
      <w:r w:rsidRPr="00FE63D1">
        <w:rPr>
          <w:noProof/>
        </w:rPr>
        <w:t>et</w:t>
      </w:r>
    </w:p>
    <w:p w:rsidR="00155377" w:rsidRPr="00FE63D1" w:rsidRDefault="00155377" w:rsidP="00155377">
      <w:pPr>
        <w:pStyle w:val="Text1"/>
        <w:spacing w:before="60" w:after="0"/>
        <w:ind w:left="360"/>
        <w:rPr>
          <w:i/>
          <w:iCs/>
          <w:noProof/>
          <w:sz w:val="28"/>
          <w:szCs w:val="24"/>
        </w:rPr>
      </w:pPr>
      <w:r>
        <w:rPr>
          <w:i/>
          <w:iCs/>
          <w:noProof/>
          <w:szCs w:val="24"/>
        </w:rPr>
        <w:t>1.1.1 DG ENER</w:t>
      </w:r>
    </w:p>
    <w:p w:rsidR="00155377" w:rsidRDefault="00155377" w:rsidP="00155377">
      <w:pPr>
        <w:jc w:val="right"/>
        <w:rPr>
          <w:noProof/>
          <w:sz w:val="20"/>
          <w:szCs w:val="20"/>
        </w:rPr>
      </w:pPr>
      <w:r w:rsidRPr="008B4CF8">
        <w:rPr>
          <w:noProof/>
          <w:sz w:val="20"/>
          <w:szCs w:val="20"/>
        </w:rPr>
        <w:t>EUR million (to three decimal places)</w:t>
      </w:r>
    </w:p>
    <w:tbl>
      <w:tblPr>
        <w:tblW w:w="5000" w:type="pct"/>
        <w:tblLook w:val="04A0" w:firstRow="1" w:lastRow="0" w:firstColumn="1" w:lastColumn="0" w:noHBand="0" w:noVBand="1"/>
      </w:tblPr>
      <w:tblGrid>
        <w:gridCol w:w="1582"/>
        <w:gridCol w:w="798"/>
        <w:gridCol w:w="798"/>
        <w:gridCol w:w="1080"/>
        <w:gridCol w:w="788"/>
        <w:gridCol w:w="1081"/>
        <w:gridCol w:w="788"/>
        <w:gridCol w:w="1081"/>
        <w:gridCol w:w="788"/>
        <w:gridCol w:w="1081"/>
        <w:gridCol w:w="788"/>
        <w:gridCol w:w="1176"/>
        <w:gridCol w:w="958"/>
        <w:gridCol w:w="11"/>
        <w:gridCol w:w="31"/>
        <w:gridCol w:w="1134"/>
      </w:tblGrid>
      <w:tr w:rsidR="00155377" w:rsidRPr="00FE63D1">
        <w:trPr>
          <w:trHeight w:val="432"/>
        </w:trPr>
        <w:tc>
          <w:tcPr>
            <w:tcW w:w="852" w:type="pct"/>
            <w:gridSpan w:val="2"/>
            <w:tcBorders>
              <w:top w:val="single" w:sz="8" w:space="0" w:color="auto"/>
              <w:left w:val="single" w:sz="8" w:space="0" w:color="auto"/>
              <w:bottom w:val="nil"/>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HEADING 7</w:t>
            </w:r>
          </w:p>
        </w:tc>
        <w:tc>
          <w:tcPr>
            <w:tcW w:w="673"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69"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69"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69"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703"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765" w:type="pct"/>
            <w:gridSpan w:val="4"/>
            <w:tcBorders>
              <w:top w:val="single" w:sz="8" w:space="0" w:color="auto"/>
              <w:left w:val="nil"/>
              <w:bottom w:val="single" w:sz="8" w:space="0" w:color="auto"/>
              <w:right w:val="single" w:sz="8" w:space="0" w:color="000000"/>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E63D1">
        <w:trPr>
          <w:trHeight w:val="579"/>
        </w:trPr>
        <w:tc>
          <w:tcPr>
            <w:tcW w:w="852" w:type="pct"/>
            <w:gridSpan w:val="2"/>
            <w:tcBorders>
              <w:top w:val="nil"/>
              <w:left w:val="single" w:sz="8" w:space="0" w:color="auto"/>
              <w:bottom w:val="single" w:sz="8" w:space="0" w:color="auto"/>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42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c>
          <w:tcPr>
            <w:tcW w:w="343" w:type="pct"/>
            <w:tcBorders>
              <w:top w:val="nil"/>
              <w:left w:val="nil"/>
              <w:bottom w:val="single" w:sz="8" w:space="0" w:color="auto"/>
              <w:right w:val="single" w:sz="4" w:space="0" w:color="auto"/>
            </w:tcBorders>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421" w:type="pct"/>
            <w:gridSpan w:val="3"/>
            <w:tcBorders>
              <w:top w:val="nil"/>
              <w:left w:val="single" w:sz="4" w:space="0" w:color="auto"/>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r>
      <w:tr w:rsidR="00155377" w:rsidRPr="00FE63D1">
        <w:trPr>
          <w:trHeight w:val="300"/>
        </w:trPr>
        <w:tc>
          <w:tcPr>
            <w:tcW w:w="4235" w:type="pct"/>
            <w:gridSpan w:val="12"/>
            <w:tcBorders>
              <w:top w:val="single" w:sz="8" w:space="0" w:color="auto"/>
              <w:left w:val="single" w:sz="8" w:space="0" w:color="auto"/>
              <w:bottom w:val="single" w:sz="8" w:space="0" w:color="auto"/>
              <w:right w:val="single" w:sz="4"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p>
        </w:tc>
        <w:tc>
          <w:tcPr>
            <w:tcW w:w="765"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rsidR="00155377" w:rsidRPr="004D5323" w:rsidRDefault="00155377">
            <w:pPr>
              <w:spacing w:before="0" w:after="0"/>
              <w:jc w:val="center"/>
              <w:rPr>
                <w:rFonts w:ascii="Arial Narrow" w:eastAsia="Times New Roman" w:hAnsi="Arial Narrow"/>
                <w:b/>
                <w:bCs/>
                <w:noProof/>
                <w:color w:val="008000"/>
                <w:sz w:val="22"/>
                <w:lang w:val="en-IE" w:eastAsia="en-IE"/>
              </w:rPr>
            </w:pPr>
          </w:p>
        </w:tc>
      </w:tr>
      <w:tr w:rsidR="00155377" w:rsidRPr="00FE63D1">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01 - Headquarters and Representation offices</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val="en-IE" w:eastAsia="en-IE"/>
              </w:rPr>
              <w:t>1</w:t>
            </w: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194</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0.194</w:t>
            </w:r>
          </w:p>
        </w:tc>
        <w:tc>
          <w:tcPr>
            <w:tcW w:w="343" w:type="pct"/>
            <w:tcBorders>
              <w:top w:val="nil"/>
              <w:left w:val="nil"/>
              <w:bottom w:val="single" w:sz="8" w:space="0" w:color="auto"/>
              <w:right w:val="single" w:sz="4" w:space="0" w:color="auto"/>
            </w:tcBorders>
            <w:shd w:val="clear" w:color="000000" w:fill="D9D9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0.194</w:t>
            </w:r>
          </w:p>
        </w:tc>
      </w:tr>
      <w:tr w:rsidR="00155377" w:rsidRPr="00FE63D1">
        <w:trPr>
          <w:trHeight w:val="480"/>
        </w:trPr>
        <w:tc>
          <w:tcPr>
            <w:tcW w:w="56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03 - Union Delegations</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tcBorders>
              <w:top w:val="nil"/>
              <w:left w:val="single" w:sz="8" w:space="0" w:color="auto"/>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86" w:type="pct"/>
            <w:tcBorders>
              <w:top w:val="nil"/>
              <w:left w:val="nil"/>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58" w:type="pct"/>
            <w:gridSpan w:val="3"/>
            <w:tcBorders>
              <w:top w:val="nil"/>
              <w:left w:val="nil"/>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06" w:type="pct"/>
            <w:tcBorders>
              <w:top w:val="nil"/>
              <w:left w:val="single" w:sz="4"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300"/>
        </w:trPr>
        <w:tc>
          <w:tcPr>
            <w:tcW w:w="4235" w:type="pct"/>
            <w:gridSpan w:val="12"/>
            <w:tcBorders>
              <w:top w:val="nil"/>
              <w:left w:val="single" w:sz="8" w:space="0" w:color="auto"/>
              <w:bottom w:val="single" w:sz="8" w:space="0" w:color="auto"/>
              <w:right w:val="single" w:sz="4" w:space="0" w:color="auto"/>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External staff </w:t>
            </w:r>
          </w:p>
        </w:tc>
        <w:tc>
          <w:tcPr>
            <w:tcW w:w="765" w:type="pct"/>
            <w:gridSpan w:val="4"/>
            <w:tcBorders>
              <w:top w:val="nil"/>
              <w:left w:val="single" w:sz="8" w:space="0" w:color="auto"/>
              <w:bottom w:val="single" w:sz="8" w:space="0" w:color="auto"/>
              <w:right w:val="single" w:sz="4" w:space="0" w:color="auto"/>
            </w:tcBorders>
            <w:shd w:val="clear" w:color="000000" w:fill="FFEB9C"/>
            <w:vAlign w:val="center"/>
          </w:tcPr>
          <w:p w:rsidR="00155377" w:rsidRPr="004D5323" w:rsidRDefault="00155377">
            <w:pPr>
              <w:spacing w:before="0" w:after="0"/>
              <w:jc w:val="center"/>
              <w:rPr>
                <w:rFonts w:ascii="Arial Narrow" w:eastAsia="Times New Roman" w:hAnsi="Arial Narrow"/>
                <w:b/>
                <w:bCs/>
                <w:noProof/>
                <w:color w:val="FF0000"/>
                <w:sz w:val="22"/>
                <w:lang w:val="en-IE" w:eastAsia="en-IE"/>
              </w:rPr>
            </w:pPr>
          </w:p>
        </w:tc>
      </w:tr>
      <w:tr w:rsidR="00155377" w:rsidRPr="00FE63D1">
        <w:trPr>
          <w:trHeight w:val="639"/>
        </w:trPr>
        <w:tc>
          <w:tcPr>
            <w:tcW w:w="567" w:type="pct"/>
            <w:vMerge w:val="restart"/>
            <w:tcBorders>
              <w:top w:val="nil"/>
              <w:left w:val="single" w:sz="8" w:space="0" w:color="auto"/>
              <w:bottom w:val="nil"/>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01 and 20 02 02 – External personnel – Headquarters and Representation offices</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val="en-IE" w:eastAsia="en-IE"/>
              </w:rPr>
              <w:t>2</w:t>
            </w: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210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0.210</w:t>
            </w:r>
          </w:p>
        </w:tc>
        <w:tc>
          <w:tcPr>
            <w:tcW w:w="343" w:type="pct"/>
            <w:tcBorders>
              <w:top w:val="nil"/>
              <w:left w:val="nil"/>
              <w:bottom w:val="single" w:sz="8" w:space="0" w:color="auto"/>
              <w:right w:val="single" w:sz="4" w:space="0" w:color="auto"/>
            </w:tcBorders>
            <w:shd w:val="clear" w:color="000000" w:fill="D9D9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0.210</w:t>
            </w:r>
          </w:p>
        </w:tc>
      </w:tr>
      <w:tr w:rsidR="00155377" w:rsidRPr="00FE63D1">
        <w:trPr>
          <w:trHeight w:val="579"/>
        </w:trPr>
        <w:tc>
          <w:tcPr>
            <w:tcW w:w="567" w:type="pct"/>
            <w:vMerge/>
            <w:tcBorders>
              <w:top w:val="nil"/>
              <w:left w:val="single" w:sz="8" w:space="0" w:color="auto"/>
              <w:bottom w:val="nil"/>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val="restart"/>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03 – External personnel - Union Delegations</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0.000 </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480"/>
        </w:trPr>
        <w:tc>
          <w:tcPr>
            <w:tcW w:w="567"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HR related budget lines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58"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06" w:type="pct"/>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639"/>
        </w:trPr>
        <w:tc>
          <w:tcPr>
            <w:tcW w:w="56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8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17"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155377" w:rsidRPr="00FE63D1">
        <w:trPr>
          <w:trHeight w:val="300"/>
        </w:trPr>
        <w:tc>
          <w:tcPr>
            <w:tcW w:w="852" w:type="pct"/>
            <w:gridSpan w:val="2"/>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HEADING 7</w:t>
            </w:r>
          </w:p>
        </w:tc>
        <w:tc>
          <w:tcPr>
            <w:tcW w:w="28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282"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42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358"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406" w:type="pct"/>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r>
    </w:tbl>
    <w:p w:rsidR="00155377" w:rsidRDefault="00155377" w:rsidP="00155377">
      <w:pPr>
        <w:pStyle w:val="Text1"/>
        <w:spacing w:before="0" w:after="0"/>
        <w:ind w:left="-540" w:right="-694"/>
        <w:rPr>
          <w:noProof/>
          <w:sz w:val="18"/>
        </w:rPr>
      </w:pPr>
    </w:p>
    <w:p w:rsidR="00155377" w:rsidRDefault="00155377" w:rsidP="00155377">
      <w:pPr>
        <w:pStyle w:val="Text1"/>
        <w:spacing w:before="0" w:after="0"/>
        <w:ind w:left="-540" w:right="-694"/>
        <w:rPr>
          <w:noProof/>
          <w:sz w:val="18"/>
        </w:rPr>
      </w:pPr>
    </w:p>
    <w:tbl>
      <w:tblPr>
        <w:tblW w:w="5000" w:type="pct"/>
        <w:tblLook w:val="04A0" w:firstRow="1" w:lastRow="0" w:firstColumn="1" w:lastColumn="0" w:noHBand="0" w:noVBand="1"/>
      </w:tblPr>
      <w:tblGrid>
        <w:gridCol w:w="1275"/>
        <w:gridCol w:w="1409"/>
        <w:gridCol w:w="672"/>
        <w:gridCol w:w="679"/>
        <w:gridCol w:w="1081"/>
        <w:gridCol w:w="679"/>
        <w:gridCol w:w="1081"/>
        <w:gridCol w:w="679"/>
        <w:gridCol w:w="1081"/>
        <w:gridCol w:w="679"/>
        <w:gridCol w:w="1081"/>
        <w:gridCol w:w="679"/>
        <w:gridCol w:w="1081"/>
        <w:gridCol w:w="726"/>
        <w:gridCol w:w="39"/>
        <w:gridCol w:w="34"/>
        <w:gridCol w:w="1008"/>
      </w:tblGrid>
      <w:tr w:rsidR="00155377" w:rsidRPr="00FE63D1">
        <w:trPr>
          <w:trHeight w:val="300"/>
        </w:trPr>
        <w:tc>
          <w:tcPr>
            <w:tcW w:w="1203" w:type="pct"/>
            <w:gridSpan w:val="3"/>
            <w:tcBorders>
              <w:top w:val="single" w:sz="8" w:space="0" w:color="auto"/>
              <w:left w:val="single" w:sz="8" w:space="0" w:color="auto"/>
              <w:bottom w:val="nil"/>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Outside HEADING 7</w:t>
            </w:r>
          </w:p>
        </w:tc>
        <w:tc>
          <w:tcPr>
            <w:tcW w:w="630"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30"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30"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30"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630"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647" w:type="pct"/>
            <w:gridSpan w:val="4"/>
            <w:tcBorders>
              <w:top w:val="single" w:sz="8" w:space="0" w:color="auto"/>
              <w:left w:val="nil"/>
              <w:bottom w:val="single" w:sz="8" w:space="0" w:color="auto"/>
              <w:right w:val="single" w:sz="8" w:space="0" w:color="000000"/>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E63D1">
        <w:trPr>
          <w:trHeight w:val="444"/>
        </w:trPr>
        <w:tc>
          <w:tcPr>
            <w:tcW w:w="1203" w:type="pct"/>
            <w:gridSpan w:val="3"/>
            <w:tcBorders>
              <w:top w:val="nil"/>
              <w:left w:val="single" w:sz="8" w:space="0" w:color="auto"/>
              <w:bottom w:val="single" w:sz="8" w:space="0" w:color="auto"/>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0" w:type="pct"/>
            <w:tcBorders>
              <w:top w:val="nil"/>
              <w:left w:val="nil"/>
              <w:bottom w:val="single" w:sz="4" w:space="0" w:color="auto"/>
              <w:right w:val="single" w:sz="4"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87" w:type="pct"/>
            <w:gridSpan w:val="3"/>
            <w:tcBorders>
              <w:top w:val="nil"/>
              <w:left w:val="single" w:sz="4" w:space="0" w:color="auto"/>
              <w:bottom w:val="single" w:sz="4" w:space="0" w:color="auto"/>
              <w:right w:val="single" w:sz="8"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r>
      <w:tr w:rsidR="00155377" w:rsidRPr="00FE63D1">
        <w:trPr>
          <w:trHeight w:val="300"/>
        </w:trPr>
        <w:tc>
          <w:tcPr>
            <w:tcW w:w="4353" w:type="pct"/>
            <w:gridSpan w:val="13"/>
            <w:tcBorders>
              <w:top w:val="single" w:sz="8" w:space="0" w:color="auto"/>
              <w:left w:val="single" w:sz="8" w:space="0" w:color="auto"/>
              <w:bottom w:val="single" w:sz="8" w:space="0" w:color="auto"/>
              <w:right w:val="single" w:sz="4"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r w:rsidRPr="004D5323">
              <w:rPr>
                <w:rFonts w:ascii="Arial Narrow" w:eastAsia="Times New Roman" w:hAnsi="Arial Narrow"/>
                <w:b/>
                <w:bCs/>
                <w:noProof/>
                <w:color w:val="008000"/>
                <w:sz w:val="20"/>
                <w:szCs w:val="20"/>
                <w:lang w:val="en-IE" w:eastAsia="en-IE"/>
              </w:rPr>
              <w:t> </w:t>
            </w:r>
          </w:p>
        </w:tc>
        <w:tc>
          <w:tcPr>
            <w:tcW w:w="647" w:type="pct"/>
            <w:gridSpan w:val="4"/>
            <w:tcBorders>
              <w:top w:val="single" w:sz="8" w:space="0" w:color="auto"/>
              <w:left w:val="single" w:sz="8" w:space="0" w:color="auto"/>
              <w:bottom w:val="single" w:sz="8" w:space="0" w:color="auto"/>
              <w:right w:val="single" w:sz="4" w:space="0" w:color="auto"/>
            </w:tcBorders>
            <w:shd w:val="pct12" w:color="CCFFFF" w:fill="CCFFD3"/>
            <w:vAlign w:val="center"/>
          </w:tcPr>
          <w:p w:rsidR="00155377" w:rsidRPr="004D5323" w:rsidRDefault="00155377">
            <w:pPr>
              <w:spacing w:before="0" w:after="0"/>
              <w:jc w:val="center"/>
              <w:rPr>
                <w:rFonts w:ascii="Arial Narrow" w:eastAsia="Times New Roman" w:hAnsi="Arial Narrow"/>
                <w:b/>
                <w:bCs/>
                <w:noProof/>
                <w:color w:val="008000"/>
                <w:sz w:val="22"/>
                <w:lang w:val="en-IE" w:eastAsia="en-IE"/>
              </w:rPr>
            </w:pPr>
          </w:p>
        </w:tc>
      </w:tr>
      <w:tr w:rsidR="00155377" w:rsidRPr="00FE63D1">
        <w:trPr>
          <w:trHeight w:val="480"/>
        </w:trPr>
        <w:tc>
          <w:tcPr>
            <w:tcW w:w="962" w:type="pct"/>
            <w:gridSpan w:val="2"/>
            <w:vMerge w:val="restart"/>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01 Indirect Research</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11 Direct Research</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(please specify)</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tcBorders>
              <w:top w:val="single" w:sz="8" w:space="0" w:color="auto"/>
              <w:left w:val="single" w:sz="8" w:space="0" w:color="auto"/>
              <w:bottom w:val="single" w:sz="4" w:space="0" w:color="auto"/>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43"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4"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6" w:type="pct"/>
            <w:gridSpan w:val="3"/>
            <w:tcBorders>
              <w:top w:val="nil"/>
              <w:left w:val="nil"/>
              <w:bottom w:val="single" w:sz="4"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1" w:type="pct"/>
            <w:tcBorders>
              <w:top w:val="nil"/>
              <w:left w:val="single" w:sz="4" w:space="0" w:color="auto"/>
              <w:bottom w:val="single" w:sz="4"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300"/>
        </w:trPr>
        <w:tc>
          <w:tcPr>
            <w:tcW w:w="962" w:type="pct"/>
            <w:gridSpan w:val="2"/>
            <w:tcBorders>
              <w:top w:val="single" w:sz="4" w:space="0" w:color="auto"/>
              <w:left w:val="single" w:sz="8" w:space="0" w:color="auto"/>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xml:space="preserve">External staff </w:t>
            </w:r>
          </w:p>
        </w:tc>
        <w:tc>
          <w:tcPr>
            <w:tcW w:w="241"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43"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87"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43"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87"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43"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87"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43"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87"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43" w:type="pct"/>
            <w:tcBorders>
              <w:top w:val="single" w:sz="4" w:space="0" w:color="auto"/>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87" w:type="pct"/>
            <w:tcBorders>
              <w:top w:val="single" w:sz="4" w:space="0" w:color="auto"/>
              <w:left w:val="nil"/>
              <w:bottom w:val="single" w:sz="8" w:space="0" w:color="auto"/>
              <w:right w:val="single" w:sz="4" w:space="0" w:color="auto"/>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647" w:type="pct"/>
            <w:gridSpan w:val="4"/>
            <w:tcBorders>
              <w:top w:val="single" w:sz="4" w:space="0" w:color="auto"/>
              <w:left w:val="nil"/>
              <w:bottom w:val="single" w:sz="8" w:space="0" w:color="auto"/>
              <w:right w:val="single" w:sz="4" w:space="0" w:color="auto"/>
            </w:tcBorders>
            <w:shd w:val="clear" w:color="000000" w:fill="FFEB9C"/>
            <w:vAlign w:val="center"/>
          </w:tcPr>
          <w:p w:rsidR="00155377" w:rsidRPr="004D5323" w:rsidRDefault="00155377">
            <w:pPr>
              <w:spacing w:before="0" w:after="0"/>
              <w:jc w:val="center"/>
              <w:rPr>
                <w:rFonts w:ascii="Arial Narrow" w:eastAsia="Times New Roman" w:hAnsi="Arial Narrow"/>
                <w:b/>
                <w:bCs/>
                <w:noProof/>
                <w:color w:val="FF0000"/>
                <w:sz w:val="22"/>
                <w:lang w:val="en-IE" w:eastAsia="en-IE"/>
              </w:rPr>
            </w:pPr>
          </w:p>
        </w:tc>
      </w:tr>
      <w:tr w:rsidR="00155377" w:rsidRPr="00FE63D1">
        <w:trPr>
          <w:trHeight w:val="480"/>
        </w:trPr>
        <w:tc>
          <w:tcPr>
            <w:tcW w:w="457"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External staff from operational appropriations</w:t>
            </w:r>
          </w:p>
        </w:tc>
        <w:tc>
          <w:tcPr>
            <w:tcW w:w="504" w:type="pct"/>
            <w:vMerge w:val="restart"/>
            <w:tcBorders>
              <w:top w:val="nil"/>
              <w:left w:val="single" w:sz="8" w:space="0" w:color="auto"/>
              <w:bottom w:val="nil"/>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at Headquarters</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5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4" w:type="pct"/>
            <w:vMerge/>
            <w:tcBorders>
              <w:top w:val="nil"/>
              <w:left w:val="single" w:sz="8" w:space="0" w:color="auto"/>
              <w:bottom w:val="nil"/>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5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4" w:type="pct"/>
            <w:vMerge w:val="restart"/>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in Union delegations</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5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5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57"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4"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02 Indirect Research</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val="restart"/>
            <w:tcBorders>
              <w:top w:val="single" w:sz="8" w:space="0" w:color="auto"/>
              <w:left w:val="single" w:sz="8" w:space="0" w:color="auto"/>
              <w:bottom w:val="single" w:sz="4"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12 Direct research</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tcBorders>
              <w:top w:val="single" w:sz="8" w:space="0" w:color="auto"/>
              <w:left w:val="single" w:sz="8" w:space="0" w:color="auto"/>
              <w:bottom w:val="single" w:sz="4"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2" w:type="pct"/>
            <w:gridSpan w:val="2"/>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HR related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588"/>
        </w:trPr>
        <w:tc>
          <w:tcPr>
            <w:tcW w:w="962" w:type="pct"/>
            <w:gridSpan w:val="2"/>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1"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Outside HEADING 7</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0"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87"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300"/>
        </w:trPr>
        <w:tc>
          <w:tcPr>
            <w:tcW w:w="1203" w:type="pct"/>
            <w:gridSpan w:val="3"/>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HR (all MFF Headings)</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24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8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274"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73"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r>
    </w:tbl>
    <w:p w:rsidR="00155377" w:rsidRDefault="00155377" w:rsidP="00155377">
      <w:pPr>
        <w:pStyle w:val="Text1"/>
        <w:spacing w:before="0" w:after="0"/>
        <w:ind w:left="-540" w:right="-694"/>
        <w:rPr>
          <w:noProof/>
          <w:sz w:val="18"/>
        </w:rPr>
      </w:pPr>
    </w:p>
    <w:p w:rsidR="00155377" w:rsidRPr="00FE63D1" w:rsidRDefault="00155377" w:rsidP="00155377">
      <w:pPr>
        <w:pStyle w:val="Text1"/>
        <w:spacing w:before="0" w:after="0"/>
        <w:ind w:left="-540" w:right="-694"/>
        <w:rPr>
          <w:noProof/>
          <w:sz w:val="18"/>
        </w:rPr>
        <w:sectPr w:rsidR="00155377" w:rsidRPr="00FE63D1" w:rsidSect="00423DBB">
          <w:headerReference w:type="default" r:id="rId26"/>
          <w:footerReference w:type="default" r:id="rId27"/>
          <w:pgSz w:w="15840" w:h="12240" w:orient="landscape" w:code="1"/>
          <w:pgMar w:top="624" w:right="902" w:bottom="624" w:left="1191" w:header="709" w:footer="567" w:gutter="0"/>
          <w:cols w:space="708"/>
          <w:docGrid w:linePitch="360"/>
        </w:sectPr>
      </w:pPr>
      <w:r>
        <w:rPr>
          <w:noProof/>
          <w:sz w:val="18"/>
        </w:rPr>
        <w:tab/>
      </w:r>
    </w:p>
    <w:p w:rsidR="00155377" w:rsidRPr="00FE63D1" w:rsidRDefault="00155377" w:rsidP="00155377">
      <w:pPr>
        <w:pStyle w:val="Text1"/>
        <w:spacing w:before="60" w:after="0"/>
        <w:ind w:left="360"/>
        <w:rPr>
          <w:i/>
          <w:iCs/>
          <w:noProof/>
          <w:sz w:val="28"/>
          <w:szCs w:val="24"/>
        </w:rPr>
      </w:pPr>
      <w:r>
        <w:rPr>
          <w:i/>
          <w:iCs/>
          <w:noProof/>
          <w:szCs w:val="24"/>
        </w:rPr>
        <w:t>1.1.2 DG JRC</w:t>
      </w:r>
    </w:p>
    <w:p w:rsidR="00155377" w:rsidRDefault="00155377" w:rsidP="00155377">
      <w:pPr>
        <w:jc w:val="right"/>
        <w:rPr>
          <w:noProof/>
          <w:sz w:val="20"/>
          <w:szCs w:val="20"/>
        </w:rPr>
      </w:pPr>
      <w:r w:rsidRPr="008B4CF8">
        <w:rPr>
          <w:noProof/>
          <w:sz w:val="20"/>
          <w:szCs w:val="20"/>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743"/>
        <w:gridCol w:w="735"/>
        <w:gridCol w:w="1082"/>
        <w:gridCol w:w="719"/>
        <w:gridCol w:w="1082"/>
        <w:gridCol w:w="719"/>
        <w:gridCol w:w="1082"/>
        <w:gridCol w:w="719"/>
        <w:gridCol w:w="1082"/>
        <w:gridCol w:w="721"/>
        <w:gridCol w:w="1372"/>
        <w:gridCol w:w="825"/>
        <w:gridCol w:w="22"/>
        <w:gridCol w:w="90"/>
        <w:gridCol w:w="1063"/>
      </w:tblGrid>
      <w:tr w:rsidR="00155377" w:rsidRPr="00FE63D1" w:rsidTr="00537A5F">
        <w:trPr>
          <w:trHeight w:val="432"/>
        </w:trPr>
        <w:tc>
          <w:tcPr>
            <w:tcW w:w="829" w:type="pct"/>
            <w:gridSpan w:val="2"/>
            <w:shd w:val="clear" w:color="auto"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HEADING 7</w:t>
            </w:r>
          </w:p>
        </w:tc>
        <w:tc>
          <w:tcPr>
            <w:tcW w:w="670" w:type="pct"/>
            <w:gridSpan w:val="2"/>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64" w:type="pct"/>
            <w:gridSpan w:val="2"/>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64" w:type="pct"/>
            <w:gridSpan w:val="2"/>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64" w:type="pct"/>
            <w:gridSpan w:val="2"/>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772" w:type="pct"/>
            <w:gridSpan w:val="2"/>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738" w:type="pct"/>
            <w:gridSpan w:val="4"/>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E63D1" w:rsidTr="00537A5F">
        <w:trPr>
          <w:trHeight w:val="579"/>
        </w:trPr>
        <w:tc>
          <w:tcPr>
            <w:tcW w:w="829" w:type="pct"/>
            <w:gridSpan w:val="2"/>
            <w:shd w:val="clear" w:color="auto"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6" w:type="pct"/>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506" w:type="pct"/>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c>
          <w:tcPr>
            <w:tcW w:w="304" w:type="pct"/>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434" w:type="pct"/>
            <w:gridSpan w:val="3"/>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r>
      <w:tr w:rsidR="00155377" w:rsidRPr="00FE63D1" w:rsidTr="00537A5F">
        <w:trPr>
          <w:trHeight w:val="300"/>
        </w:trPr>
        <w:tc>
          <w:tcPr>
            <w:tcW w:w="4262" w:type="pct"/>
            <w:gridSpan w:val="12"/>
            <w:shd w:val="clear" w:color="auto"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p>
        </w:tc>
        <w:tc>
          <w:tcPr>
            <w:tcW w:w="738" w:type="pct"/>
            <w:gridSpan w:val="4"/>
            <w:shd w:val="clear" w:color="auto" w:fill="CCFFD3"/>
            <w:vAlign w:val="center"/>
          </w:tcPr>
          <w:p w:rsidR="00155377" w:rsidRPr="004D5323" w:rsidRDefault="00155377">
            <w:pPr>
              <w:spacing w:before="0" w:after="0"/>
              <w:jc w:val="center"/>
              <w:rPr>
                <w:rFonts w:ascii="Arial Narrow" w:eastAsia="Times New Roman" w:hAnsi="Arial Narrow"/>
                <w:b/>
                <w:bCs/>
                <w:noProof/>
                <w:color w:val="008000"/>
                <w:sz w:val="22"/>
                <w:lang w:val="en-IE" w:eastAsia="en-IE"/>
              </w:rPr>
            </w:pPr>
          </w:p>
        </w:tc>
      </w:tr>
      <w:tr w:rsidR="00155377" w:rsidRPr="00FE63D1" w:rsidTr="00537A5F">
        <w:trPr>
          <w:trHeight w:val="480"/>
        </w:trPr>
        <w:tc>
          <w:tcPr>
            <w:tcW w:w="555" w:type="pct"/>
            <w:vMerge w:val="restart"/>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01 - Headquarters and Representation offices</w:t>
            </w: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04" w:type="pct"/>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34" w:type="pct"/>
            <w:gridSpan w:val="3"/>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04" w:type="pct"/>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34" w:type="pct"/>
            <w:gridSpan w:val="3"/>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restart"/>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03 - Union Delegations</w:t>
            </w: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04" w:type="pct"/>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34" w:type="pct"/>
            <w:gridSpan w:val="3"/>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300"/>
        </w:trPr>
        <w:tc>
          <w:tcPr>
            <w:tcW w:w="4262" w:type="pct"/>
            <w:gridSpan w:val="12"/>
            <w:shd w:val="clear" w:color="auto"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External staff </w:t>
            </w:r>
          </w:p>
        </w:tc>
        <w:tc>
          <w:tcPr>
            <w:tcW w:w="738" w:type="pct"/>
            <w:gridSpan w:val="4"/>
            <w:shd w:val="clear" w:color="auto" w:fill="FFEB9C"/>
            <w:vAlign w:val="center"/>
          </w:tcPr>
          <w:p w:rsidR="00155377" w:rsidRPr="004D5323" w:rsidRDefault="00155377">
            <w:pPr>
              <w:spacing w:before="0" w:after="0"/>
              <w:jc w:val="center"/>
              <w:rPr>
                <w:rFonts w:ascii="Arial Narrow" w:eastAsia="Times New Roman" w:hAnsi="Arial Narrow"/>
                <w:b/>
                <w:bCs/>
                <w:noProof/>
                <w:color w:val="FF0000"/>
                <w:sz w:val="22"/>
                <w:lang w:val="en-IE" w:eastAsia="en-IE"/>
              </w:rPr>
            </w:pPr>
          </w:p>
        </w:tc>
      </w:tr>
      <w:tr w:rsidR="00155377" w:rsidRPr="00FE63D1" w:rsidTr="00537A5F">
        <w:trPr>
          <w:trHeight w:val="639"/>
        </w:trPr>
        <w:tc>
          <w:tcPr>
            <w:tcW w:w="555" w:type="pct"/>
            <w:vMerge w:val="restart"/>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01 and 20 02 02 – External personnel – Headquarters and Representation offices</w:t>
            </w: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3135780C">
              <w:rPr>
                <w:rFonts w:ascii="Arial Narrow" w:eastAsia="Times New Roman" w:hAnsi="Arial Narrow"/>
                <w:b/>
                <w:noProof/>
                <w:color w:val="000000" w:themeColor="text1"/>
                <w:sz w:val="20"/>
                <w:szCs w:val="20"/>
                <w:lang w:val="en-IE" w:eastAsia="en-IE"/>
              </w:rPr>
              <w:t>0.</w:t>
            </w:r>
            <w:r>
              <w:rPr>
                <w:rFonts w:ascii="Arial Narrow" w:eastAsia="Times New Roman" w:hAnsi="Arial Narrow"/>
                <w:b/>
                <w:noProof/>
                <w:color w:val="000000" w:themeColor="text1"/>
                <w:sz w:val="20"/>
                <w:szCs w:val="20"/>
                <w:lang w:val="en-IE" w:eastAsia="en-IE"/>
              </w:rPr>
              <w:t>000</w:t>
            </w:r>
          </w:p>
        </w:tc>
        <w:tc>
          <w:tcPr>
            <w:tcW w:w="312" w:type="pct"/>
            <w:gridSpan w:val="2"/>
            <w:shd w:val="clear" w:color="auto" w:fill="D9D9D9" w:themeFill="background1" w:themeFillShade="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579"/>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restart"/>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03 – External personnel - Union Delegations</w:t>
            </w: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0.000 </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0.000 </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0.000 </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480"/>
        </w:trPr>
        <w:tc>
          <w:tcPr>
            <w:tcW w:w="555" w:type="pct"/>
            <w:vMerge w:val="restar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HR related budget lines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rsidTr="00537A5F">
        <w:trPr>
          <w:trHeight w:val="639"/>
        </w:trPr>
        <w:tc>
          <w:tcPr>
            <w:tcW w:w="555" w:type="pct"/>
            <w:vMerge/>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74" w:type="pct"/>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71"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5" w:type="pct"/>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2"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6" w:type="pct"/>
            <w:gridSpan w:val="2"/>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r w:rsidR="00537A5F" w:rsidRPr="00FE63D1" w:rsidTr="00537A5F">
        <w:trPr>
          <w:trHeight w:val="300"/>
        </w:trPr>
        <w:tc>
          <w:tcPr>
            <w:tcW w:w="829" w:type="pct"/>
            <w:gridSpan w:val="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HEADING 7</w:t>
            </w:r>
          </w:p>
        </w:tc>
        <w:tc>
          <w:tcPr>
            <w:tcW w:w="271"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5"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5"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5"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506" w:type="pct"/>
            <w:shd w:val="clear" w:color="auto" w:fill="D9D9D9" w:themeFill="background1" w:themeFillShade="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5" w:type="pct"/>
            <w:gridSpan w:val="3"/>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3" w:type="pct"/>
            <w:shd w:val="clear" w:color="auto" w:fill="D9D9D9" w:themeFill="background1" w:themeFillShade="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r>
    </w:tbl>
    <w:p w:rsidR="00155377" w:rsidRDefault="00155377" w:rsidP="00155377">
      <w:pPr>
        <w:pStyle w:val="Text1"/>
        <w:spacing w:before="0" w:after="0"/>
        <w:ind w:left="-540" w:right="-694"/>
        <w:rPr>
          <w:iCs/>
          <w:noProof/>
          <w:sz w:val="20"/>
          <w:szCs w:val="20"/>
        </w:rPr>
      </w:pPr>
    </w:p>
    <w:p w:rsidR="00155377" w:rsidRDefault="00155377" w:rsidP="00155377">
      <w:pPr>
        <w:pStyle w:val="Text1"/>
        <w:spacing w:before="0" w:after="0"/>
        <w:ind w:left="-540" w:right="-694"/>
        <w:rPr>
          <w:noProof/>
          <w:sz w:val="18"/>
        </w:rPr>
      </w:pPr>
    </w:p>
    <w:tbl>
      <w:tblPr>
        <w:tblW w:w="5000" w:type="pct"/>
        <w:tblLook w:val="04A0" w:firstRow="1" w:lastRow="0" w:firstColumn="1" w:lastColumn="0" w:noHBand="0" w:noVBand="1"/>
      </w:tblPr>
      <w:tblGrid>
        <w:gridCol w:w="1279"/>
        <w:gridCol w:w="1330"/>
        <w:gridCol w:w="616"/>
        <w:gridCol w:w="616"/>
        <w:gridCol w:w="1082"/>
        <w:gridCol w:w="616"/>
        <w:gridCol w:w="1082"/>
        <w:gridCol w:w="618"/>
        <w:gridCol w:w="1082"/>
        <w:gridCol w:w="618"/>
        <w:gridCol w:w="1082"/>
        <w:gridCol w:w="618"/>
        <w:gridCol w:w="1082"/>
        <w:gridCol w:w="768"/>
        <w:gridCol w:w="62"/>
        <w:gridCol w:w="43"/>
        <w:gridCol w:w="35"/>
        <w:gridCol w:w="933"/>
      </w:tblGrid>
      <w:tr w:rsidR="00155377" w:rsidRPr="00FE63D1">
        <w:trPr>
          <w:trHeight w:val="300"/>
        </w:trPr>
        <w:tc>
          <w:tcPr>
            <w:tcW w:w="1188" w:type="pct"/>
            <w:gridSpan w:val="3"/>
            <w:tcBorders>
              <w:top w:val="single" w:sz="8" w:space="0" w:color="auto"/>
              <w:left w:val="single" w:sz="8" w:space="0" w:color="auto"/>
              <w:bottom w:val="nil"/>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Outside HEADING 7</w:t>
            </w:r>
          </w:p>
        </w:tc>
        <w:tc>
          <w:tcPr>
            <w:tcW w:w="625"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25"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27"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27"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627" w:type="pct"/>
            <w:gridSpan w:val="2"/>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682" w:type="pct"/>
            <w:gridSpan w:val="5"/>
            <w:tcBorders>
              <w:top w:val="single" w:sz="8" w:space="0" w:color="auto"/>
              <w:left w:val="nil"/>
              <w:bottom w:val="single" w:sz="8" w:space="0" w:color="auto"/>
              <w:right w:val="single" w:sz="8" w:space="0" w:color="000000"/>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E63D1">
        <w:trPr>
          <w:trHeight w:val="444"/>
        </w:trPr>
        <w:tc>
          <w:tcPr>
            <w:tcW w:w="1188" w:type="pct"/>
            <w:gridSpan w:val="3"/>
            <w:tcBorders>
              <w:top w:val="nil"/>
              <w:left w:val="single" w:sz="8" w:space="0" w:color="auto"/>
              <w:bottom w:val="single" w:sz="8" w:space="0" w:color="auto"/>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tcBorders>
              <w:top w:val="nil"/>
              <w:left w:val="nil"/>
              <w:bottom w:val="single" w:sz="4"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83" w:type="pct"/>
            <w:tcBorders>
              <w:top w:val="nil"/>
              <w:left w:val="nil"/>
              <w:bottom w:val="single" w:sz="4" w:space="0" w:color="auto"/>
              <w:right w:val="single" w:sz="4"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9" w:type="pct"/>
            <w:gridSpan w:val="4"/>
            <w:tcBorders>
              <w:top w:val="nil"/>
              <w:left w:val="single" w:sz="4" w:space="0" w:color="auto"/>
              <w:bottom w:val="single" w:sz="4" w:space="0" w:color="auto"/>
              <w:right w:val="single" w:sz="8"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r>
      <w:tr w:rsidR="00155377" w:rsidRPr="00FE63D1">
        <w:trPr>
          <w:trHeight w:val="300"/>
        </w:trPr>
        <w:tc>
          <w:tcPr>
            <w:tcW w:w="3919" w:type="pct"/>
            <w:gridSpan w:val="12"/>
            <w:tcBorders>
              <w:top w:val="single" w:sz="8" w:space="0" w:color="auto"/>
              <w:left w:val="single" w:sz="8" w:space="0" w:color="auto"/>
              <w:bottom w:val="single" w:sz="8"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p>
        </w:tc>
        <w:tc>
          <w:tcPr>
            <w:tcW w:w="399" w:type="pct"/>
            <w:tcBorders>
              <w:top w:val="single" w:sz="4" w:space="0" w:color="auto"/>
              <w:bottom w:val="single" w:sz="4" w:space="0" w:color="auto"/>
              <w:right w:val="single" w:sz="4"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0"/>
                <w:szCs w:val="20"/>
                <w:lang w:val="en-IE" w:eastAsia="en-IE"/>
              </w:rPr>
              <w:t> </w:t>
            </w:r>
          </w:p>
        </w:tc>
        <w:tc>
          <w:tcPr>
            <w:tcW w:w="682" w:type="pct"/>
            <w:gridSpan w:val="5"/>
            <w:tcBorders>
              <w:top w:val="single" w:sz="4" w:space="0" w:color="auto"/>
              <w:bottom w:val="single" w:sz="4" w:space="0" w:color="auto"/>
              <w:right w:val="single" w:sz="4" w:space="0" w:color="auto"/>
            </w:tcBorders>
            <w:shd w:val="pct12" w:color="CCFFFF" w:fill="CCFFD3"/>
            <w:vAlign w:val="center"/>
          </w:tcPr>
          <w:p w:rsidR="00155377" w:rsidRPr="004D5323" w:rsidRDefault="00155377">
            <w:pPr>
              <w:spacing w:before="0" w:after="0"/>
              <w:jc w:val="center"/>
              <w:rPr>
                <w:rFonts w:ascii="Arial Narrow" w:eastAsia="Times New Roman" w:hAnsi="Arial Narrow"/>
                <w:b/>
                <w:bCs/>
                <w:noProof/>
                <w:color w:val="008000"/>
                <w:sz w:val="20"/>
                <w:szCs w:val="20"/>
                <w:lang w:val="en-IE" w:eastAsia="en-IE"/>
              </w:rPr>
            </w:pPr>
          </w:p>
        </w:tc>
      </w:tr>
      <w:tr w:rsidR="00155377" w:rsidRPr="00FE63D1">
        <w:trPr>
          <w:trHeight w:val="480"/>
        </w:trPr>
        <w:tc>
          <w:tcPr>
            <w:tcW w:w="961" w:type="pct"/>
            <w:gridSpan w:val="2"/>
            <w:vMerge w:val="restart"/>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01 Indirect Research</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11 Direct Research</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val="en-IE" w:eastAsia="en-IE"/>
              </w:rPr>
              <w:t>0.5</w:t>
            </w: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w:t>
            </w:r>
            <w:r>
              <w:rPr>
                <w:rFonts w:ascii="Arial Narrow" w:eastAsia="Times New Roman" w:hAnsi="Arial Narrow"/>
                <w:noProof/>
                <w:color w:val="000000"/>
                <w:sz w:val="20"/>
                <w:szCs w:val="20"/>
                <w:lang w:val="en-IE" w:eastAsia="en-IE"/>
              </w:rPr>
              <w:t>97</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.5</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w:t>
            </w:r>
            <w:r>
              <w:rPr>
                <w:rFonts w:ascii="Arial Narrow" w:eastAsia="Times New Roman" w:hAnsi="Arial Narrow"/>
                <w:b/>
                <w:bCs/>
                <w:noProof/>
                <w:color w:val="000000"/>
                <w:sz w:val="20"/>
                <w:szCs w:val="20"/>
                <w:lang w:val="en-IE" w:eastAsia="en-IE"/>
              </w:rPr>
              <w:t>97</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0.5</w:t>
            </w: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0.679</w:t>
            </w:r>
          </w:p>
        </w:tc>
      </w:tr>
      <w:tr w:rsidR="00155377" w:rsidRPr="00FE63D1">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(please specify)</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300"/>
        </w:trPr>
        <w:tc>
          <w:tcPr>
            <w:tcW w:w="961" w:type="pct"/>
            <w:gridSpan w:val="2"/>
            <w:tcBorders>
              <w:top w:val="single" w:sz="8" w:space="0" w:color="auto"/>
              <w:left w:val="single" w:sz="8" w:space="0" w:color="auto"/>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External staff</w:t>
            </w:r>
          </w:p>
        </w:tc>
        <w:tc>
          <w:tcPr>
            <w:tcW w:w="227"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27"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99"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27"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99"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28"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99"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28"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99"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228" w:type="pct"/>
            <w:tcBorders>
              <w:top w:val="nil"/>
              <w:left w:val="nil"/>
              <w:bottom w:val="single" w:sz="8" w:space="0" w:color="auto"/>
              <w:right w:val="nil"/>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399" w:type="pct"/>
            <w:tcBorders>
              <w:top w:val="single" w:sz="8" w:space="0" w:color="auto"/>
              <w:left w:val="nil"/>
              <w:bottom w:val="single" w:sz="8" w:space="0" w:color="auto"/>
              <w:right w:val="single" w:sz="4" w:space="0" w:color="auto"/>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 </w:t>
            </w:r>
          </w:p>
        </w:tc>
        <w:tc>
          <w:tcPr>
            <w:tcW w:w="682" w:type="pct"/>
            <w:gridSpan w:val="5"/>
            <w:tcBorders>
              <w:top w:val="single" w:sz="8" w:space="0" w:color="auto"/>
              <w:left w:val="nil"/>
              <w:bottom w:val="single" w:sz="8" w:space="0" w:color="auto"/>
              <w:right w:val="single" w:sz="4" w:space="0" w:color="auto"/>
            </w:tcBorders>
            <w:shd w:val="clear" w:color="000000" w:fill="FFEB9C"/>
            <w:vAlign w:val="center"/>
          </w:tcPr>
          <w:p w:rsidR="00155377" w:rsidRPr="004D5323" w:rsidRDefault="00155377">
            <w:pPr>
              <w:spacing w:before="0" w:after="0"/>
              <w:jc w:val="center"/>
              <w:rPr>
                <w:rFonts w:ascii="Arial Narrow" w:eastAsia="Times New Roman" w:hAnsi="Arial Narrow"/>
                <w:b/>
                <w:bCs/>
                <w:noProof/>
                <w:color w:val="FF0000"/>
                <w:sz w:val="22"/>
                <w:lang w:val="en-IE" w:eastAsia="en-IE"/>
              </w:rPr>
            </w:pPr>
          </w:p>
        </w:tc>
      </w:tr>
      <w:tr w:rsidR="00155377" w:rsidRPr="00FE63D1">
        <w:trPr>
          <w:trHeight w:val="480"/>
        </w:trPr>
        <w:tc>
          <w:tcPr>
            <w:tcW w:w="471"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External staff from operational appropriations</w:t>
            </w:r>
          </w:p>
        </w:tc>
        <w:tc>
          <w:tcPr>
            <w:tcW w:w="490" w:type="pct"/>
            <w:vMerge w:val="restart"/>
            <w:tcBorders>
              <w:top w:val="nil"/>
              <w:left w:val="single" w:sz="8" w:space="0" w:color="auto"/>
              <w:bottom w:val="nil"/>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at Headquarters</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71"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490" w:type="pct"/>
            <w:vMerge/>
            <w:tcBorders>
              <w:top w:val="nil"/>
              <w:left w:val="single" w:sz="8" w:space="0" w:color="auto"/>
              <w:bottom w:val="nil"/>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71"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490" w:type="pct"/>
            <w:vMerge w:val="restart"/>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in Union delegations</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71"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auto" w:fill="D6E3BC" w:themeFill="accent3" w:themeFillTint="66"/>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71"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471"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490" w:type="pct"/>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83" w:type="pct"/>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9" w:type="pct"/>
            <w:gridSpan w:val="4"/>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02 Indirect Research</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06"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76"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val="restart"/>
            <w:tcBorders>
              <w:top w:val="single" w:sz="8" w:space="0" w:color="auto"/>
              <w:left w:val="single" w:sz="8" w:space="0" w:color="auto"/>
              <w:bottom w:val="single" w:sz="4"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12 Direct research</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val="en-IE" w:eastAsia="en-IE"/>
              </w:rPr>
              <w:t>1.5</w:t>
            </w: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158</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1.5</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158</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1.5</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1.103</w:t>
            </w:r>
          </w:p>
        </w:tc>
      </w:tr>
      <w:tr w:rsidR="00155377" w:rsidRPr="00FE63D1">
        <w:trPr>
          <w:trHeight w:val="480"/>
        </w:trPr>
        <w:tc>
          <w:tcPr>
            <w:tcW w:w="961" w:type="pct"/>
            <w:gridSpan w:val="2"/>
            <w:vMerge/>
            <w:tcBorders>
              <w:top w:val="single" w:sz="8" w:space="0" w:color="auto"/>
              <w:left w:val="single" w:sz="8" w:space="0" w:color="auto"/>
              <w:bottom w:val="single" w:sz="4"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480"/>
        </w:trPr>
        <w:tc>
          <w:tcPr>
            <w:tcW w:w="961" w:type="pct"/>
            <w:gridSpan w:val="2"/>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HR related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588"/>
        </w:trPr>
        <w:tc>
          <w:tcPr>
            <w:tcW w:w="961" w:type="pct"/>
            <w:gridSpan w:val="2"/>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FE63D1">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Outside HEADING 7</w:t>
            </w:r>
          </w:p>
        </w:tc>
        <w:tc>
          <w:tcPr>
            <w:tcW w:w="22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255</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255</w:t>
            </w:r>
          </w:p>
        </w:tc>
        <w:tc>
          <w:tcPr>
            <w:tcW w:w="322"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60"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1.782</w:t>
            </w:r>
          </w:p>
        </w:tc>
      </w:tr>
      <w:tr w:rsidR="00155377" w:rsidRPr="00FE63D1">
        <w:trPr>
          <w:trHeight w:val="300"/>
        </w:trPr>
        <w:tc>
          <w:tcPr>
            <w:tcW w:w="1188" w:type="pct"/>
            <w:gridSpan w:val="3"/>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HR (all MFF Headings)</w:t>
            </w:r>
          </w:p>
        </w:tc>
        <w:tc>
          <w:tcPr>
            <w:tcW w:w="22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7"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2</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0.255</w:t>
            </w:r>
          </w:p>
        </w:tc>
        <w:tc>
          <w:tcPr>
            <w:tcW w:w="228"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noProof/>
                <w:color w:val="000000"/>
                <w:sz w:val="20"/>
                <w:szCs w:val="20"/>
                <w:lang w:val="en-IE" w:eastAsia="en-IE"/>
              </w:rPr>
              <w:t>2</w:t>
            </w:r>
          </w:p>
        </w:tc>
        <w:tc>
          <w:tcPr>
            <w:tcW w:w="399"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0.255</w:t>
            </w:r>
          </w:p>
        </w:tc>
        <w:tc>
          <w:tcPr>
            <w:tcW w:w="335" w:type="pct"/>
            <w:gridSpan w:val="4"/>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noProof/>
                <w:color w:val="000000"/>
                <w:sz w:val="20"/>
                <w:szCs w:val="20"/>
                <w:lang w:val="en-IE" w:eastAsia="en-IE"/>
              </w:rPr>
              <w:t>2</w:t>
            </w:r>
          </w:p>
        </w:tc>
        <w:tc>
          <w:tcPr>
            <w:tcW w:w="347" w:type="pct"/>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1.782</w:t>
            </w:r>
          </w:p>
        </w:tc>
      </w:tr>
    </w:tbl>
    <w:p w:rsidR="00155377" w:rsidRDefault="00155377" w:rsidP="00155377">
      <w:pPr>
        <w:pStyle w:val="Text1"/>
        <w:spacing w:before="0" w:after="0"/>
        <w:ind w:left="-540" w:right="-694"/>
        <w:rPr>
          <w:noProof/>
          <w:sz w:val="18"/>
        </w:rPr>
      </w:pPr>
    </w:p>
    <w:p w:rsidR="00537A5F" w:rsidRDefault="00155377" w:rsidP="00155377">
      <w:pPr>
        <w:pStyle w:val="Text2"/>
        <w:spacing w:before="0" w:after="0"/>
        <w:ind w:left="0"/>
        <w:jc w:val="left"/>
        <w:rPr>
          <w:rFonts w:eastAsia="Times New Roman"/>
          <w:noProof/>
          <w:color w:val="0000FF"/>
          <w:lang w:eastAsia="en-GB"/>
        </w:rPr>
      </w:pPr>
      <w:r>
        <w:rPr>
          <w:rFonts w:eastAsia="Times New Roman"/>
          <w:noProof/>
          <w:color w:val="0000FF"/>
          <w:lang w:eastAsia="en-GB"/>
        </w:rPr>
        <w:t xml:space="preserve"> </w:t>
      </w:r>
    </w:p>
    <w:p w:rsidR="00537A5F" w:rsidRDefault="00537A5F">
      <w:pPr>
        <w:spacing w:before="0" w:after="200" w:line="276" w:lineRule="auto"/>
        <w:jc w:val="left"/>
        <w:rPr>
          <w:rFonts w:eastAsia="Times New Roman"/>
          <w:noProof/>
          <w:color w:val="0000FF"/>
          <w:lang w:eastAsia="en-GB"/>
        </w:rPr>
      </w:pPr>
      <w:r>
        <w:rPr>
          <w:rFonts w:eastAsia="Times New Roman"/>
          <w:noProof/>
          <w:color w:val="0000FF"/>
          <w:lang w:eastAsia="en-GB"/>
        </w:rPr>
        <w:br w:type="page"/>
      </w:r>
    </w:p>
    <w:p w:rsidR="00155377" w:rsidRDefault="00155377" w:rsidP="00155377">
      <w:pPr>
        <w:pStyle w:val="Text2"/>
        <w:spacing w:before="0" w:after="0"/>
        <w:ind w:left="0"/>
        <w:jc w:val="left"/>
        <w:rPr>
          <w:i/>
          <w:iCs/>
          <w:noProof/>
          <w:szCs w:val="24"/>
        </w:rPr>
      </w:pPr>
      <w:r>
        <w:rPr>
          <w:rFonts w:eastAsia="Times New Roman"/>
          <w:noProof/>
          <w:color w:val="0000FF"/>
          <w:lang w:eastAsia="en-GB"/>
        </w:rPr>
        <w:t xml:space="preserve"> </w:t>
      </w:r>
      <w:r>
        <w:rPr>
          <w:i/>
          <w:iCs/>
          <w:noProof/>
          <w:szCs w:val="24"/>
        </w:rPr>
        <w:t xml:space="preserve">1.1.3 Total </w:t>
      </w:r>
    </w:p>
    <w:p w:rsidR="00155377" w:rsidRPr="00FE63D1" w:rsidRDefault="00155377" w:rsidP="00155377">
      <w:pPr>
        <w:pStyle w:val="Text1"/>
        <w:spacing w:before="60" w:after="0"/>
        <w:ind w:left="360"/>
        <w:rPr>
          <w:i/>
          <w:iCs/>
          <w:noProof/>
          <w:sz w:val="28"/>
          <w:szCs w:val="24"/>
        </w:rPr>
      </w:pPr>
    </w:p>
    <w:tbl>
      <w:tblPr>
        <w:tblW w:w="5000" w:type="pct"/>
        <w:tblLook w:val="04A0" w:firstRow="1" w:lastRow="0" w:firstColumn="1" w:lastColumn="0" w:noHBand="0" w:noVBand="1"/>
      </w:tblPr>
      <w:tblGrid>
        <w:gridCol w:w="1257"/>
        <w:gridCol w:w="375"/>
        <w:gridCol w:w="829"/>
        <w:gridCol w:w="164"/>
        <w:gridCol w:w="623"/>
        <w:gridCol w:w="41"/>
        <w:gridCol w:w="640"/>
        <w:gridCol w:w="383"/>
        <w:gridCol w:w="680"/>
        <w:gridCol w:w="75"/>
        <w:gridCol w:w="540"/>
        <w:gridCol w:w="524"/>
        <w:gridCol w:w="539"/>
        <w:gridCol w:w="173"/>
        <w:gridCol w:w="424"/>
        <w:gridCol w:w="640"/>
        <w:gridCol w:w="423"/>
        <w:gridCol w:w="289"/>
        <w:gridCol w:w="288"/>
        <w:gridCol w:w="776"/>
        <w:gridCol w:w="287"/>
        <w:gridCol w:w="406"/>
        <w:gridCol w:w="153"/>
        <w:gridCol w:w="1009"/>
        <w:gridCol w:w="54"/>
        <w:gridCol w:w="805"/>
        <w:gridCol w:w="81"/>
        <w:gridCol w:w="19"/>
        <w:gridCol w:w="20"/>
        <w:gridCol w:w="12"/>
        <w:gridCol w:w="25"/>
        <w:gridCol w:w="1008"/>
      </w:tblGrid>
      <w:tr w:rsidR="00155377" w:rsidRPr="007C1C15" w:rsidTr="00537A5F">
        <w:trPr>
          <w:trHeight w:val="432"/>
        </w:trPr>
        <w:tc>
          <w:tcPr>
            <w:tcW w:w="908" w:type="pct"/>
            <w:gridSpan w:val="3"/>
            <w:tcBorders>
              <w:top w:val="single" w:sz="8" w:space="0" w:color="auto"/>
              <w:left w:val="single" w:sz="8" w:space="0" w:color="auto"/>
              <w:bottom w:val="nil"/>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HEADING 7</w:t>
            </w:r>
          </w:p>
        </w:tc>
        <w:tc>
          <w:tcPr>
            <w:tcW w:w="683" w:type="pct"/>
            <w:gridSpan w:val="5"/>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71"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55"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55"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683"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744" w:type="pct"/>
            <w:gridSpan w:val="8"/>
            <w:tcBorders>
              <w:top w:val="single" w:sz="8" w:space="0" w:color="auto"/>
              <w:left w:val="nil"/>
              <w:bottom w:val="single" w:sz="8" w:space="0" w:color="auto"/>
              <w:right w:val="single" w:sz="8" w:space="0" w:color="000000"/>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7C1C15" w:rsidTr="00537A5F">
        <w:trPr>
          <w:trHeight w:val="564"/>
        </w:trPr>
        <w:tc>
          <w:tcPr>
            <w:tcW w:w="908" w:type="pct"/>
            <w:gridSpan w:val="3"/>
            <w:tcBorders>
              <w:top w:val="nil"/>
              <w:left w:val="single" w:sz="8" w:space="0" w:color="auto"/>
              <w:bottom w:val="single" w:sz="8" w:space="0" w:color="auto"/>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91"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3"/>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79"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3"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63"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56"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427"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c>
          <w:tcPr>
            <w:tcW w:w="317" w:type="pct"/>
            <w:gridSpan w:val="2"/>
            <w:tcBorders>
              <w:top w:val="nil"/>
              <w:left w:val="nil"/>
              <w:bottom w:val="single" w:sz="8" w:space="0" w:color="auto"/>
              <w:right w:val="single" w:sz="4" w:space="0" w:color="auto"/>
            </w:tcBorders>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FTE</w:t>
            </w:r>
          </w:p>
        </w:tc>
        <w:tc>
          <w:tcPr>
            <w:tcW w:w="427" w:type="pct"/>
            <w:gridSpan w:val="6"/>
            <w:tcBorders>
              <w:top w:val="nil"/>
              <w:left w:val="single" w:sz="4" w:space="0" w:color="auto"/>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16"/>
                <w:szCs w:val="16"/>
                <w:lang w:val="en-IE" w:eastAsia="en-IE"/>
              </w:rPr>
            </w:pPr>
            <w:r w:rsidRPr="004D5323">
              <w:rPr>
                <w:rFonts w:ascii="Arial Narrow" w:eastAsia="Times New Roman" w:hAnsi="Arial Narrow"/>
                <w:b/>
                <w:bCs/>
                <w:noProof/>
                <w:color w:val="000000"/>
                <w:sz w:val="16"/>
                <w:szCs w:val="16"/>
                <w:lang w:val="en-IE" w:eastAsia="en-IE"/>
              </w:rPr>
              <w:t>Appropriations</w:t>
            </w:r>
          </w:p>
        </w:tc>
      </w:tr>
      <w:tr w:rsidR="00155377" w:rsidRPr="007C1C15" w:rsidTr="00537A5F">
        <w:trPr>
          <w:trHeight w:val="300"/>
        </w:trPr>
        <w:tc>
          <w:tcPr>
            <w:tcW w:w="4256" w:type="pct"/>
            <w:gridSpan w:val="24"/>
            <w:tcBorders>
              <w:top w:val="single" w:sz="8" w:space="0" w:color="auto"/>
              <w:left w:val="single" w:sz="8" w:space="0" w:color="auto"/>
              <w:bottom w:val="single" w:sz="8" w:space="0" w:color="auto"/>
              <w:right w:val="single" w:sz="4"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p>
        </w:tc>
        <w:tc>
          <w:tcPr>
            <w:tcW w:w="744" w:type="pct"/>
            <w:gridSpan w:val="8"/>
            <w:tcBorders>
              <w:top w:val="single" w:sz="8" w:space="0" w:color="auto"/>
              <w:left w:val="single" w:sz="8" w:space="0" w:color="auto"/>
              <w:bottom w:val="single" w:sz="8" w:space="0" w:color="auto"/>
              <w:right w:val="single" w:sz="4" w:space="0" w:color="auto"/>
            </w:tcBorders>
            <w:shd w:val="pct12" w:color="CCFFFF" w:fill="CCFFD3"/>
            <w:vAlign w:val="center"/>
          </w:tcPr>
          <w:p w:rsidR="00155377" w:rsidRPr="004D5323" w:rsidRDefault="00155377">
            <w:pPr>
              <w:spacing w:before="0" w:after="0"/>
              <w:jc w:val="center"/>
              <w:rPr>
                <w:rFonts w:ascii="Arial Narrow" w:eastAsia="Times New Roman" w:hAnsi="Arial Narrow"/>
                <w:b/>
                <w:bCs/>
                <w:noProof/>
                <w:color w:val="008000"/>
                <w:sz w:val="22"/>
                <w:lang w:val="en-IE" w:eastAsia="en-IE"/>
              </w:rPr>
            </w:pPr>
          </w:p>
        </w:tc>
      </w:tr>
      <w:tr w:rsidR="00537A5F" w:rsidRPr="007C1C15" w:rsidTr="00537A5F">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01 - Headquarters and Representation offices</w:t>
            </w: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1</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w:t>
            </w:r>
            <w:r w:rsidR="00A416DB">
              <w:rPr>
                <w:rFonts w:ascii="Arial Narrow" w:hAnsi="Arial Narrow" w:cs="Calibri"/>
                <w:noProof/>
                <w:color w:val="000000"/>
                <w:sz w:val="20"/>
                <w:szCs w:val="20"/>
              </w:rPr>
              <w:t>.</w:t>
            </w:r>
            <w:r>
              <w:rPr>
                <w:rFonts w:ascii="Arial Narrow" w:hAnsi="Arial Narrow" w:cs="Calibri"/>
                <w:noProof/>
                <w:color w:val="000000"/>
                <w:sz w:val="20"/>
                <w:szCs w:val="20"/>
              </w:rPr>
              <w:t>194</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1</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194</w:t>
            </w:r>
          </w:p>
        </w:tc>
        <w:tc>
          <w:tcPr>
            <w:tcW w:w="317"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1</w:t>
            </w: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1</w:t>
            </w:r>
            <w:r w:rsidR="00A416DB">
              <w:rPr>
                <w:rFonts w:ascii="Arial Narrow" w:hAnsi="Arial Narrow" w:cs="Calibri"/>
                <w:noProof/>
                <w:color w:val="000000"/>
                <w:sz w:val="20"/>
                <w:szCs w:val="20"/>
              </w:rPr>
              <w:t>.</w:t>
            </w:r>
            <w:r>
              <w:rPr>
                <w:rFonts w:ascii="Arial Narrow" w:hAnsi="Arial Narrow" w:cs="Calibri"/>
                <w:noProof/>
                <w:color w:val="000000"/>
                <w:sz w:val="20"/>
                <w:szCs w:val="20"/>
              </w:rPr>
              <w:t>358</w:t>
            </w:r>
          </w:p>
        </w:tc>
      </w:tr>
      <w:tr w:rsidR="00537A5F" w:rsidRPr="007C1C15" w:rsidTr="00537A5F">
        <w:trPr>
          <w:trHeight w:val="480"/>
        </w:trPr>
        <w:tc>
          <w:tcPr>
            <w:tcW w:w="602" w:type="pct"/>
            <w:gridSpan w:val="2"/>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7"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01 02 03 - Union Delegations</w:t>
            </w: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17" w:type="pct"/>
            <w:gridSpan w:val="2"/>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427" w:type="pct"/>
            <w:gridSpan w:val="6"/>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7C1C15" w:rsidTr="00537A5F">
        <w:trPr>
          <w:trHeight w:val="300"/>
        </w:trPr>
        <w:tc>
          <w:tcPr>
            <w:tcW w:w="4256" w:type="pct"/>
            <w:gridSpan w:val="24"/>
            <w:tcBorders>
              <w:top w:val="single" w:sz="8" w:space="0" w:color="auto"/>
              <w:left w:val="single" w:sz="8" w:space="0" w:color="auto"/>
              <w:bottom w:val="single" w:sz="8" w:space="0" w:color="auto"/>
              <w:right w:val="single" w:sz="4" w:space="0" w:color="auto"/>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External staff</w:t>
            </w:r>
          </w:p>
        </w:tc>
        <w:tc>
          <w:tcPr>
            <w:tcW w:w="744" w:type="pct"/>
            <w:gridSpan w:val="8"/>
            <w:tcBorders>
              <w:top w:val="single" w:sz="8" w:space="0" w:color="auto"/>
              <w:left w:val="single" w:sz="8" w:space="0" w:color="auto"/>
              <w:bottom w:val="single" w:sz="8" w:space="0" w:color="auto"/>
              <w:right w:val="single" w:sz="4" w:space="0" w:color="auto"/>
            </w:tcBorders>
            <w:shd w:val="clear" w:color="000000" w:fill="FFEB9C"/>
            <w:vAlign w:val="center"/>
          </w:tcPr>
          <w:p w:rsidR="00155377" w:rsidRPr="004D5323" w:rsidRDefault="00155377">
            <w:pPr>
              <w:spacing w:before="0" w:after="0"/>
              <w:jc w:val="center"/>
              <w:rPr>
                <w:rFonts w:ascii="Arial Narrow" w:eastAsia="Times New Roman" w:hAnsi="Arial Narrow"/>
                <w:b/>
                <w:bCs/>
                <w:noProof/>
                <w:color w:val="FF0000"/>
                <w:sz w:val="22"/>
                <w:lang w:val="en-IE" w:eastAsia="en-IE"/>
              </w:rPr>
            </w:pPr>
          </w:p>
        </w:tc>
      </w:tr>
      <w:tr w:rsidR="00537A5F" w:rsidRPr="007C1C15" w:rsidTr="00537A5F">
        <w:trPr>
          <w:trHeight w:val="732"/>
        </w:trPr>
        <w:tc>
          <w:tcPr>
            <w:tcW w:w="602" w:type="pct"/>
            <w:gridSpan w:val="2"/>
            <w:vMerge w:val="restart"/>
            <w:tcBorders>
              <w:top w:val="nil"/>
              <w:left w:val="single" w:sz="8" w:space="0" w:color="auto"/>
              <w:bottom w:val="nil"/>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01 and 20 02 02 – External personnel – Headquarters and Representation offices</w:t>
            </w: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w:t>
            </w:r>
            <w:r w:rsidR="00A416DB">
              <w:rPr>
                <w:rFonts w:ascii="Arial Narrow" w:hAnsi="Arial Narrow" w:cs="Calibri"/>
                <w:noProof/>
                <w:color w:val="000000"/>
                <w:sz w:val="20"/>
                <w:szCs w:val="20"/>
              </w:rPr>
              <w:t>.</w:t>
            </w:r>
            <w:r>
              <w:rPr>
                <w:rFonts w:ascii="Arial Narrow" w:hAnsi="Arial Narrow" w:cs="Calibri"/>
                <w:noProof/>
                <w:color w:val="000000"/>
                <w:sz w:val="20"/>
                <w:szCs w:val="20"/>
              </w:rPr>
              <w:t>210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2</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210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2</w:t>
            </w: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1</w:t>
            </w:r>
            <w:r w:rsidR="00A416DB">
              <w:rPr>
                <w:rFonts w:ascii="Arial Narrow" w:hAnsi="Arial Narrow" w:cs="Calibri"/>
                <w:noProof/>
                <w:color w:val="000000"/>
                <w:sz w:val="20"/>
                <w:szCs w:val="20"/>
              </w:rPr>
              <w:t>.</w:t>
            </w:r>
            <w:r>
              <w:rPr>
                <w:rFonts w:ascii="Arial Narrow" w:hAnsi="Arial Narrow" w:cs="Calibri"/>
                <w:noProof/>
                <w:color w:val="000000"/>
                <w:sz w:val="20"/>
                <w:szCs w:val="20"/>
              </w:rPr>
              <w:t>470</w:t>
            </w:r>
          </w:p>
        </w:tc>
      </w:tr>
      <w:tr w:rsidR="00537A5F" w:rsidRPr="007C1C15" w:rsidTr="00537A5F">
        <w:trPr>
          <w:trHeight w:val="732"/>
        </w:trPr>
        <w:tc>
          <w:tcPr>
            <w:tcW w:w="602" w:type="pct"/>
            <w:gridSpan w:val="2"/>
            <w:vMerge/>
            <w:tcBorders>
              <w:top w:val="nil"/>
              <w:left w:val="single" w:sz="8" w:space="0" w:color="auto"/>
              <w:bottom w:val="nil"/>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val="restart"/>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03 – External personnel - Union Delegations</w:t>
            </w: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602" w:type="pct"/>
            <w:gridSpan w:val="2"/>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HR related budget lines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300"/>
        </w:trPr>
        <w:tc>
          <w:tcPr>
            <w:tcW w:w="602" w:type="pct"/>
            <w:gridSpan w:val="2"/>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30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47" w:type="pct"/>
            <w:gridSpan w:val="3"/>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7" w:type="pct"/>
            <w:gridSpan w:val="5"/>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300"/>
        </w:trPr>
        <w:tc>
          <w:tcPr>
            <w:tcW w:w="908" w:type="pct"/>
            <w:gridSpan w:val="3"/>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HEADING 7</w:t>
            </w:r>
          </w:p>
        </w:tc>
        <w:tc>
          <w:tcPr>
            <w:tcW w:w="291"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3"/>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79"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6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25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eastAsia="en-IE"/>
              </w:rPr>
              <w:t>3</w:t>
            </w:r>
          </w:p>
        </w:tc>
        <w:tc>
          <w:tcPr>
            <w:tcW w:w="4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365" w:type="pct"/>
            <w:gridSpan w:val="6"/>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3</w:t>
            </w:r>
          </w:p>
        </w:tc>
        <w:tc>
          <w:tcPr>
            <w:tcW w:w="379" w:type="pct"/>
            <w:gridSpan w:val="2"/>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2</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828</w:t>
            </w:r>
          </w:p>
        </w:tc>
      </w:tr>
      <w:tr w:rsidR="00155377" w:rsidRPr="007C1C15" w:rsidTr="00537A5F">
        <w:trPr>
          <w:trHeight w:val="300"/>
        </w:trPr>
        <w:tc>
          <w:tcPr>
            <w:tcW w:w="1214" w:type="pct"/>
            <w:gridSpan w:val="6"/>
            <w:tcBorders>
              <w:top w:val="single" w:sz="8" w:space="0" w:color="auto"/>
              <w:left w:val="single" w:sz="8" w:space="0" w:color="auto"/>
              <w:bottom w:val="nil"/>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Outside HEADING 7</w:t>
            </w:r>
          </w:p>
        </w:tc>
        <w:tc>
          <w:tcPr>
            <w:tcW w:w="627" w:type="pct"/>
            <w:gridSpan w:val="3"/>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619"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612"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605"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598" w:type="pct"/>
            <w:gridSpan w:val="4"/>
            <w:tcBorders>
              <w:top w:val="single" w:sz="8" w:space="0" w:color="auto"/>
              <w:left w:val="nil"/>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 2021-2027</w:t>
            </w:r>
          </w:p>
        </w:tc>
        <w:tc>
          <w:tcPr>
            <w:tcW w:w="726" w:type="pct"/>
            <w:gridSpan w:val="7"/>
            <w:tcBorders>
              <w:top w:val="single" w:sz="8" w:space="0" w:color="auto"/>
              <w:left w:val="nil"/>
              <w:bottom w:val="single" w:sz="8" w:space="0" w:color="auto"/>
              <w:right w:val="single" w:sz="8" w:space="0" w:color="000000"/>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7C1C15" w:rsidTr="00537A5F">
        <w:trPr>
          <w:trHeight w:val="300"/>
        </w:trPr>
        <w:tc>
          <w:tcPr>
            <w:tcW w:w="1214" w:type="pct"/>
            <w:gridSpan w:val="6"/>
            <w:tcBorders>
              <w:top w:val="nil"/>
              <w:left w:val="single" w:sz="8" w:space="0" w:color="auto"/>
              <w:bottom w:val="single" w:sz="8" w:space="0" w:color="auto"/>
              <w:right w:val="single" w:sz="8" w:space="0" w:color="000000"/>
            </w:tcBorders>
            <w:shd w:val="pct50" w:color="C0C0C0" w:fill="D2D2D2"/>
            <w:vAlign w:val="center"/>
            <w:hideMark/>
          </w:tcPr>
          <w:p w:rsidR="00155377" w:rsidRPr="004D5323" w:rsidRDefault="00155377">
            <w:pPr>
              <w:spacing w:before="0" w:after="0"/>
              <w:jc w:val="center"/>
              <w:rPr>
                <w:rFonts w:ascii="Arial Narrow" w:eastAsia="Times New Roman" w:hAnsi="Arial Narrow"/>
                <w:noProof/>
                <w:color w:val="000000"/>
                <w:lang w:val="en-IE" w:eastAsia="en-IE"/>
              </w:rPr>
            </w:pPr>
            <w:r w:rsidRPr="004D5323">
              <w:rPr>
                <w:rFonts w:ascii="Arial Narrow" w:eastAsia="Times New Roman" w:hAnsi="Arial Narrow"/>
                <w:noProof/>
                <w:color w:val="000000"/>
                <w:sz w:val="22"/>
                <w:lang w:val="en-IE" w:eastAsia="en-IE"/>
              </w:rPr>
              <w:t>of the multiannual financial framework</w:t>
            </w:r>
          </w:p>
        </w:tc>
        <w:tc>
          <w:tcPr>
            <w:tcW w:w="236"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7"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20"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13"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206"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c>
          <w:tcPr>
            <w:tcW w:w="334" w:type="pct"/>
            <w:gridSpan w:val="3"/>
            <w:tcBorders>
              <w:top w:val="nil"/>
              <w:left w:val="nil"/>
              <w:bottom w:val="single" w:sz="8" w:space="0" w:color="auto"/>
              <w:right w:val="single" w:sz="4"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FTE</w:t>
            </w:r>
          </w:p>
        </w:tc>
        <w:tc>
          <w:tcPr>
            <w:tcW w:w="392" w:type="pct"/>
            <w:gridSpan w:val="4"/>
            <w:tcBorders>
              <w:top w:val="nil"/>
              <w:left w:val="single" w:sz="4" w:space="0" w:color="auto"/>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noProof/>
                <w:color w:val="000000"/>
                <w:sz w:val="16"/>
                <w:szCs w:val="16"/>
                <w:lang w:val="en-IE" w:eastAsia="en-IE"/>
              </w:rPr>
            </w:pPr>
            <w:r w:rsidRPr="004D5323">
              <w:rPr>
                <w:rFonts w:ascii="Arial Narrow" w:eastAsia="Times New Roman" w:hAnsi="Arial Narrow"/>
                <w:noProof/>
                <w:color w:val="000000"/>
                <w:sz w:val="16"/>
                <w:szCs w:val="16"/>
                <w:lang w:val="en-IE" w:eastAsia="en-IE"/>
              </w:rPr>
              <w:t>Appropriations</w:t>
            </w:r>
          </w:p>
        </w:tc>
      </w:tr>
      <w:tr w:rsidR="00155377" w:rsidRPr="007C1C15" w:rsidTr="00537A5F">
        <w:trPr>
          <w:trHeight w:val="300"/>
        </w:trPr>
        <w:tc>
          <w:tcPr>
            <w:tcW w:w="4274" w:type="pct"/>
            <w:gridSpan w:val="25"/>
            <w:tcBorders>
              <w:top w:val="single" w:sz="8" w:space="0" w:color="auto"/>
              <w:left w:val="single" w:sz="8" w:space="0" w:color="auto"/>
              <w:bottom w:val="single" w:sz="8" w:space="0" w:color="auto"/>
              <w:right w:val="single" w:sz="4" w:space="0" w:color="auto"/>
            </w:tcBorders>
            <w:shd w:val="pct12" w:color="CCFFFF" w:fill="CCFFD3"/>
            <w:vAlign w:val="center"/>
            <w:hideMark/>
          </w:tcPr>
          <w:p w:rsidR="00155377" w:rsidRPr="004D5323" w:rsidRDefault="00155377">
            <w:pPr>
              <w:spacing w:before="0" w:after="0"/>
              <w:jc w:val="left"/>
              <w:rPr>
                <w:rFonts w:ascii="Arial Narrow" w:eastAsia="Times New Roman" w:hAnsi="Arial Narrow"/>
                <w:b/>
                <w:bCs/>
                <w:noProof/>
                <w:color w:val="008000"/>
                <w:sz w:val="20"/>
                <w:szCs w:val="20"/>
                <w:lang w:val="en-IE" w:eastAsia="en-IE"/>
              </w:rPr>
            </w:pPr>
            <w:r w:rsidRPr="004D5323">
              <w:rPr>
                <w:rFonts w:ascii="Arial Narrow" w:eastAsia="Times New Roman" w:hAnsi="Arial Narrow"/>
                <w:b/>
                <w:bCs/>
                <w:noProof/>
                <w:color w:val="008000"/>
                <w:sz w:val="22"/>
                <w:lang w:val="en-IE" w:eastAsia="en-IE"/>
              </w:rPr>
              <w:t>Establishment plan posts (officials and temporary staff)</w:t>
            </w:r>
          </w:p>
        </w:tc>
        <w:tc>
          <w:tcPr>
            <w:tcW w:w="726" w:type="pct"/>
            <w:gridSpan w:val="7"/>
            <w:tcBorders>
              <w:top w:val="single" w:sz="8" w:space="0" w:color="auto"/>
              <w:left w:val="single" w:sz="8" w:space="0" w:color="auto"/>
              <w:bottom w:val="single" w:sz="8" w:space="0" w:color="auto"/>
              <w:right w:val="single" w:sz="4" w:space="0" w:color="auto"/>
            </w:tcBorders>
            <w:shd w:val="pct12" w:color="CCFFFF" w:fill="CCFFD3"/>
          </w:tcPr>
          <w:p w:rsidR="00155377" w:rsidRPr="004D5323" w:rsidRDefault="00155377">
            <w:pPr>
              <w:spacing w:before="0" w:after="0"/>
              <w:jc w:val="left"/>
              <w:rPr>
                <w:rFonts w:ascii="Arial Narrow" w:eastAsia="Times New Roman" w:hAnsi="Arial Narrow"/>
                <w:b/>
                <w:bCs/>
                <w:noProof/>
                <w:color w:val="008000"/>
                <w:sz w:val="22"/>
                <w:lang w:val="en-IE" w:eastAsia="en-IE"/>
              </w:rPr>
            </w:pPr>
          </w:p>
        </w:tc>
      </w:tr>
      <w:tr w:rsidR="00537A5F" w:rsidRPr="007C1C15" w:rsidTr="00537A5F">
        <w:trPr>
          <w:trHeight w:val="480"/>
        </w:trPr>
        <w:tc>
          <w:tcPr>
            <w:tcW w:w="969" w:type="pct"/>
            <w:gridSpan w:val="4"/>
            <w:vMerge w:val="restart"/>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01 Indirect Research</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tcBorders>
              <w:top w:val="nil"/>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11 Direct Research</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097</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097</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0.5</w:t>
            </w: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0.679</w:t>
            </w:r>
          </w:p>
        </w:tc>
      </w:tr>
      <w:tr w:rsidR="00537A5F" w:rsidRPr="007C1C15" w:rsidTr="00537A5F">
        <w:trPr>
          <w:trHeight w:val="480"/>
        </w:trPr>
        <w:tc>
          <w:tcPr>
            <w:tcW w:w="969" w:type="pct"/>
            <w:gridSpan w:val="4"/>
            <w:vMerge/>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val="restart"/>
            <w:tcBorders>
              <w:top w:val="single" w:sz="8" w:space="0" w:color="auto"/>
              <w:left w:val="single" w:sz="8" w:space="0" w:color="auto"/>
              <w:bottom w:val="single" w:sz="8" w:space="0" w:color="000000"/>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(please specify)</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AST</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54" w:type="pct"/>
            <w:gridSpan w:val="6"/>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71" w:type="pct"/>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7C1C15" w:rsidTr="00537A5F">
        <w:trPr>
          <w:trHeight w:val="300"/>
        </w:trPr>
        <w:tc>
          <w:tcPr>
            <w:tcW w:w="4274" w:type="pct"/>
            <w:gridSpan w:val="25"/>
            <w:tcBorders>
              <w:top w:val="single" w:sz="8" w:space="0" w:color="auto"/>
              <w:left w:val="single" w:sz="8" w:space="0" w:color="auto"/>
              <w:bottom w:val="single" w:sz="8" w:space="0" w:color="auto"/>
              <w:right w:val="single" w:sz="4" w:space="0" w:color="auto"/>
            </w:tcBorders>
            <w:shd w:val="clear" w:color="000000" w:fill="FFEB9C"/>
            <w:noWrap/>
            <w:vAlign w:val="bottom"/>
            <w:hideMark/>
          </w:tcPr>
          <w:p w:rsidR="00155377" w:rsidRPr="004D5323" w:rsidRDefault="00155377">
            <w:pPr>
              <w:spacing w:before="0" w:after="0"/>
              <w:jc w:val="left"/>
              <w:rPr>
                <w:rFonts w:ascii="Arial Narrow" w:eastAsia="Times New Roman" w:hAnsi="Arial Narrow"/>
                <w:b/>
                <w:bCs/>
                <w:noProof/>
                <w:color w:val="FF0000"/>
                <w:lang w:val="en-IE" w:eastAsia="en-IE"/>
              </w:rPr>
            </w:pPr>
            <w:r w:rsidRPr="004D5323">
              <w:rPr>
                <w:rFonts w:ascii="Arial Narrow" w:eastAsia="Times New Roman" w:hAnsi="Arial Narrow"/>
                <w:b/>
                <w:bCs/>
                <w:noProof/>
                <w:color w:val="FF0000"/>
                <w:sz w:val="22"/>
                <w:lang w:val="en-IE" w:eastAsia="en-IE"/>
              </w:rPr>
              <w:t>External staff</w:t>
            </w:r>
          </w:p>
        </w:tc>
        <w:tc>
          <w:tcPr>
            <w:tcW w:w="726" w:type="pct"/>
            <w:gridSpan w:val="7"/>
            <w:tcBorders>
              <w:top w:val="single" w:sz="8" w:space="0" w:color="auto"/>
              <w:left w:val="single" w:sz="8" w:space="0" w:color="auto"/>
              <w:bottom w:val="single" w:sz="8" w:space="0" w:color="auto"/>
              <w:right w:val="single" w:sz="4" w:space="0" w:color="auto"/>
            </w:tcBorders>
            <w:shd w:val="clear" w:color="000000" w:fill="FFEB9C"/>
          </w:tcPr>
          <w:p w:rsidR="00155377" w:rsidRPr="004D5323" w:rsidRDefault="00155377">
            <w:pPr>
              <w:spacing w:before="0" w:after="0"/>
              <w:jc w:val="left"/>
              <w:rPr>
                <w:rFonts w:ascii="Arial Narrow" w:eastAsia="Times New Roman" w:hAnsi="Arial Narrow"/>
                <w:b/>
                <w:bCs/>
                <w:noProof/>
                <w:color w:val="FF0000"/>
                <w:sz w:val="22"/>
                <w:lang w:val="en-IE" w:eastAsia="en-IE"/>
              </w:rPr>
            </w:pPr>
          </w:p>
        </w:tc>
      </w:tr>
      <w:tr w:rsidR="00537A5F" w:rsidRPr="007C1C15" w:rsidTr="00537A5F">
        <w:trPr>
          <w:trHeight w:val="480"/>
        </w:trPr>
        <w:tc>
          <w:tcPr>
            <w:tcW w:w="463" w:type="pct"/>
            <w:vMerge w:val="restart"/>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External staff from operational appropriations</w:t>
            </w:r>
          </w:p>
        </w:tc>
        <w:tc>
          <w:tcPr>
            <w:tcW w:w="506" w:type="pct"/>
            <w:gridSpan w:val="3"/>
            <w:vMerge w:val="restart"/>
            <w:tcBorders>
              <w:top w:val="nil"/>
              <w:left w:val="single" w:sz="8" w:space="0" w:color="auto"/>
              <w:bottom w:val="nil"/>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at Headquarters</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463"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6" w:type="pct"/>
            <w:gridSpan w:val="3"/>
            <w:vMerge/>
            <w:tcBorders>
              <w:top w:val="nil"/>
              <w:left w:val="single" w:sz="8" w:space="0" w:color="auto"/>
              <w:bottom w:val="nil"/>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463"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6" w:type="pct"/>
            <w:gridSpan w:val="3"/>
            <w:vMerge w:val="restart"/>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in Union delegations</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463"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 xml:space="preserve">AL </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463"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463" w:type="pct"/>
            <w:vMerge/>
            <w:tcBorders>
              <w:top w:val="nil"/>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506" w:type="pct"/>
            <w:gridSpan w:val="3"/>
            <w:vMerge/>
            <w:tcBorders>
              <w:top w:val="single" w:sz="8" w:space="0" w:color="auto"/>
              <w:left w:val="single" w:sz="8" w:space="0" w:color="auto"/>
              <w:bottom w:val="single" w:sz="8" w:space="0" w:color="000000"/>
              <w:right w:val="single" w:sz="8" w:space="0" w:color="auto"/>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JPD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02 Indirect Research</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01 01 01 12 Direct research</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eastAsia="Times New Roman" w:hAnsi="Arial Narrow"/>
                <w:noProof/>
                <w:color w:val="000000"/>
                <w:sz w:val="20"/>
                <w:szCs w:val="20"/>
                <w:lang w:val="en-IE" w:eastAsia="en-IE"/>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r>
              <w:rPr>
                <w:rFonts w:ascii="Arial Narrow" w:eastAsia="Times New Roman" w:hAnsi="Arial Narrow"/>
                <w:noProof/>
                <w:color w:val="000000"/>
                <w:sz w:val="20"/>
                <w:szCs w:val="20"/>
                <w:lang w:val="en-IE" w:eastAsia="en-IE"/>
              </w:rPr>
              <w:t>158</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158</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1.5</w:t>
            </w: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1.103</w:t>
            </w:r>
          </w:p>
        </w:tc>
      </w:tr>
      <w:tr w:rsidR="00537A5F" w:rsidRPr="007C1C15" w:rsidTr="00537A5F">
        <w:trPr>
          <w:trHeight w:val="480"/>
        </w:trPr>
        <w:tc>
          <w:tcPr>
            <w:tcW w:w="969" w:type="pct"/>
            <w:gridSpan w:val="4"/>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480"/>
        </w:trPr>
        <w:tc>
          <w:tcPr>
            <w:tcW w:w="969" w:type="pct"/>
            <w:gridSpan w:val="4"/>
            <w:vMerge w:val="restart"/>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HR related (</w:t>
            </w:r>
            <w:r w:rsidRPr="004D5323">
              <w:rPr>
                <w:rFonts w:ascii="Arial Narrow" w:eastAsia="Times New Roman" w:hAnsi="Arial Narrow"/>
                <w:i/>
                <w:iCs/>
                <w:noProof/>
                <w:color w:val="000000"/>
                <w:sz w:val="20"/>
                <w:szCs w:val="20"/>
                <w:lang w:val="en-IE" w:eastAsia="en-IE"/>
              </w:rPr>
              <w:t>specify</w:t>
            </w:r>
            <w:r w:rsidRPr="004D5323">
              <w:rPr>
                <w:rFonts w:ascii="Arial Narrow" w:eastAsia="Times New Roman" w:hAnsi="Arial Narrow"/>
                <w:noProof/>
                <w:color w:val="000000"/>
                <w:sz w:val="20"/>
                <w:szCs w:val="20"/>
                <w:lang w:val="en-IE" w:eastAsia="en-IE"/>
              </w:rPr>
              <w:t>)</w:t>
            </w: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AC</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672"/>
        </w:trPr>
        <w:tc>
          <w:tcPr>
            <w:tcW w:w="969" w:type="pct"/>
            <w:gridSpan w:val="4"/>
            <w:vMerge/>
            <w:tcBorders>
              <w:top w:val="single" w:sz="8" w:space="0" w:color="auto"/>
              <w:left w:val="single" w:sz="8" w:space="0" w:color="auto"/>
              <w:bottom w:val="nil"/>
              <w:right w:val="single" w:sz="8" w:space="0" w:color="000000"/>
            </w:tcBorders>
            <w:vAlign w:val="center"/>
            <w:hideMark/>
          </w:tcPr>
          <w:p w:rsidR="00155377" w:rsidRPr="004D5323" w:rsidRDefault="00155377">
            <w:pPr>
              <w:spacing w:before="0" w:after="0"/>
              <w:jc w:val="left"/>
              <w:rPr>
                <w:rFonts w:ascii="Arial Narrow" w:eastAsia="Times New Roman" w:hAnsi="Arial Narrow"/>
                <w:noProof/>
                <w:color w:val="000000"/>
                <w:sz w:val="20"/>
                <w:szCs w:val="20"/>
                <w:lang w:val="en-IE" w:eastAsia="en-IE"/>
              </w:rPr>
            </w:pPr>
          </w:p>
        </w:tc>
        <w:tc>
          <w:tcPr>
            <w:tcW w:w="244" w:type="pct"/>
            <w:gridSpan w:val="2"/>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18"/>
                <w:szCs w:val="18"/>
                <w:lang w:val="en-IE" w:eastAsia="en-IE"/>
              </w:rPr>
            </w:pPr>
            <w:r w:rsidRPr="004D5323">
              <w:rPr>
                <w:rFonts w:ascii="Arial Narrow" w:eastAsia="Times New Roman" w:hAnsi="Arial Narrow"/>
                <w:noProof/>
                <w:color w:val="000000"/>
                <w:sz w:val="18"/>
                <w:szCs w:val="18"/>
                <w:lang w:val="en-IE" w:eastAsia="en-IE"/>
              </w:rPr>
              <w:t>END</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537A5F" w:rsidRPr="007C1C15" w:rsidTr="00537A5F">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HR – Outside HEADING 7</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255</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r>
              <w:rPr>
                <w:rFonts w:ascii="Arial Narrow" w:eastAsia="Times New Roman" w:hAnsi="Arial Narrow"/>
                <w:b/>
                <w:bCs/>
                <w:noProof/>
                <w:color w:val="000000"/>
                <w:sz w:val="20"/>
                <w:szCs w:val="20"/>
                <w:lang w:val="en-IE" w:eastAsia="en-IE"/>
              </w:rPr>
              <w:t>255</w:t>
            </w:r>
          </w:p>
        </w:tc>
        <w:tc>
          <w:tcPr>
            <w:tcW w:w="334" w:type="pct"/>
            <w:gridSpan w:val="3"/>
            <w:tcBorders>
              <w:top w:val="nil"/>
              <w:left w:val="nil"/>
              <w:bottom w:val="single" w:sz="8" w:space="0" w:color="auto"/>
              <w:right w:val="single" w:sz="4"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2</w:t>
            </w:r>
          </w:p>
        </w:tc>
        <w:tc>
          <w:tcPr>
            <w:tcW w:w="392" w:type="pct"/>
            <w:gridSpan w:val="4"/>
            <w:tcBorders>
              <w:top w:val="nil"/>
              <w:left w:val="single" w:sz="4" w:space="0" w:color="auto"/>
              <w:bottom w:val="single" w:sz="8" w:space="0" w:color="auto"/>
              <w:right w:val="single" w:sz="8" w:space="0" w:color="auto"/>
            </w:tcBorders>
            <w:shd w:val="clear" w:color="000000" w:fill="D9D9D9"/>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1.782</w:t>
            </w:r>
          </w:p>
        </w:tc>
      </w:tr>
      <w:tr w:rsidR="00537A5F" w:rsidRPr="007C1C15" w:rsidTr="00537A5F">
        <w:trPr>
          <w:trHeight w:val="300"/>
        </w:trPr>
        <w:tc>
          <w:tcPr>
            <w:tcW w:w="1214" w:type="pct"/>
            <w:gridSpan w:val="6"/>
            <w:tcBorders>
              <w:top w:val="single" w:sz="8" w:space="0" w:color="auto"/>
              <w:left w:val="single" w:sz="8" w:space="0" w:color="auto"/>
              <w:bottom w:val="single" w:sz="8" w:space="0" w:color="auto"/>
              <w:right w:val="single" w:sz="8" w:space="0" w:color="000000"/>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HR (all MFF Headings)</w:t>
            </w:r>
          </w:p>
        </w:tc>
        <w:tc>
          <w:tcPr>
            <w:tcW w:w="236"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7"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20"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213"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659</w:t>
            </w:r>
          </w:p>
        </w:tc>
        <w:tc>
          <w:tcPr>
            <w:tcW w:w="206"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5</w:t>
            </w:r>
          </w:p>
        </w:tc>
        <w:tc>
          <w:tcPr>
            <w:tcW w:w="392" w:type="pct"/>
            <w:gridSpan w:val="2"/>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0.659</w:t>
            </w:r>
          </w:p>
        </w:tc>
        <w:tc>
          <w:tcPr>
            <w:tcW w:w="341" w:type="pct"/>
            <w:gridSpan w:val="4"/>
            <w:tcBorders>
              <w:top w:val="nil"/>
              <w:left w:val="nil"/>
              <w:bottom w:val="single" w:sz="8" w:space="0" w:color="auto"/>
              <w:right w:val="single" w:sz="4"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5</w:t>
            </w:r>
          </w:p>
        </w:tc>
        <w:tc>
          <w:tcPr>
            <w:tcW w:w="384" w:type="pct"/>
            <w:gridSpan w:val="3"/>
            <w:tcBorders>
              <w:top w:val="nil"/>
              <w:left w:val="single" w:sz="4"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4.610</w:t>
            </w:r>
          </w:p>
        </w:tc>
      </w:tr>
    </w:tbl>
    <w:p w:rsidR="00155377" w:rsidRPr="008B4CF8" w:rsidRDefault="00155377" w:rsidP="00CA3EE5">
      <w:pPr>
        <w:pStyle w:val="ManualNumPar1"/>
        <w:ind w:left="426" w:hanging="426"/>
        <w:rPr>
          <w:noProof/>
        </w:rPr>
      </w:pPr>
      <w:r w:rsidRPr="00C119BA">
        <w:rPr>
          <w:noProof/>
        </w:rPr>
        <w:t>2.</w:t>
      </w:r>
      <w:r w:rsidRPr="00C119BA">
        <w:rPr>
          <w:noProof/>
        </w:rPr>
        <w:tab/>
      </w:r>
      <w:r w:rsidRPr="008B4CF8">
        <w:rPr>
          <w:noProof/>
        </w:rPr>
        <w:t>Cost of other administrative expenditure</w:t>
      </w:r>
    </w:p>
    <w:p w:rsidR="00155377" w:rsidRDefault="00155377" w:rsidP="00AD3300">
      <w:pPr>
        <w:pStyle w:val="Text1"/>
        <w:rPr>
          <w:noProof/>
        </w:rPr>
      </w:pPr>
      <w:r>
        <w:rPr>
          <w:rFonts w:ascii="Wingdings" w:eastAsia="Wingdings" w:hAnsi="Wingdings" w:cs="Wingdings"/>
          <w:noProof/>
        </w:rPr>
        <w:t></w:t>
      </w:r>
      <w:r>
        <w:rPr>
          <w:noProof/>
        </w:rPr>
        <w:tab/>
        <w:t>The proposal/initiative does not require the use of administrative appropriations</w:t>
      </w:r>
    </w:p>
    <w:p w:rsidR="00155377" w:rsidRDefault="00155377" w:rsidP="00AD3300">
      <w:pPr>
        <w:pStyle w:val="Text1"/>
        <w:rPr>
          <w:noProof/>
        </w:rPr>
      </w:pPr>
      <w:r>
        <w:rPr>
          <w:rFonts w:ascii="Wingdings" w:eastAsia="Wingdings" w:hAnsi="Wingdings" w:cs="Wingdings"/>
          <w:noProof/>
        </w:rPr>
        <w:t></w:t>
      </w:r>
      <w:r>
        <w:rPr>
          <w:noProof/>
        </w:rPr>
        <w:tab/>
        <w:t>The proposal/initiative requires the use of administrative appropriations, as explained below:</w:t>
      </w:r>
    </w:p>
    <w:p w:rsidR="00155377" w:rsidRDefault="00155377" w:rsidP="00155377">
      <w:pPr>
        <w:rPr>
          <w:noProof/>
        </w:rPr>
      </w:pPr>
      <w:r>
        <w:rPr>
          <w:noProof/>
        </w:rPr>
        <w:t>2.1. Financed from voted budget</w:t>
      </w:r>
    </w:p>
    <w:p w:rsidR="00155377" w:rsidRDefault="00155377" w:rsidP="00155377">
      <w:pPr>
        <w:rPr>
          <w:noProof/>
        </w:rPr>
      </w:pPr>
      <w:r>
        <w:rPr>
          <w:noProof/>
        </w:rPr>
        <w:t>2.1.1 DG ENER</w:t>
      </w:r>
    </w:p>
    <w:p w:rsidR="00155377" w:rsidRPr="008B4CF8" w:rsidRDefault="00155377" w:rsidP="00155377">
      <w:pPr>
        <w:jc w:val="right"/>
        <w:rPr>
          <w:i/>
          <w:noProof/>
          <w:sz w:val="20"/>
          <w:szCs w:val="20"/>
        </w:rPr>
      </w:pPr>
      <w:r w:rsidRPr="008B4CF8">
        <w:rPr>
          <w:i/>
          <w:noProof/>
          <w:sz w:val="20"/>
          <w:szCs w:val="20"/>
        </w:rPr>
        <w:t>EUR million (to three decimal places)</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rsidR="00155377" w:rsidRPr="006628BD">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HEADING 7</w:t>
            </w:r>
            <w:r w:rsidRPr="004D5323">
              <w:rPr>
                <w:rFonts w:ascii="Arial Narrow" w:eastAsia="Times New Roman" w:hAnsi="Arial Narrow"/>
                <w:b/>
                <w:bCs/>
                <w:noProof/>
                <w:color w:val="000000"/>
                <w:sz w:val="22"/>
                <w:lang w:val="en-IE" w:eastAsia="en-IE"/>
              </w:rPr>
              <w:br/>
              <w:t>of the multiannual financial framework</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w:t>
            </w:r>
            <w:r w:rsidRPr="004D5323">
              <w:rPr>
                <w:rFonts w:ascii="Arial Narrow" w:eastAsia="Times New Roman" w:hAnsi="Arial Narrow"/>
                <w:b/>
                <w:bCs/>
                <w:noProof/>
                <w:color w:val="000000"/>
                <w:sz w:val="20"/>
                <w:szCs w:val="20"/>
                <w:lang w:val="en-IE" w:eastAsia="en-IE"/>
              </w:rPr>
              <w:br/>
              <w:t>2021-2027</w:t>
            </w:r>
          </w:p>
        </w:tc>
        <w:tc>
          <w:tcPr>
            <w:tcW w:w="501" w:type="pct"/>
            <w:tcBorders>
              <w:top w:val="single" w:sz="8" w:space="0" w:color="auto"/>
              <w:left w:val="nil"/>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6628BD">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rsidR="00155377" w:rsidRPr="004D5323" w:rsidRDefault="00155377">
            <w:pPr>
              <w:spacing w:before="0" w:after="0"/>
              <w:jc w:val="left"/>
              <w:rPr>
                <w:rFonts w:ascii="Arial Narrow" w:eastAsia="Times New Roman" w:hAnsi="Arial Narrow"/>
                <w:b/>
                <w:bCs/>
                <w:noProof/>
                <w:color w:val="008000"/>
                <w:sz w:val="20"/>
                <w:szCs w:val="20"/>
                <w:u w:val="single"/>
                <w:lang w:val="en-IE" w:eastAsia="en-IE"/>
              </w:rPr>
            </w:pPr>
            <w:r w:rsidRPr="004D5323">
              <w:rPr>
                <w:rFonts w:ascii="Arial Narrow" w:eastAsia="Times New Roman" w:hAnsi="Arial Narrow"/>
                <w:b/>
                <w:bCs/>
                <w:noProof/>
                <w:color w:val="008000"/>
                <w:sz w:val="20"/>
                <w:szCs w:val="20"/>
                <w:u w:val="single"/>
                <w:lang w:val="en-IE" w:eastAsia="en-IE"/>
              </w:rPr>
              <w:t>At headquarters or within EU territory:</w:t>
            </w:r>
          </w:p>
        </w:tc>
        <w:tc>
          <w:tcPr>
            <w:tcW w:w="501" w:type="pct"/>
            <w:tcBorders>
              <w:top w:val="single" w:sz="8" w:space="0" w:color="auto"/>
              <w:left w:val="single" w:sz="8" w:space="0" w:color="auto"/>
              <w:bottom w:val="single" w:sz="8" w:space="0" w:color="auto"/>
              <w:right w:val="nil"/>
            </w:tcBorders>
            <w:shd w:val="pct25" w:color="CCFFCC" w:fill="E5FFE5"/>
            <w:vAlign w:val="center"/>
          </w:tcPr>
          <w:p w:rsidR="00155377" w:rsidRPr="004D5323" w:rsidRDefault="00155377">
            <w:pPr>
              <w:spacing w:before="0" w:after="0"/>
              <w:jc w:val="center"/>
              <w:rPr>
                <w:rFonts w:ascii="Arial Narrow" w:eastAsia="Times New Roman" w:hAnsi="Arial Narrow"/>
                <w:b/>
                <w:bCs/>
                <w:noProof/>
                <w:color w:val="008000"/>
                <w:sz w:val="20"/>
                <w:szCs w:val="20"/>
                <w:u w:val="single"/>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01 - Mission and representation expenses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w:t>
            </w:r>
            <w:r w:rsidR="00A416DB">
              <w:rPr>
                <w:rFonts w:ascii="Arial Narrow" w:hAnsi="Arial Narrow" w:cs="Calibri"/>
                <w:noProof/>
                <w:color w:val="000000"/>
                <w:sz w:val="20"/>
                <w:szCs w:val="20"/>
              </w:rPr>
              <w:t>.</w:t>
            </w:r>
            <w:r>
              <w:rPr>
                <w:rFonts w:ascii="Arial Narrow" w:hAnsi="Arial Narrow" w:cs="Calibri"/>
                <w:noProof/>
                <w:color w:val="000000"/>
                <w:sz w:val="20"/>
                <w:szCs w:val="20"/>
              </w:rPr>
              <w:t>018</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eastAsia="en-IE"/>
              </w:rPr>
              <w:t>0</w:t>
            </w:r>
            <w:r w:rsidR="00A416DB">
              <w:rPr>
                <w:rFonts w:ascii="Arial Narrow" w:eastAsia="Times New Roman" w:hAnsi="Arial Narrow"/>
                <w:b/>
                <w:bCs/>
                <w:noProof/>
                <w:color w:val="000000"/>
                <w:sz w:val="20"/>
                <w:szCs w:val="20"/>
                <w:lang w:eastAsia="en-IE"/>
              </w:rPr>
              <w:t>.</w:t>
            </w:r>
            <w:r>
              <w:rPr>
                <w:rFonts w:ascii="Arial Narrow" w:eastAsia="Times New Roman" w:hAnsi="Arial Narrow"/>
                <w:b/>
                <w:bCs/>
                <w:noProof/>
                <w:color w:val="000000"/>
                <w:sz w:val="20"/>
                <w:szCs w:val="20"/>
                <w:lang w:eastAsia="en-IE"/>
              </w:rPr>
              <w:t>126</w:t>
            </w: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02 - Conference and meeting costs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03 - Committees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xml:space="preserve">20 02 06 04 </w:t>
            </w:r>
            <w:r>
              <w:rPr>
                <w:rFonts w:ascii="Arial Narrow" w:eastAsia="Times New Roman" w:hAnsi="Arial Narrow"/>
                <w:noProof/>
                <w:color w:val="000000"/>
                <w:sz w:val="20"/>
                <w:szCs w:val="20"/>
                <w:lang w:val="en-IE" w:eastAsia="en-IE"/>
              </w:rPr>
              <w:t xml:space="preserve">- </w:t>
            </w:r>
            <w:r w:rsidRPr="004D5323">
              <w:rPr>
                <w:rFonts w:ascii="Arial Narrow" w:eastAsia="Times New Roman" w:hAnsi="Arial Narrow"/>
                <w:noProof/>
                <w:color w:val="000000"/>
                <w:sz w:val="20"/>
                <w:szCs w:val="20"/>
                <w:lang w:val="en-IE" w:eastAsia="en-IE"/>
              </w:rPr>
              <w:t>Studies and consultations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04 – IT expenditure (corporate)</w:t>
            </w:r>
            <w:r>
              <w:rPr>
                <w:rStyle w:val="FootnoteReference"/>
                <w:rFonts w:ascii="Arial Narrow" w:hAnsi="Arial Narrow"/>
                <w:noProof/>
                <w:color w:val="000000"/>
                <w:sz w:val="20"/>
                <w:szCs w:val="20"/>
                <w:lang w:val="en-IE" w:eastAsia="en-IE"/>
              </w:rPr>
              <w:footnoteReference w:id="54"/>
            </w:r>
            <w:r>
              <w:rPr>
                <w:rStyle w:val="CommentReference"/>
                <w:noProof/>
              </w:rPr>
              <w:t xml:space="preserve"> </w:t>
            </w:r>
            <w:r w:rsidRPr="004D5323">
              <w:rPr>
                <w:rFonts w:ascii="Arial Narrow" w:eastAsia="Times New Roman" w:hAnsi="Arial Narrow"/>
                <w:noProof/>
                <w:color w:val="000000"/>
                <w:sz w:val="20"/>
                <w:szCs w:val="20"/>
                <w:lang w:val="en-IE" w:eastAsia="en-IE"/>
              </w:rPr>
              <w:t xml:space="preserve">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rsidR="00155377" w:rsidRPr="004D5323" w:rsidRDefault="00155377">
            <w:pPr>
              <w:spacing w:before="0" w:after="0"/>
              <w:jc w:val="left"/>
              <w:rPr>
                <w:rFonts w:ascii="Arial Narrow" w:eastAsia="Times New Roman" w:hAnsi="Arial Narrow"/>
                <w:b/>
                <w:bCs/>
                <w:noProof/>
                <w:color w:val="008000"/>
                <w:sz w:val="20"/>
                <w:szCs w:val="20"/>
                <w:u w:val="single"/>
                <w:lang w:val="en-IE" w:eastAsia="en-IE"/>
              </w:rPr>
            </w:pPr>
            <w:r w:rsidRPr="004D5323">
              <w:rPr>
                <w:rFonts w:ascii="Arial Narrow" w:eastAsia="Times New Roman" w:hAnsi="Arial Narrow"/>
                <w:b/>
                <w:bCs/>
                <w:noProof/>
                <w:color w:val="008000"/>
                <w:sz w:val="20"/>
                <w:szCs w:val="20"/>
                <w:u w:val="single"/>
                <w:lang w:val="en-IE" w:eastAsia="en-IE"/>
              </w:rPr>
              <w:t>In Union delegations</w:t>
            </w:r>
          </w:p>
        </w:tc>
        <w:tc>
          <w:tcPr>
            <w:tcW w:w="501" w:type="pct"/>
            <w:tcBorders>
              <w:top w:val="single" w:sz="8" w:space="0" w:color="auto"/>
              <w:left w:val="single" w:sz="8" w:space="0" w:color="auto"/>
              <w:bottom w:val="single" w:sz="8" w:space="0" w:color="auto"/>
              <w:right w:val="nil"/>
            </w:tcBorders>
            <w:shd w:val="pct25" w:color="CCFFCC" w:fill="E5FFE5"/>
            <w:vAlign w:val="center"/>
          </w:tcPr>
          <w:p w:rsidR="00155377" w:rsidRPr="004D5323" w:rsidRDefault="00155377">
            <w:pPr>
              <w:spacing w:before="0" w:after="0"/>
              <w:jc w:val="center"/>
              <w:rPr>
                <w:rFonts w:ascii="Arial Narrow" w:eastAsia="Times New Roman" w:hAnsi="Arial Narrow"/>
                <w:b/>
                <w:bCs/>
                <w:noProof/>
                <w:color w:val="008000"/>
                <w:sz w:val="20"/>
                <w:szCs w:val="20"/>
                <w:u w:val="single"/>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07 01 - Missions, conferences and representation expenses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07 02 - Further training of staff</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03 05 – Infrastructure and logistics</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Other - HEADING 7</w:t>
            </w:r>
            <w:r w:rsidRPr="004D5323">
              <w:rPr>
                <w:rFonts w:ascii="Arial Narrow" w:eastAsia="Times New Roman" w:hAnsi="Arial Narrow"/>
                <w:b/>
                <w:bCs/>
                <w:noProof/>
                <w:color w:val="000000"/>
                <w:sz w:val="22"/>
                <w:lang w:val="en-IE" w:eastAsia="en-IE"/>
              </w:rPr>
              <w:br/>
              <w:t>of the multiannual financial framework</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321DE7">
              <w:rPr>
                <w:rFonts w:ascii="Arial Narrow" w:hAnsi="Arial Narrow" w:cs="Calibri"/>
                <w:b/>
                <w:noProof/>
                <w:color w:val="000000"/>
                <w:sz w:val="20"/>
                <w:szCs w:val="20"/>
              </w:rPr>
              <w:t>0</w:t>
            </w:r>
            <w:r w:rsidR="00A416DB">
              <w:rPr>
                <w:rFonts w:ascii="Arial Narrow" w:hAnsi="Arial Narrow" w:cs="Calibri"/>
                <w:b/>
                <w:noProof/>
                <w:color w:val="000000"/>
                <w:sz w:val="20"/>
                <w:szCs w:val="20"/>
              </w:rPr>
              <w:t>.</w:t>
            </w:r>
            <w:r w:rsidRPr="00321DE7">
              <w:rPr>
                <w:rFonts w:ascii="Arial Narrow" w:hAnsi="Arial Narrow" w:cs="Calibri"/>
                <w:b/>
                <w:bCs/>
                <w:noProof/>
                <w:color w:val="000000"/>
                <w:sz w:val="20"/>
                <w:szCs w:val="20"/>
              </w:rPr>
              <w:t>018</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9D9D9"/>
            <w:vAlign w:val="center"/>
          </w:tcPr>
          <w:p w:rsidR="00155377" w:rsidRPr="00084541" w:rsidRDefault="00155377">
            <w:pPr>
              <w:spacing w:before="0" w:after="0"/>
              <w:jc w:val="center"/>
              <w:rPr>
                <w:rFonts w:ascii="Arial Narrow" w:eastAsia="Times New Roman" w:hAnsi="Arial Narrow"/>
                <w:b/>
                <w:bCs/>
                <w:noProof/>
                <w:color w:val="000000"/>
                <w:sz w:val="20"/>
                <w:szCs w:val="20"/>
                <w:lang w:val="en-IE" w:eastAsia="en-IE"/>
              </w:rPr>
            </w:pPr>
            <w:r w:rsidRPr="00084541">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sidRPr="00084541">
              <w:rPr>
                <w:rFonts w:ascii="Arial Narrow" w:hAnsi="Arial Narrow" w:cs="Calibri"/>
                <w:b/>
                <w:bCs/>
                <w:noProof/>
                <w:color w:val="000000"/>
                <w:sz w:val="20"/>
                <w:szCs w:val="20"/>
              </w:rPr>
              <w:t>1</w:t>
            </w:r>
            <w:r>
              <w:rPr>
                <w:rFonts w:ascii="Arial Narrow" w:hAnsi="Arial Narrow" w:cs="Calibri"/>
                <w:b/>
                <w:bCs/>
                <w:noProof/>
                <w:color w:val="000000"/>
                <w:sz w:val="20"/>
                <w:szCs w:val="20"/>
              </w:rPr>
              <w:t>26</w:t>
            </w:r>
          </w:p>
        </w:tc>
      </w:tr>
    </w:tbl>
    <w:p w:rsidR="00155377" w:rsidRPr="006628BD" w:rsidRDefault="00155377" w:rsidP="00AE6949">
      <w:pPr>
        <w:ind w:right="-121"/>
        <w:jc w:val="right"/>
        <w:rPr>
          <w:i/>
          <w:iCs/>
          <w:noProof/>
          <w:sz w:val="20"/>
          <w:szCs w:val="20"/>
        </w:rPr>
      </w:pPr>
      <w:r w:rsidRPr="006628BD">
        <w:rPr>
          <w:i/>
          <w:noProof/>
          <w:sz w:val="20"/>
          <w:szCs w:val="20"/>
        </w:rPr>
        <w:t>EUR million (to three decimal places)</w:t>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rsidR="00155377" w:rsidRPr="006628BD">
        <w:trPr>
          <w:trHeight w:val="564"/>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Outside HEADING 7</w:t>
            </w:r>
            <w:r w:rsidRPr="004D5323">
              <w:rPr>
                <w:rFonts w:ascii="Arial Narrow" w:eastAsia="Times New Roman" w:hAnsi="Arial Narrow"/>
                <w:b/>
                <w:bCs/>
                <w:noProof/>
                <w:color w:val="000000"/>
                <w:sz w:val="22"/>
                <w:lang w:val="en-IE" w:eastAsia="en-IE"/>
              </w:rPr>
              <w:br/>
              <w:t>of the multiannual financial framework</w:t>
            </w:r>
          </w:p>
        </w:tc>
        <w:tc>
          <w:tcPr>
            <w:tcW w:w="504"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501"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w:t>
            </w:r>
            <w:r w:rsidRPr="004D5323">
              <w:rPr>
                <w:rFonts w:ascii="Arial Narrow" w:eastAsia="Times New Roman" w:hAnsi="Arial Narrow"/>
                <w:b/>
                <w:bCs/>
                <w:noProof/>
                <w:color w:val="000000"/>
                <w:sz w:val="20"/>
                <w:szCs w:val="20"/>
                <w:lang w:val="en-IE" w:eastAsia="en-IE"/>
              </w:rPr>
              <w:br/>
              <w:t>2021-2027</w:t>
            </w:r>
          </w:p>
        </w:tc>
        <w:tc>
          <w:tcPr>
            <w:tcW w:w="501" w:type="pct"/>
            <w:tcBorders>
              <w:top w:val="single" w:sz="8" w:space="0" w:color="auto"/>
              <w:left w:val="nil"/>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POST 2027</w:t>
            </w:r>
          </w:p>
        </w:tc>
      </w:tr>
      <w:tr w:rsidR="00155377" w:rsidRPr="006628BD">
        <w:trPr>
          <w:trHeight w:val="84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Expenditure on technical and administrative assistance (</w:t>
            </w:r>
            <w:r w:rsidRPr="004D5323">
              <w:rPr>
                <w:rFonts w:ascii="Arial Narrow" w:eastAsia="Times New Roman" w:hAnsi="Arial Narrow"/>
                <w:noProof/>
                <w:color w:val="000000"/>
                <w:sz w:val="20"/>
                <w:szCs w:val="20"/>
                <w:u w:val="single"/>
                <w:lang w:val="en-IE" w:eastAsia="en-IE"/>
              </w:rPr>
              <w:t>not including</w:t>
            </w:r>
            <w:r w:rsidRPr="004D5323">
              <w:rPr>
                <w:rFonts w:ascii="Arial Narrow" w:eastAsia="Times New Roman" w:hAnsi="Arial Narrow"/>
                <w:noProof/>
                <w:color w:val="000000"/>
                <w:sz w:val="20"/>
                <w:szCs w:val="20"/>
                <w:lang w:val="en-IE" w:eastAsia="en-IE"/>
              </w:rPr>
              <w:t xml:space="preserve"> external staff) from operational appropriations (former 'BA' lines):</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at Headquarters</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in Union delegations</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management expenditure for research</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Policy IT expenditure on operational programmes</w:t>
            </w:r>
            <w:r>
              <w:rPr>
                <w:rStyle w:val="FootnoteReference"/>
                <w:rFonts w:ascii="Arial Narrow" w:hAnsi="Arial Narrow"/>
                <w:noProof/>
                <w:color w:val="000000"/>
                <w:sz w:val="20"/>
                <w:szCs w:val="20"/>
                <w:lang w:val="en-IE" w:eastAsia="en-IE"/>
              </w:rPr>
              <w:footnoteReference w:id="55"/>
            </w:r>
            <w:r w:rsidRPr="004D5323">
              <w:rPr>
                <w:rFonts w:ascii="Arial Narrow" w:eastAsia="Times New Roman" w:hAnsi="Arial Narrow"/>
                <w:noProof/>
                <w:color w:val="000000"/>
                <w:sz w:val="20"/>
                <w:szCs w:val="20"/>
                <w:lang w:val="en-IE" w:eastAsia="en-IE"/>
              </w:rPr>
              <w:t xml:space="preserve"> </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Corporate IT expenditure on operational programmes</w:t>
            </w:r>
            <w:r>
              <w:rPr>
                <w:rStyle w:val="FootnoteReference"/>
                <w:rFonts w:ascii="Arial Narrow" w:hAnsi="Arial Narrow"/>
                <w:noProof/>
                <w:color w:val="000000"/>
                <w:sz w:val="20"/>
                <w:szCs w:val="20"/>
                <w:lang w:val="en-IE" w:eastAsia="en-IE"/>
              </w:rPr>
              <w:footnoteReference w:id="56"/>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4"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3" w:type="pct"/>
            <w:tcBorders>
              <w:top w:val="nil"/>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Other – Outside HEADING 7</w:t>
            </w:r>
            <w:r w:rsidRPr="004D5323">
              <w:rPr>
                <w:rFonts w:ascii="Arial Narrow" w:eastAsia="Times New Roman" w:hAnsi="Arial Narrow"/>
                <w:b/>
                <w:bCs/>
                <w:noProof/>
                <w:color w:val="000000"/>
                <w:sz w:val="22"/>
                <w:lang w:val="en-IE" w:eastAsia="en-IE"/>
              </w:rPr>
              <w:br/>
              <w:t>of the multiannual financial framework</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612"/>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Other admin expenditure (all MFF Headings)</w:t>
            </w:r>
          </w:p>
        </w:tc>
        <w:tc>
          <w:tcPr>
            <w:tcW w:w="504"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DEBF7"/>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126</w:t>
            </w:r>
          </w:p>
        </w:tc>
      </w:tr>
    </w:tbl>
    <w:p w:rsidR="00537A5F" w:rsidRDefault="00537A5F">
      <w:pPr>
        <w:spacing w:before="0" w:after="200" w:line="276" w:lineRule="auto"/>
        <w:jc w:val="left"/>
        <w:rPr>
          <w:noProof/>
        </w:rPr>
      </w:pPr>
      <w:r>
        <w:rPr>
          <w:noProof/>
        </w:rPr>
        <w:br w:type="page"/>
      </w:r>
    </w:p>
    <w:p w:rsidR="00155377" w:rsidRDefault="00155377" w:rsidP="00155377">
      <w:pPr>
        <w:rPr>
          <w:noProof/>
        </w:rPr>
      </w:pPr>
      <w:r>
        <w:rPr>
          <w:noProof/>
        </w:rPr>
        <w:t>2.1.3. Total</w:t>
      </w:r>
    </w:p>
    <w:tbl>
      <w:tblPr>
        <w:tblW w:w="5000" w:type="pct"/>
        <w:jc w:val="center"/>
        <w:tblLook w:val="04A0" w:firstRow="1" w:lastRow="0" w:firstColumn="1" w:lastColumn="0" w:noHBand="0" w:noVBand="1"/>
      </w:tblPr>
      <w:tblGrid>
        <w:gridCol w:w="5382"/>
        <w:gridCol w:w="1365"/>
        <w:gridCol w:w="1364"/>
        <w:gridCol w:w="1364"/>
        <w:gridCol w:w="1364"/>
        <w:gridCol w:w="1364"/>
        <w:gridCol w:w="1359"/>
      </w:tblGrid>
      <w:tr w:rsidR="00155377" w:rsidRPr="006628BD">
        <w:trPr>
          <w:trHeight w:val="564"/>
          <w:jc w:val="center"/>
        </w:trPr>
        <w:tc>
          <w:tcPr>
            <w:tcW w:w="1984"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HEADING 7</w:t>
            </w:r>
            <w:r w:rsidRPr="004D5323">
              <w:rPr>
                <w:rFonts w:ascii="Arial Narrow" w:eastAsia="Times New Roman" w:hAnsi="Arial Narrow"/>
                <w:b/>
                <w:bCs/>
                <w:noProof/>
                <w:color w:val="000000"/>
                <w:sz w:val="22"/>
                <w:lang w:val="en-IE" w:eastAsia="en-IE"/>
              </w:rPr>
              <w:br/>
              <w:t>of the multiannual financial framework</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w:t>
            </w:r>
            <w:r w:rsidRPr="004D5323">
              <w:rPr>
                <w:rFonts w:ascii="Arial Narrow" w:eastAsia="Times New Roman" w:hAnsi="Arial Narrow"/>
                <w:b/>
                <w:bCs/>
                <w:noProof/>
                <w:color w:val="000000"/>
                <w:sz w:val="20"/>
                <w:szCs w:val="20"/>
                <w:lang w:val="en-IE" w:eastAsia="en-IE"/>
              </w:rPr>
              <w:br/>
              <w:t>2021-2027</w:t>
            </w:r>
          </w:p>
        </w:tc>
        <w:tc>
          <w:tcPr>
            <w:tcW w:w="501" w:type="pct"/>
            <w:tcBorders>
              <w:top w:val="single" w:sz="8" w:space="0" w:color="auto"/>
              <w:left w:val="nil"/>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POST 2027</w:t>
            </w:r>
          </w:p>
        </w:tc>
      </w:tr>
      <w:tr w:rsidR="00155377" w:rsidRPr="006628BD">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rsidR="00155377" w:rsidRPr="004D5323" w:rsidRDefault="00155377">
            <w:pPr>
              <w:spacing w:before="0" w:after="0"/>
              <w:jc w:val="left"/>
              <w:rPr>
                <w:rFonts w:ascii="Arial Narrow" w:eastAsia="Times New Roman" w:hAnsi="Arial Narrow"/>
                <w:b/>
                <w:bCs/>
                <w:noProof/>
                <w:color w:val="008000"/>
                <w:sz w:val="20"/>
                <w:szCs w:val="20"/>
                <w:u w:val="single"/>
                <w:lang w:val="en-IE" w:eastAsia="en-IE"/>
              </w:rPr>
            </w:pPr>
            <w:r w:rsidRPr="004D5323">
              <w:rPr>
                <w:rFonts w:ascii="Arial Narrow" w:eastAsia="Times New Roman" w:hAnsi="Arial Narrow"/>
                <w:b/>
                <w:bCs/>
                <w:noProof/>
                <w:color w:val="008000"/>
                <w:sz w:val="20"/>
                <w:szCs w:val="20"/>
                <w:u w:val="single"/>
                <w:lang w:val="en-IE" w:eastAsia="en-IE"/>
              </w:rPr>
              <w:t>At headquarters or within EU territory:</w:t>
            </w:r>
          </w:p>
        </w:tc>
        <w:tc>
          <w:tcPr>
            <w:tcW w:w="501" w:type="pct"/>
            <w:tcBorders>
              <w:top w:val="single" w:sz="8" w:space="0" w:color="auto"/>
              <w:left w:val="single" w:sz="8" w:space="0" w:color="auto"/>
              <w:bottom w:val="single" w:sz="8" w:space="0" w:color="auto"/>
              <w:right w:val="nil"/>
            </w:tcBorders>
            <w:shd w:val="pct25" w:color="CCFFCC" w:fill="E5FFE5"/>
            <w:vAlign w:val="center"/>
          </w:tcPr>
          <w:p w:rsidR="00155377" w:rsidRPr="004D5323" w:rsidRDefault="00155377">
            <w:pPr>
              <w:spacing w:before="0" w:after="0"/>
              <w:jc w:val="center"/>
              <w:rPr>
                <w:rFonts w:ascii="Arial Narrow" w:eastAsia="Times New Roman" w:hAnsi="Arial Narrow"/>
                <w:b/>
                <w:bCs/>
                <w:noProof/>
                <w:color w:val="008000"/>
                <w:sz w:val="20"/>
                <w:szCs w:val="20"/>
                <w:u w:val="single"/>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01 - Mission and representation expenses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w:t>
            </w:r>
            <w:r w:rsidR="00A416DB">
              <w:rPr>
                <w:rFonts w:ascii="Arial Narrow" w:hAnsi="Arial Narrow" w:cs="Calibri"/>
                <w:noProof/>
                <w:color w:val="000000"/>
                <w:sz w:val="20"/>
                <w:szCs w:val="20"/>
              </w:rPr>
              <w:t>.</w:t>
            </w:r>
            <w:r>
              <w:rPr>
                <w:rFonts w:ascii="Arial Narrow" w:hAnsi="Arial Narrow" w:cs="Calibri"/>
                <w:noProof/>
                <w:color w:val="000000"/>
                <w:sz w:val="20"/>
                <w:szCs w:val="20"/>
              </w:rPr>
              <w:t>018</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eastAsia="en-IE"/>
              </w:rPr>
              <w:t>0</w:t>
            </w:r>
            <w:r w:rsidR="00A416DB">
              <w:rPr>
                <w:rFonts w:ascii="Arial Narrow" w:eastAsia="Times New Roman" w:hAnsi="Arial Narrow"/>
                <w:b/>
                <w:bCs/>
                <w:noProof/>
                <w:color w:val="000000"/>
                <w:sz w:val="20"/>
                <w:szCs w:val="20"/>
                <w:lang w:eastAsia="en-IE"/>
              </w:rPr>
              <w:t>.</w:t>
            </w:r>
            <w:r>
              <w:rPr>
                <w:rFonts w:ascii="Arial Narrow" w:eastAsia="Times New Roman" w:hAnsi="Arial Narrow"/>
                <w:b/>
                <w:bCs/>
                <w:noProof/>
                <w:color w:val="000000"/>
                <w:sz w:val="20"/>
                <w:szCs w:val="20"/>
                <w:lang w:eastAsia="en-IE"/>
              </w:rPr>
              <w:t>126</w:t>
            </w: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02 - Conference and meeting costs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06 03 - Committees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xml:space="preserve">20 02 06 04 </w:t>
            </w:r>
            <w:r>
              <w:rPr>
                <w:rFonts w:ascii="Arial Narrow" w:eastAsia="Times New Roman" w:hAnsi="Arial Narrow"/>
                <w:noProof/>
                <w:color w:val="000000"/>
                <w:sz w:val="20"/>
                <w:szCs w:val="20"/>
                <w:lang w:val="en-IE" w:eastAsia="en-IE"/>
              </w:rPr>
              <w:t xml:space="preserve">- </w:t>
            </w:r>
            <w:r w:rsidRPr="004D5323">
              <w:rPr>
                <w:rFonts w:ascii="Arial Narrow" w:eastAsia="Times New Roman" w:hAnsi="Arial Narrow"/>
                <w:noProof/>
                <w:color w:val="000000"/>
                <w:sz w:val="20"/>
                <w:szCs w:val="20"/>
                <w:lang w:val="en-IE" w:eastAsia="en-IE"/>
              </w:rPr>
              <w:t>Studies and consultations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04 – IT expenditure (corporate)</w:t>
            </w:r>
            <w:r>
              <w:rPr>
                <w:rStyle w:val="FootnoteReference"/>
                <w:rFonts w:ascii="Arial Narrow" w:hAnsi="Arial Narrow"/>
                <w:noProof/>
                <w:color w:val="000000"/>
                <w:sz w:val="20"/>
                <w:szCs w:val="20"/>
                <w:lang w:val="en-IE" w:eastAsia="en-IE"/>
              </w:rPr>
              <w:footnoteReference w:id="57"/>
            </w:r>
            <w:r w:rsidRPr="004D5323">
              <w:rPr>
                <w:rFonts w:ascii="Arial Narrow" w:eastAsia="Times New Roman" w:hAnsi="Arial Narrow"/>
                <w:noProof/>
                <w:color w:val="000000"/>
                <w:sz w:val="20"/>
                <w:szCs w:val="20"/>
                <w:lang w:val="en-IE" w:eastAsia="en-IE"/>
              </w:rPr>
              <w:t xml:space="preserve"> </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4499" w:type="pct"/>
            <w:gridSpan w:val="6"/>
            <w:tcBorders>
              <w:top w:val="single" w:sz="8" w:space="0" w:color="auto"/>
              <w:left w:val="single" w:sz="8" w:space="0" w:color="auto"/>
              <w:bottom w:val="single" w:sz="8" w:space="0" w:color="auto"/>
              <w:right w:val="nil"/>
            </w:tcBorders>
            <w:shd w:val="pct25" w:color="CCFFCC" w:fill="E5FFE5"/>
            <w:vAlign w:val="center"/>
            <w:hideMark/>
          </w:tcPr>
          <w:p w:rsidR="00155377" w:rsidRPr="004D5323" w:rsidRDefault="00155377">
            <w:pPr>
              <w:spacing w:before="0" w:after="0"/>
              <w:jc w:val="left"/>
              <w:rPr>
                <w:rFonts w:ascii="Arial Narrow" w:eastAsia="Times New Roman" w:hAnsi="Arial Narrow"/>
                <w:b/>
                <w:bCs/>
                <w:noProof/>
                <w:color w:val="008000"/>
                <w:sz w:val="20"/>
                <w:szCs w:val="20"/>
                <w:u w:val="single"/>
                <w:lang w:val="en-IE" w:eastAsia="en-IE"/>
              </w:rPr>
            </w:pPr>
            <w:r w:rsidRPr="004D5323">
              <w:rPr>
                <w:rFonts w:ascii="Arial Narrow" w:eastAsia="Times New Roman" w:hAnsi="Arial Narrow"/>
                <w:b/>
                <w:bCs/>
                <w:noProof/>
                <w:color w:val="008000"/>
                <w:sz w:val="20"/>
                <w:szCs w:val="20"/>
                <w:u w:val="single"/>
                <w:lang w:val="en-IE" w:eastAsia="en-IE"/>
              </w:rPr>
              <w:t>In Union delegations</w:t>
            </w:r>
          </w:p>
        </w:tc>
        <w:tc>
          <w:tcPr>
            <w:tcW w:w="501" w:type="pct"/>
            <w:tcBorders>
              <w:top w:val="single" w:sz="8" w:space="0" w:color="auto"/>
              <w:left w:val="single" w:sz="8" w:space="0" w:color="auto"/>
              <w:bottom w:val="single" w:sz="8" w:space="0" w:color="auto"/>
              <w:right w:val="nil"/>
            </w:tcBorders>
            <w:shd w:val="pct25" w:color="CCFFCC" w:fill="E5FFE5"/>
            <w:vAlign w:val="center"/>
          </w:tcPr>
          <w:p w:rsidR="00155377" w:rsidRPr="004D5323" w:rsidRDefault="00155377">
            <w:pPr>
              <w:spacing w:before="0" w:after="0"/>
              <w:jc w:val="center"/>
              <w:rPr>
                <w:rFonts w:ascii="Arial Narrow" w:eastAsia="Times New Roman" w:hAnsi="Arial Narrow"/>
                <w:b/>
                <w:bCs/>
                <w:noProof/>
                <w:color w:val="008000"/>
                <w:sz w:val="20"/>
                <w:szCs w:val="20"/>
                <w:u w:val="single"/>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07 01 - Missions, conferences and representation expenses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02 07 02 - Further training of staff</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20 03 05 – Infrastructure and logistics</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4"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Other - HEADING 7</w:t>
            </w:r>
            <w:r w:rsidRPr="004D5323">
              <w:rPr>
                <w:rFonts w:ascii="Arial Narrow" w:eastAsia="Times New Roman" w:hAnsi="Arial Narrow"/>
                <w:b/>
                <w:bCs/>
                <w:noProof/>
                <w:color w:val="000000"/>
                <w:sz w:val="22"/>
                <w:lang w:val="en-IE" w:eastAsia="en-IE"/>
              </w:rPr>
              <w:br/>
              <w:t>of the multiannual financial framework</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321DE7">
              <w:rPr>
                <w:rFonts w:ascii="Arial Narrow" w:hAnsi="Arial Narrow" w:cs="Calibri"/>
                <w:b/>
                <w:noProof/>
                <w:color w:val="000000"/>
                <w:sz w:val="20"/>
                <w:szCs w:val="20"/>
              </w:rPr>
              <w:t>0</w:t>
            </w:r>
            <w:r w:rsidR="00A416DB">
              <w:rPr>
                <w:rFonts w:ascii="Arial Narrow" w:hAnsi="Arial Narrow" w:cs="Calibri"/>
                <w:b/>
                <w:noProof/>
                <w:color w:val="000000"/>
                <w:sz w:val="20"/>
                <w:szCs w:val="20"/>
              </w:rPr>
              <w:t>.</w:t>
            </w:r>
            <w:r w:rsidRPr="00321DE7">
              <w:rPr>
                <w:rFonts w:ascii="Arial Narrow" w:hAnsi="Arial Narrow" w:cs="Calibri"/>
                <w:b/>
                <w:bCs/>
                <w:noProof/>
                <w:color w:val="000000"/>
                <w:sz w:val="20"/>
                <w:szCs w:val="20"/>
              </w:rPr>
              <w:t>018</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A416DB">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eastAsia="en-IE"/>
              </w:rPr>
              <w:t>0</w:t>
            </w:r>
            <w:r w:rsidR="00A416DB">
              <w:rPr>
                <w:rFonts w:ascii="Arial Narrow" w:eastAsia="Times New Roman" w:hAnsi="Arial Narrow"/>
                <w:b/>
                <w:bCs/>
                <w:noProof/>
                <w:color w:val="000000"/>
                <w:sz w:val="20"/>
                <w:szCs w:val="20"/>
                <w:lang w:eastAsia="en-IE"/>
              </w:rPr>
              <w:t>.</w:t>
            </w:r>
            <w:r w:rsidRPr="00084541">
              <w:rPr>
                <w:rFonts w:ascii="Arial Narrow" w:hAnsi="Arial Narrow" w:cs="Calibri"/>
                <w:b/>
                <w:bCs/>
                <w:noProof/>
                <w:color w:val="000000"/>
                <w:sz w:val="20"/>
                <w:szCs w:val="20"/>
              </w:rPr>
              <w:t>1</w:t>
            </w:r>
            <w:r>
              <w:rPr>
                <w:rFonts w:ascii="Arial Narrow" w:hAnsi="Arial Narrow" w:cs="Calibri"/>
                <w:b/>
                <w:bCs/>
                <w:noProof/>
                <w:color w:val="000000"/>
                <w:sz w:val="20"/>
                <w:szCs w:val="20"/>
              </w:rPr>
              <w:t>26</w:t>
            </w:r>
          </w:p>
        </w:tc>
      </w:tr>
    </w:tbl>
    <w:p w:rsidR="00537A5F" w:rsidRDefault="00537A5F" w:rsidP="00155377">
      <w:pPr>
        <w:ind w:right="-496"/>
        <w:rPr>
          <w:b/>
          <w:noProof/>
          <w:color w:val="0000FF"/>
          <w:sz w:val="20"/>
          <w:szCs w:val="20"/>
        </w:rPr>
      </w:pPr>
    </w:p>
    <w:p w:rsidR="00537A5F" w:rsidRDefault="00537A5F">
      <w:pPr>
        <w:spacing w:before="0" w:after="200" w:line="276" w:lineRule="auto"/>
        <w:jc w:val="left"/>
        <w:rPr>
          <w:b/>
          <w:noProof/>
          <w:color w:val="0000FF"/>
          <w:sz w:val="20"/>
          <w:szCs w:val="20"/>
        </w:rPr>
      </w:pPr>
      <w:r>
        <w:rPr>
          <w:b/>
          <w:noProof/>
          <w:color w:val="0000FF"/>
          <w:sz w:val="20"/>
          <w:szCs w:val="20"/>
        </w:rPr>
        <w:br w:type="page"/>
      </w:r>
    </w:p>
    <w:tbl>
      <w:tblPr>
        <w:tblW w:w="5000" w:type="pct"/>
        <w:jc w:val="center"/>
        <w:tblLook w:val="04A0" w:firstRow="1" w:lastRow="0" w:firstColumn="1" w:lastColumn="0" w:noHBand="0" w:noVBand="1"/>
      </w:tblPr>
      <w:tblGrid>
        <w:gridCol w:w="5385"/>
        <w:gridCol w:w="1367"/>
        <w:gridCol w:w="1364"/>
        <w:gridCol w:w="1364"/>
        <w:gridCol w:w="1364"/>
        <w:gridCol w:w="1359"/>
        <w:gridCol w:w="1359"/>
      </w:tblGrid>
      <w:tr w:rsidR="00155377" w:rsidRPr="006628BD">
        <w:trPr>
          <w:trHeight w:val="675"/>
          <w:jc w:val="center"/>
        </w:trPr>
        <w:tc>
          <w:tcPr>
            <w:tcW w:w="1985" w:type="pct"/>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Outside HEADING 7</w:t>
            </w:r>
            <w:r w:rsidRPr="004D5323">
              <w:rPr>
                <w:rFonts w:ascii="Arial Narrow" w:eastAsia="Times New Roman" w:hAnsi="Arial Narrow"/>
                <w:b/>
                <w:bCs/>
                <w:noProof/>
                <w:color w:val="000000"/>
                <w:sz w:val="22"/>
                <w:lang w:val="en-IE" w:eastAsia="en-IE"/>
              </w:rPr>
              <w:br/>
              <w:t>of the multiannual financial framework</w:t>
            </w:r>
          </w:p>
        </w:tc>
        <w:tc>
          <w:tcPr>
            <w:tcW w:w="504"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503"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501" w:type="pct"/>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w:t>
            </w:r>
            <w:r w:rsidRPr="004D5323">
              <w:rPr>
                <w:rFonts w:ascii="Arial Narrow" w:eastAsia="Times New Roman" w:hAnsi="Arial Narrow"/>
                <w:b/>
                <w:bCs/>
                <w:noProof/>
                <w:color w:val="000000"/>
                <w:sz w:val="20"/>
                <w:szCs w:val="20"/>
                <w:lang w:val="en-IE" w:eastAsia="en-IE"/>
              </w:rPr>
              <w:br/>
              <w:t>2021-2027</w:t>
            </w:r>
          </w:p>
        </w:tc>
        <w:tc>
          <w:tcPr>
            <w:tcW w:w="501" w:type="pct"/>
            <w:tcBorders>
              <w:top w:val="single" w:sz="8" w:space="0" w:color="auto"/>
              <w:left w:val="nil"/>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POST 2027</w:t>
            </w:r>
          </w:p>
        </w:tc>
      </w:tr>
      <w:tr w:rsidR="00155377" w:rsidRPr="006628BD">
        <w:trPr>
          <w:trHeight w:val="84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Expenditure on technical and administrative assistance (</w:t>
            </w:r>
            <w:r w:rsidRPr="004D5323">
              <w:rPr>
                <w:rFonts w:ascii="Arial Narrow" w:eastAsia="Times New Roman" w:hAnsi="Arial Narrow"/>
                <w:noProof/>
                <w:color w:val="000000"/>
                <w:sz w:val="20"/>
                <w:szCs w:val="20"/>
                <w:u w:val="single"/>
                <w:lang w:val="en-IE" w:eastAsia="en-IE"/>
              </w:rPr>
              <w:t>not including</w:t>
            </w:r>
            <w:r w:rsidRPr="004D5323">
              <w:rPr>
                <w:rFonts w:ascii="Arial Narrow" w:eastAsia="Times New Roman" w:hAnsi="Arial Narrow"/>
                <w:noProof/>
                <w:color w:val="000000"/>
                <w:sz w:val="20"/>
                <w:szCs w:val="20"/>
                <w:lang w:val="en-IE" w:eastAsia="en-IE"/>
              </w:rPr>
              <w:t xml:space="preserve"> external staff) from operational appropriations (former 'BA' lines):</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at Headquarters</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 in Union delegations</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management expenditure for research</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Policy IT expenditure on operational programmes</w:t>
            </w:r>
            <w:r>
              <w:rPr>
                <w:rStyle w:val="FootnoteReference"/>
                <w:rFonts w:ascii="Arial Narrow" w:hAnsi="Arial Narrow"/>
                <w:noProof/>
                <w:color w:val="000000"/>
                <w:sz w:val="20"/>
                <w:szCs w:val="20"/>
                <w:lang w:val="en-IE" w:eastAsia="en-IE"/>
              </w:rPr>
              <w:footnoteReference w:id="58"/>
            </w:r>
            <w:r w:rsidRPr="004D5323">
              <w:rPr>
                <w:rFonts w:ascii="Arial Narrow" w:eastAsia="Times New Roman" w:hAnsi="Arial Narrow"/>
                <w:noProof/>
                <w:color w:val="000000"/>
                <w:sz w:val="20"/>
                <w:szCs w:val="20"/>
                <w:lang w:val="en-IE" w:eastAsia="en-IE"/>
              </w:rPr>
              <w:t xml:space="preserve">  </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Corporate IT expenditure on operational programmes</w:t>
            </w:r>
            <w:r>
              <w:rPr>
                <w:rStyle w:val="FootnoteReference"/>
                <w:rFonts w:ascii="Arial Narrow" w:hAnsi="Arial Narrow"/>
                <w:noProof/>
                <w:color w:val="000000"/>
                <w:sz w:val="20"/>
                <w:szCs w:val="20"/>
                <w:lang w:val="en-IE" w:eastAsia="en-IE"/>
              </w:rPr>
              <w:footnoteReference w:id="59"/>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Other budget lines non-HR related (</w:t>
            </w:r>
            <w:r w:rsidRPr="004D5323">
              <w:rPr>
                <w:rFonts w:ascii="Arial Narrow" w:eastAsia="Times New Roman" w:hAnsi="Arial Narrow"/>
                <w:i/>
                <w:iCs/>
                <w:noProof/>
                <w:color w:val="000000"/>
                <w:sz w:val="20"/>
                <w:szCs w:val="20"/>
                <w:lang w:val="en-IE" w:eastAsia="en-IE"/>
              </w:rPr>
              <w:t>specify where necessary</w:t>
            </w:r>
            <w:r w:rsidRPr="004D5323">
              <w:rPr>
                <w:rFonts w:ascii="Arial Narrow" w:eastAsia="Times New Roman" w:hAnsi="Arial Narrow"/>
                <w:noProof/>
                <w:color w:val="000000"/>
                <w:sz w:val="20"/>
                <w:szCs w:val="20"/>
                <w:lang w:val="en-IE" w:eastAsia="en-IE"/>
              </w:rPr>
              <w:t>)</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564"/>
          <w:jc w:val="center"/>
        </w:trPr>
        <w:tc>
          <w:tcPr>
            <w:tcW w:w="1985" w:type="pct"/>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Other – Outside HEADING 7</w:t>
            </w:r>
            <w:r w:rsidRPr="004D5323">
              <w:rPr>
                <w:rFonts w:ascii="Arial Narrow" w:eastAsia="Times New Roman" w:hAnsi="Arial Narrow"/>
                <w:b/>
                <w:bCs/>
                <w:noProof/>
                <w:color w:val="000000"/>
                <w:sz w:val="22"/>
                <w:lang w:val="en-IE" w:eastAsia="en-IE"/>
              </w:rPr>
              <w:br/>
              <w:t>of the multiannual financial framework</w:t>
            </w:r>
          </w:p>
        </w:tc>
        <w:tc>
          <w:tcPr>
            <w:tcW w:w="504"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1" w:type="pct"/>
            <w:tcBorders>
              <w:top w:val="nil"/>
              <w:left w:val="nil"/>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p>
        </w:tc>
      </w:tr>
      <w:tr w:rsidR="00155377" w:rsidRPr="006628BD">
        <w:trPr>
          <w:trHeight w:val="300"/>
          <w:jc w:val="center"/>
        </w:trPr>
        <w:tc>
          <w:tcPr>
            <w:tcW w:w="1985" w:type="pct"/>
            <w:tcBorders>
              <w:top w:val="nil"/>
              <w:left w:val="single" w:sz="8" w:space="0" w:color="auto"/>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Other admin expenditure (all MFF Headings)</w:t>
            </w:r>
          </w:p>
        </w:tc>
        <w:tc>
          <w:tcPr>
            <w:tcW w:w="504"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0.000</w:t>
            </w:r>
          </w:p>
        </w:tc>
        <w:tc>
          <w:tcPr>
            <w:tcW w:w="503" w:type="pct"/>
            <w:tcBorders>
              <w:top w:val="nil"/>
              <w:left w:val="nil"/>
              <w:bottom w:val="single" w:sz="8" w:space="0" w:color="auto"/>
              <w:right w:val="single" w:sz="8" w:space="0" w:color="auto"/>
            </w:tcBorders>
            <w:shd w:val="clear" w:color="000000" w:fill="DDEBF7"/>
            <w:vAlign w:val="center"/>
            <w:hideMark/>
          </w:tcPr>
          <w:p w:rsidR="00155377" w:rsidRPr="00550683" w:rsidRDefault="00155377">
            <w:pPr>
              <w:spacing w:before="0" w:after="0"/>
              <w:jc w:val="center"/>
              <w:rPr>
                <w:rFonts w:ascii="Arial Narrow" w:eastAsia="Times New Roman" w:hAnsi="Arial Narrow"/>
                <w:b/>
                <w:bCs/>
                <w:noProof/>
                <w:color w:val="000000"/>
                <w:sz w:val="20"/>
                <w:szCs w:val="20"/>
                <w:lang w:val="en-IE" w:eastAsia="en-IE"/>
              </w:rPr>
            </w:pPr>
            <w:r w:rsidRPr="00550683">
              <w:rPr>
                <w:rFonts w:ascii="Arial Narrow" w:hAnsi="Arial Narrow" w:cs="Calibri"/>
                <w:b/>
                <w:bCs/>
                <w:noProof/>
                <w:color w:val="000000"/>
                <w:sz w:val="20"/>
                <w:szCs w:val="20"/>
              </w:rPr>
              <w:t>0</w:t>
            </w:r>
            <w:r w:rsidR="00495ED5">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DEBF7"/>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w:t>
            </w:r>
            <w:r w:rsidR="00495ED5">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501" w:type="pct"/>
            <w:tcBorders>
              <w:top w:val="nil"/>
              <w:left w:val="nil"/>
              <w:bottom w:val="single" w:sz="8" w:space="0" w:color="auto"/>
              <w:right w:val="single" w:sz="8" w:space="0" w:color="auto"/>
            </w:tcBorders>
            <w:shd w:val="clear" w:color="000000" w:fill="DDEBF7"/>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eastAsia="en-IE"/>
              </w:rPr>
              <w:t>0</w:t>
            </w:r>
            <w:r w:rsidR="00495ED5">
              <w:rPr>
                <w:rFonts w:ascii="Arial Narrow" w:eastAsia="Times New Roman" w:hAnsi="Arial Narrow"/>
                <w:b/>
                <w:bCs/>
                <w:noProof/>
                <w:color w:val="000000"/>
                <w:sz w:val="20"/>
                <w:szCs w:val="20"/>
                <w:lang w:eastAsia="en-IE"/>
              </w:rPr>
              <w:t>.</w:t>
            </w:r>
            <w:r>
              <w:rPr>
                <w:rFonts w:ascii="Arial Narrow" w:hAnsi="Arial Narrow" w:cs="Calibri"/>
                <w:b/>
                <w:bCs/>
                <w:noProof/>
                <w:color w:val="000000"/>
                <w:sz w:val="20"/>
                <w:szCs w:val="20"/>
              </w:rPr>
              <w:t>126</w:t>
            </w:r>
          </w:p>
        </w:tc>
      </w:tr>
    </w:tbl>
    <w:p w:rsidR="00155377" w:rsidRPr="008B4CF8" w:rsidRDefault="00155377" w:rsidP="00155377">
      <w:pPr>
        <w:spacing w:after="200" w:line="276" w:lineRule="auto"/>
        <w:rPr>
          <w:b/>
          <w:noProof/>
          <w:color w:val="0000FF"/>
          <w:sz w:val="20"/>
          <w:szCs w:val="20"/>
        </w:rPr>
      </w:pPr>
      <w:r w:rsidRPr="008B4CF8">
        <w:rPr>
          <w:b/>
          <w:noProof/>
          <w:color w:val="0000FF"/>
          <w:sz w:val="20"/>
          <w:szCs w:val="20"/>
        </w:rPr>
        <w:br w:type="page"/>
      </w:r>
    </w:p>
    <w:p w:rsidR="00155377" w:rsidRDefault="00155377" w:rsidP="00CA3EE5">
      <w:pPr>
        <w:pStyle w:val="ManualNumPar1"/>
        <w:ind w:left="426" w:hanging="426"/>
        <w:rPr>
          <w:noProof/>
        </w:rPr>
      </w:pPr>
      <w:r w:rsidRPr="00C119BA">
        <w:rPr>
          <w:noProof/>
        </w:rPr>
        <w:t>3.</w:t>
      </w:r>
      <w:r w:rsidRPr="00C119BA">
        <w:rPr>
          <w:noProof/>
        </w:rPr>
        <w:tab/>
      </w:r>
      <w:r w:rsidRPr="008B4CF8">
        <w:rPr>
          <w:noProof/>
        </w:rPr>
        <w:t>Total administrative costs (all Headings MFF)</w:t>
      </w:r>
    </w:p>
    <w:p w:rsidR="00155377" w:rsidRPr="00F70F4B" w:rsidRDefault="00155377" w:rsidP="007B26E6">
      <w:pPr>
        <w:pStyle w:val="ManualNumPar2"/>
        <w:rPr>
          <w:noProof/>
        </w:rPr>
      </w:pPr>
      <w:r>
        <w:rPr>
          <w:noProof/>
        </w:rPr>
        <w:t>3.1. Appropriations from voted budget</w:t>
      </w:r>
    </w:p>
    <w:p w:rsidR="00155377" w:rsidRPr="00F70F4B" w:rsidRDefault="00155377" w:rsidP="00155377">
      <w:pPr>
        <w:pStyle w:val="Text1"/>
        <w:ind w:left="0"/>
        <w:rPr>
          <w:noProof/>
        </w:rPr>
      </w:pPr>
      <w:r>
        <w:rPr>
          <w:noProof/>
        </w:rPr>
        <w:t>3.1.1. DG ENER</w:t>
      </w:r>
    </w:p>
    <w:p w:rsidR="00155377" w:rsidRPr="008B4CF8" w:rsidRDefault="00155377" w:rsidP="00AE6949">
      <w:pPr>
        <w:ind w:right="1439"/>
        <w:jc w:val="right"/>
        <w:rPr>
          <w:i/>
          <w:iCs/>
          <w:noProof/>
          <w:sz w:val="20"/>
          <w:szCs w:val="20"/>
        </w:rPr>
      </w:pPr>
      <w:r w:rsidRPr="008B4CF8">
        <w:rPr>
          <w:i/>
          <w:noProof/>
          <w:sz w:val="20"/>
          <w:szCs w:val="20"/>
        </w:rPr>
        <w:t>EUR million (to three decimal places)</w:t>
      </w:r>
    </w:p>
    <w:tbl>
      <w:tblPr>
        <w:tblW w:w="10300" w:type="dxa"/>
        <w:jc w:val="center"/>
        <w:tblLook w:val="04A0" w:firstRow="1" w:lastRow="0" w:firstColumn="1" w:lastColumn="0" w:noHBand="0" w:noVBand="1"/>
      </w:tblPr>
      <w:tblGrid>
        <w:gridCol w:w="4350"/>
        <w:gridCol w:w="1037"/>
        <w:gridCol w:w="1037"/>
        <w:gridCol w:w="1037"/>
        <w:gridCol w:w="941"/>
        <w:gridCol w:w="949"/>
        <w:gridCol w:w="949"/>
      </w:tblGrid>
      <w:tr w:rsidR="00155377" w:rsidRPr="00F70F4B" w:rsidTr="00877738">
        <w:trPr>
          <w:trHeight w:val="564"/>
          <w:jc w:val="center"/>
        </w:trPr>
        <w:tc>
          <w:tcPr>
            <w:tcW w:w="435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Summary</w:t>
            </w:r>
          </w:p>
        </w:tc>
        <w:tc>
          <w:tcPr>
            <w:tcW w:w="1037" w:type="dxa"/>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2024</w:t>
            </w:r>
          </w:p>
        </w:tc>
        <w:tc>
          <w:tcPr>
            <w:tcW w:w="1037" w:type="dxa"/>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2025</w:t>
            </w:r>
          </w:p>
        </w:tc>
        <w:tc>
          <w:tcPr>
            <w:tcW w:w="1037" w:type="dxa"/>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2026</w:t>
            </w:r>
          </w:p>
        </w:tc>
        <w:tc>
          <w:tcPr>
            <w:tcW w:w="941" w:type="dxa"/>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FF"/>
                <w:sz w:val="20"/>
                <w:szCs w:val="20"/>
                <w:lang w:val="en-IE" w:eastAsia="en-IE"/>
              </w:rPr>
            </w:pPr>
            <w:r w:rsidRPr="004D5323">
              <w:rPr>
                <w:rFonts w:ascii="Arial Narrow" w:eastAsia="Times New Roman" w:hAnsi="Arial Narrow"/>
                <w:b/>
                <w:bCs/>
                <w:noProof/>
                <w:color w:val="0000FF"/>
                <w:sz w:val="20"/>
                <w:szCs w:val="20"/>
                <w:lang w:val="en-IE" w:eastAsia="en-IE"/>
              </w:rPr>
              <w:t>2027</w:t>
            </w:r>
          </w:p>
        </w:tc>
        <w:tc>
          <w:tcPr>
            <w:tcW w:w="949" w:type="dxa"/>
            <w:tcBorders>
              <w:top w:val="single" w:sz="8" w:space="0" w:color="auto"/>
              <w:left w:val="nil"/>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sidRPr="004D5323">
              <w:rPr>
                <w:rFonts w:ascii="Arial Narrow" w:eastAsia="Times New Roman" w:hAnsi="Arial Narrow"/>
                <w:b/>
                <w:bCs/>
                <w:noProof/>
                <w:color w:val="000000"/>
                <w:sz w:val="20"/>
                <w:szCs w:val="20"/>
                <w:lang w:val="en-IE" w:eastAsia="en-IE"/>
              </w:rPr>
              <w:t>TOTAL</w:t>
            </w:r>
            <w:r w:rsidRPr="004D5323">
              <w:rPr>
                <w:rFonts w:ascii="Arial Narrow" w:eastAsia="Times New Roman" w:hAnsi="Arial Narrow"/>
                <w:b/>
                <w:bCs/>
                <w:noProof/>
                <w:color w:val="000000"/>
                <w:sz w:val="20"/>
                <w:szCs w:val="20"/>
                <w:lang w:val="en-IE" w:eastAsia="en-IE"/>
              </w:rPr>
              <w:br/>
              <w:t>2021-2027</w:t>
            </w:r>
          </w:p>
        </w:tc>
        <w:tc>
          <w:tcPr>
            <w:tcW w:w="949" w:type="dxa"/>
            <w:tcBorders>
              <w:top w:val="single" w:sz="8" w:space="0" w:color="auto"/>
              <w:left w:val="nil"/>
              <w:bottom w:val="single" w:sz="8" w:space="0" w:color="auto"/>
              <w:right w:val="single" w:sz="8" w:space="0" w:color="auto"/>
            </w:tcBorders>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Heading 7 - Human Resources</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0,404</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0,404</w:t>
            </w:r>
          </w:p>
        </w:tc>
        <w:tc>
          <w:tcPr>
            <w:tcW w:w="949" w:type="dxa"/>
            <w:tcBorders>
              <w:top w:val="single" w:sz="8" w:space="0" w:color="auto"/>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2,828</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Heading 7 – Other administrative expenditure</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0,180</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0,180</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0,126</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Heading 7</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495ED5">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495ED5">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495ED5">
              <w:rPr>
                <w:rFonts w:ascii="Arial Narrow" w:eastAsia="Times New Roman" w:hAnsi="Arial Narrow"/>
                <w:b/>
                <w:bCs/>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0,584</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2,954</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Outside Heading 7 – Human Resources</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0,000</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0,000</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Outside Heading 7 – Other administrative expenditure</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noProof/>
                <w:color w:val="000000"/>
                <w:sz w:val="20"/>
                <w:szCs w:val="20"/>
                <w:lang w:val="en-IE" w:eastAsia="en-IE"/>
              </w:rPr>
            </w:pPr>
            <w:r>
              <w:rPr>
                <w:rFonts w:ascii="Arial Narrow" w:hAnsi="Arial Narrow" w:cs="Calibri"/>
                <w:noProof/>
                <w:color w:val="000000"/>
                <w:sz w:val="20"/>
                <w:szCs w:val="20"/>
              </w:rPr>
              <w:t>0,000</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noProof/>
                <w:color w:val="000000"/>
                <w:sz w:val="20"/>
                <w:szCs w:val="20"/>
              </w:rPr>
              <w:t>0,000</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Sub-total Other Headings</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0,000</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0,000</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0,000</w:t>
            </w:r>
          </w:p>
        </w:tc>
      </w:tr>
      <w:tr w:rsidR="00155377" w:rsidRPr="00F70F4B" w:rsidTr="00877738">
        <w:trPr>
          <w:trHeight w:val="300"/>
          <w:jc w:val="center"/>
        </w:trPr>
        <w:tc>
          <w:tcPr>
            <w:tcW w:w="4350" w:type="dxa"/>
            <w:tcBorders>
              <w:top w:val="nil"/>
              <w:left w:val="single" w:sz="8" w:space="0" w:color="auto"/>
              <w:bottom w:val="single" w:sz="8" w:space="0" w:color="auto"/>
              <w:right w:val="single" w:sz="8" w:space="0" w:color="auto"/>
            </w:tcBorders>
            <w:vAlign w:val="center"/>
            <w:hideMark/>
          </w:tcPr>
          <w:p w:rsidR="00155377" w:rsidRPr="004D5323" w:rsidRDefault="00155377">
            <w:pPr>
              <w:spacing w:before="0" w:after="0"/>
              <w:jc w:val="center"/>
              <w:rPr>
                <w:rFonts w:ascii="Arial Narrow" w:eastAsia="Times New Roman" w:hAnsi="Arial Narrow"/>
                <w:b/>
                <w:bCs/>
                <w:noProof/>
                <w:color w:val="000000"/>
                <w:lang w:val="en-IE" w:eastAsia="en-IE"/>
              </w:rPr>
            </w:pPr>
            <w:r w:rsidRPr="004D5323">
              <w:rPr>
                <w:rFonts w:ascii="Arial Narrow" w:eastAsia="Times New Roman" w:hAnsi="Arial Narrow"/>
                <w:b/>
                <w:bCs/>
                <w:noProof/>
                <w:color w:val="000000"/>
                <w:sz w:val="22"/>
                <w:lang w:val="en-IE" w:eastAsia="en-IE"/>
              </w:rPr>
              <w:t>TOTAL HEADING 7 and Outside HEADING 7</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000000" w:fill="D9D9D9"/>
            <w:vAlign w:val="center"/>
            <w:hideMark/>
          </w:tcPr>
          <w:p w:rsidR="00155377" w:rsidRPr="004D5323" w:rsidRDefault="00877738">
            <w:pPr>
              <w:spacing w:before="0" w:after="0"/>
              <w:jc w:val="center"/>
              <w:rPr>
                <w:rFonts w:ascii="Arial Narrow" w:eastAsia="Times New Roman" w:hAnsi="Arial Narrow"/>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41"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0,584</w:t>
            </w:r>
          </w:p>
        </w:tc>
        <w:tc>
          <w:tcPr>
            <w:tcW w:w="949" w:type="dxa"/>
            <w:tcBorders>
              <w:top w:val="nil"/>
              <w:left w:val="nil"/>
              <w:bottom w:val="single" w:sz="8" w:space="0" w:color="auto"/>
              <w:right w:val="single" w:sz="8" w:space="0" w:color="auto"/>
            </w:tcBorders>
            <w:shd w:val="clear" w:color="000000" w:fill="D9D9D9"/>
            <w:vAlign w:val="center"/>
            <w:hideMark/>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0,584</w:t>
            </w:r>
          </w:p>
        </w:tc>
        <w:tc>
          <w:tcPr>
            <w:tcW w:w="949" w:type="dxa"/>
            <w:tcBorders>
              <w:top w:val="nil"/>
              <w:left w:val="single" w:sz="8" w:space="0" w:color="auto"/>
              <w:bottom w:val="single" w:sz="8" w:space="0" w:color="auto"/>
              <w:right w:val="single" w:sz="8" w:space="0" w:color="auto"/>
            </w:tcBorders>
            <w:shd w:val="clear" w:color="000000" w:fill="D9D9D9"/>
            <w:vAlign w:val="center"/>
          </w:tcPr>
          <w:p w:rsidR="00155377" w:rsidRPr="004D5323" w:rsidRDefault="00155377">
            <w:pPr>
              <w:spacing w:before="0" w:after="0"/>
              <w:jc w:val="center"/>
              <w:rPr>
                <w:rFonts w:ascii="Arial Narrow" w:eastAsia="Times New Roman" w:hAnsi="Arial Narrow"/>
                <w:b/>
                <w:bCs/>
                <w:noProof/>
                <w:color w:val="000000"/>
                <w:sz w:val="20"/>
                <w:szCs w:val="20"/>
                <w:lang w:val="en-IE" w:eastAsia="en-IE"/>
              </w:rPr>
            </w:pPr>
            <w:r>
              <w:rPr>
                <w:rFonts w:ascii="Arial Narrow" w:hAnsi="Arial Narrow" w:cs="Calibri"/>
                <w:b/>
                <w:bCs/>
                <w:noProof/>
                <w:color w:val="000000"/>
                <w:sz w:val="20"/>
                <w:szCs w:val="20"/>
              </w:rPr>
              <w:t>2,954</w:t>
            </w:r>
          </w:p>
        </w:tc>
      </w:tr>
    </w:tbl>
    <w:p w:rsidR="00155377" w:rsidRDefault="00155377" w:rsidP="00155377">
      <w:pPr>
        <w:ind w:right="-496"/>
        <w:jc w:val="right"/>
        <w:rPr>
          <w:rFonts w:ascii="Arial Narrow" w:hAnsi="Arial Narrow"/>
          <w:i/>
          <w:iCs/>
          <w:noProof/>
          <w:sz w:val="20"/>
          <w:szCs w:val="20"/>
        </w:rPr>
      </w:pPr>
    </w:p>
    <w:p w:rsidR="00155377" w:rsidRDefault="00155377" w:rsidP="00155377">
      <w:pPr>
        <w:pStyle w:val="Text1"/>
        <w:ind w:left="0"/>
        <w:rPr>
          <w:noProof/>
        </w:rPr>
      </w:pPr>
      <w:r>
        <w:rPr>
          <w:noProof/>
        </w:rPr>
        <w:t>3.1.2. DG JRC</w:t>
      </w:r>
    </w:p>
    <w:p w:rsidR="00155377" w:rsidRPr="00F70F4B" w:rsidRDefault="00155377" w:rsidP="00155377">
      <w:pPr>
        <w:pStyle w:val="Text1"/>
        <w:spacing w:before="60" w:after="0"/>
        <w:ind w:left="360"/>
        <w:rPr>
          <w:noProof/>
        </w:rPr>
      </w:pPr>
    </w:p>
    <w:tbl>
      <w:tblPr>
        <w:tblW w:w="10300" w:type="dxa"/>
        <w:jc w:val="center"/>
        <w:tblLook w:val="04A0" w:firstRow="1" w:lastRow="0" w:firstColumn="1" w:lastColumn="0" w:noHBand="0" w:noVBand="1"/>
      </w:tblPr>
      <w:tblGrid>
        <w:gridCol w:w="4311"/>
        <w:gridCol w:w="1037"/>
        <w:gridCol w:w="1037"/>
        <w:gridCol w:w="1037"/>
        <w:gridCol w:w="987"/>
        <w:gridCol w:w="946"/>
        <w:gridCol w:w="945"/>
      </w:tblGrid>
      <w:tr w:rsidR="00155377" w:rsidRPr="00F70F4B" w:rsidTr="009B1F95">
        <w:trPr>
          <w:trHeight w:val="564"/>
          <w:jc w:val="center"/>
        </w:trPr>
        <w:tc>
          <w:tcPr>
            <w:tcW w:w="4311"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Summary</w:t>
            </w:r>
          </w:p>
        </w:tc>
        <w:tc>
          <w:tcPr>
            <w:tcW w:w="1037"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2024</w:t>
            </w:r>
          </w:p>
        </w:tc>
        <w:tc>
          <w:tcPr>
            <w:tcW w:w="1037"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2025</w:t>
            </w:r>
          </w:p>
        </w:tc>
        <w:tc>
          <w:tcPr>
            <w:tcW w:w="1037"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2026</w:t>
            </w:r>
          </w:p>
        </w:tc>
        <w:tc>
          <w:tcPr>
            <w:tcW w:w="987"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2027</w:t>
            </w:r>
          </w:p>
        </w:tc>
        <w:tc>
          <w:tcPr>
            <w:tcW w:w="946"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sidRPr="00F70F4B">
              <w:rPr>
                <w:rFonts w:ascii="Arial Narrow" w:eastAsia="Times New Roman" w:hAnsi="Arial Narrow" w:cs="Calibri"/>
                <w:b/>
                <w:bCs/>
                <w:noProof/>
                <w:color w:val="000000"/>
                <w:sz w:val="20"/>
                <w:szCs w:val="20"/>
                <w:lang w:val="en-IE" w:eastAsia="en-IE"/>
              </w:rPr>
              <w:t>TOTAL</w:t>
            </w:r>
            <w:r w:rsidRPr="00F70F4B">
              <w:rPr>
                <w:rFonts w:ascii="Arial Narrow" w:eastAsia="Times New Roman" w:hAnsi="Arial Narrow" w:cs="Calibri"/>
                <w:b/>
                <w:bCs/>
                <w:noProof/>
                <w:color w:val="000000"/>
                <w:sz w:val="20"/>
                <w:szCs w:val="20"/>
                <w:lang w:val="en-IE" w:eastAsia="en-IE"/>
              </w:rPr>
              <w:br/>
              <w:t>2021-2027</w:t>
            </w:r>
          </w:p>
        </w:tc>
        <w:tc>
          <w:tcPr>
            <w:tcW w:w="945" w:type="dxa"/>
            <w:tcBorders>
              <w:top w:val="single" w:sz="8" w:space="0" w:color="auto"/>
              <w:left w:val="nil"/>
              <w:bottom w:val="single" w:sz="8" w:space="0" w:color="auto"/>
              <w:right w:val="nil"/>
            </w:tcBorders>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eastAsia="Times New Roman" w:hAnsi="Arial Narrow"/>
                <w:b/>
                <w:bCs/>
                <w:noProof/>
                <w:color w:val="000000"/>
                <w:sz w:val="20"/>
                <w:szCs w:val="20"/>
                <w:lang w:val="en-IE" w:eastAsia="en-IE"/>
              </w:rPr>
              <w:t>TOTAL 2028-2034</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Heading 7 - Human Resources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210CA1">
              <w:rPr>
                <w:rFonts w:ascii="Arial Narrow" w:eastAsia="Times New Roman" w:hAnsi="Arial Narrow"/>
                <w:b/>
                <w:bCs/>
                <w:noProof/>
                <w:color w:val="000000"/>
                <w:sz w:val="20"/>
                <w:szCs w:val="20"/>
                <w:lang w:val="en-IE" w:eastAsia="en-IE"/>
              </w:rPr>
              <w:t>0.000</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Heading 7 – Other administrative expenditure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210CA1">
              <w:rPr>
                <w:rFonts w:ascii="Arial Narrow" w:eastAsia="Times New Roman" w:hAnsi="Arial Narrow"/>
                <w:b/>
                <w:bCs/>
                <w:noProof/>
                <w:color w:val="000000"/>
                <w:sz w:val="20"/>
                <w:szCs w:val="20"/>
                <w:lang w:val="en-IE" w:eastAsia="en-IE"/>
              </w:rPr>
              <w:t>0.000</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Sub-total Heading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9B1F95">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Outside Heading 7 – Human Resources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9B1F95">
              <w:rPr>
                <w:rFonts w:ascii="Arial Narrow" w:hAnsi="Arial Narrow" w:cs="Calibri"/>
                <w:noProof/>
                <w:color w:val="000000"/>
                <w:sz w:val="20"/>
                <w:szCs w:val="20"/>
              </w:rPr>
              <w:t>.</w:t>
            </w:r>
            <w:r>
              <w:rPr>
                <w:rFonts w:ascii="Arial Narrow" w:hAnsi="Arial Narrow" w:cs="Calibri"/>
                <w:noProof/>
                <w:color w:val="000000"/>
                <w:sz w:val="20"/>
                <w:szCs w:val="20"/>
              </w:rPr>
              <w:t>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1</w:t>
            </w:r>
            <w:r w:rsidR="009B1F95">
              <w:rPr>
                <w:rFonts w:ascii="Arial Narrow" w:hAnsi="Arial Narrow" w:cs="Calibri"/>
                <w:noProof/>
                <w:color w:val="000000"/>
                <w:sz w:val="20"/>
                <w:szCs w:val="20"/>
              </w:rPr>
              <w:t>.</w:t>
            </w:r>
            <w:r>
              <w:rPr>
                <w:rFonts w:ascii="Arial Narrow" w:hAnsi="Arial Narrow" w:cs="Calibri"/>
                <w:noProof/>
                <w:color w:val="000000"/>
                <w:sz w:val="20"/>
                <w:szCs w:val="20"/>
              </w:rPr>
              <w:t>782</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Outside Heading 7 – Other administrative expenditure</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9B1F95">
              <w:rPr>
                <w:rFonts w:ascii="Arial Narrow" w:hAnsi="Arial Narrow" w:cs="Calibri"/>
                <w:noProof/>
                <w:color w:val="000000"/>
                <w:sz w:val="20"/>
                <w:szCs w:val="20"/>
              </w:rPr>
              <w:t>.</w:t>
            </w:r>
            <w:r>
              <w:rPr>
                <w:rFonts w:ascii="Arial Narrow" w:hAnsi="Arial Narrow" w:cs="Calibri"/>
                <w:noProof/>
                <w:color w:val="000000"/>
                <w:sz w:val="20"/>
                <w:szCs w:val="20"/>
              </w:rPr>
              <w:t>000</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000</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0</w:t>
            </w:r>
            <w:r w:rsidR="009B1F95">
              <w:rPr>
                <w:rFonts w:ascii="Arial Narrow" w:hAnsi="Arial Narrow" w:cs="Calibri"/>
                <w:noProof/>
                <w:color w:val="000000"/>
                <w:sz w:val="20"/>
                <w:szCs w:val="20"/>
              </w:rPr>
              <w:t>.</w:t>
            </w:r>
            <w:r>
              <w:rPr>
                <w:rFonts w:ascii="Arial Narrow" w:hAnsi="Arial Narrow" w:cs="Calibri"/>
                <w:noProof/>
                <w:color w:val="000000"/>
                <w:sz w:val="20"/>
                <w:szCs w:val="20"/>
              </w:rPr>
              <w:t>000</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Sub-total Other Headings</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1</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782</w:t>
            </w:r>
          </w:p>
        </w:tc>
      </w:tr>
      <w:tr w:rsidR="00155377" w:rsidRPr="00F70F4B" w:rsidTr="009B1F95">
        <w:trPr>
          <w:trHeight w:val="300"/>
          <w:jc w:val="center"/>
        </w:trPr>
        <w:tc>
          <w:tcPr>
            <w:tcW w:w="4311"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TOTAL HEADING 7 and Outside HEADING 7</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103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2D3639">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87"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46" w:type="dxa"/>
            <w:tcBorders>
              <w:top w:val="nil"/>
              <w:left w:val="nil"/>
              <w:bottom w:val="single" w:sz="8" w:space="0" w:color="auto"/>
              <w:right w:val="single" w:sz="8" w:space="0" w:color="auto"/>
            </w:tcBorders>
            <w:shd w:val="clear" w:color="auto" w:fill="D9D9D9" w:themeFill="background1" w:themeFillShade="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45" w:type="dxa"/>
            <w:tcBorders>
              <w:top w:val="nil"/>
              <w:left w:val="nil"/>
              <w:bottom w:val="single" w:sz="8" w:space="0" w:color="auto"/>
              <w:right w:val="nil"/>
            </w:tcBorders>
            <w:shd w:val="clear" w:color="auto" w:fill="D9D9D9" w:themeFill="background1" w:themeFillShade="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1</w:t>
            </w:r>
            <w:r w:rsidR="009B1F95">
              <w:rPr>
                <w:rFonts w:ascii="Arial Narrow" w:hAnsi="Arial Narrow" w:cs="Calibri"/>
                <w:b/>
                <w:bCs/>
                <w:noProof/>
                <w:color w:val="000000"/>
                <w:sz w:val="20"/>
                <w:szCs w:val="20"/>
              </w:rPr>
              <w:t>.</w:t>
            </w:r>
            <w:r>
              <w:rPr>
                <w:rFonts w:ascii="Arial Narrow" w:hAnsi="Arial Narrow" w:cs="Calibri"/>
                <w:b/>
                <w:bCs/>
                <w:noProof/>
                <w:color w:val="000000"/>
                <w:sz w:val="20"/>
                <w:szCs w:val="20"/>
              </w:rPr>
              <w:t>782</w:t>
            </w:r>
          </w:p>
        </w:tc>
      </w:tr>
    </w:tbl>
    <w:p w:rsidR="00155377" w:rsidRDefault="00155377" w:rsidP="00155377">
      <w:pPr>
        <w:ind w:right="-496"/>
        <w:jc w:val="right"/>
        <w:rPr>
          <w:rFonts w:ascii="Arial Narrow" w:hAnsi="Arial Narrow"/>
          <w:i/>
          <w:iCs/>
          <w:noProof/>
          <w:sz w:val="20"/>
          <w:szCs w:val="20"/>
        </w:rPr>
      </w:pPr>
    </w:p>
    <w:p w:rsidR="00155377" w:rsidRDefault="00155377" w:rsidP="00155377">
      <w:pPr>
        <w:pStyle w:val="Text1"/>
        <w:ind w:left="0"/>
        <w:rPr>
          <w:noProof/>
        </w:rPr>
      </w:pPr>
      <w:r>
        <w:rPr>
          <w:noProof/>
        </w:rPr>
        <w:t>3.1.3. TOTAL</w:t>
      </w:r>
    </w:p>
    <w:p w:rsidR="00155377" w:rsidRPr="00F70F4B" w:rsidRDefault="00155377" w:rsidP="00155377">
      <w:pPr>
        <w:pStyle w:val="Text1"/>
        <w:ind w:left="0"/>
        <w:rPr>
          <w:noProof/>
        </w:rPr>
      </w:pPr>
    </w:p>
    <w:tbl>
      <w:tblPr>
        <w:tblW w:w="10300" w:type="dxa"/>
        <w:jc w:val="center"/>
        <w:tblLook w:val="04A0" w:firstRow="1" w:lastRow="0" w:firstColumn="1" w:lastColumn="0" w:noHBand="0" w:noVBand="1"/>
      </w:tblPr>
      <w:tblGrid>
        <w:gridCol w:w="4540"/>
        <w:gridCol w:w="960"/>
        <w:gridCol w:w="960"/>
        <w:gridCol w:w="960"/>
        <w:gridCol w:w="960"/>
        <w:gridCol w:w="960"/>
        <w:gridCol w:w="960"/>
      </w:tblGrid>
      <w:tr w:rsidR="00155377" w:rsidRPr="00F70F4B">
        <w:trPr>
          <w:trHeight w:val="564"/>
          <w:jc w:val="center"/>
        </w:trPr>
        <w:tc>
          <w:tcPr>
            <w:tcW w:w="454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Summary</w:t>
            </w:r>
          </w:p>
        </w:tc>
        <w:tc>
          <w:tcPr>
            <w:tcW w:w="960"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2024</w:t>
            </w:r>
          </w:p>
        </w:tc>
        <w:tc>
          <w:tcPr>
            <w:tcW w:w="960"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2025</w:t>
            </w:r>
          </w:p>
        </w:tc>
        <w:tc>
          <w:tcPr>
            <w:tcW w:w="960"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2026</w:t>
            </w:r>
          </w:p>
        </w:tc>
        <w:tc>
          <w:tcPr>
            <w:tcW w:w="960"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FF"/>
                <w:sz w:val="20"/>
                <w:szCs w:val="20"/>
                <w:lang w:val="en-IE" w:eastAsia="en-IE"/>
              </w:rPr>
            </w:pPr>
            <w:r w:rsidRPr="00F70F4B">
              <w:rPr>
                <w:rFonts w:ascii="Arial Narrow" w:eastAsia="Times New Roman" w:hAnsi="Arial Narrow" w:cs="Calibri"/>
                <w:b/>
                <w:bCs/>
                <w:noProof/>
                <w:color w:val="0000FF"/>
                <w:sz w:val="20"/>
                <w:szCs w:val="20"/>
                <w:lang w:val="en-IE" w:eastAsia="en-IE"/>
              </w:rPr>
              <w:t>2027</w:t>
            </w:r>
          </w:p>
        </w:tc>
        <w:tc>
          <w:tcPr>
            <w:tcW w:w="960" w:type="dxa"/>
            <w:tcBorders>
              <w:top w:val="single" w:sz="8" w:space="0" w:color="auto"/>
              <w:left w:val="nil"/>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sidRPr="00F70F4B">
              <w:rPr>
                <w:rFonts w:ascii="Arial Narrow" w:eastAsia="Times New Roman" w:hAnsi="Arial Narrow" w:cs="Calibri"/>
                <w:b/>
                <w:bCs/>
                <w:noProof/>
                <w:color w:val="000000"/>
                <w:sz w:val="20"/>
                <w:szCs w:val="20"/>
                <w:lang w:val="en-IE" w:eastAsia="en-IE"/>
              </w:rPr>
              <w:t>TOTAL</w:t>
            </w:r>
            <w:r w:rsidRPr="00F70F4B">
              <w:rPr>
                <w:rFonts w:ascii="Arial Narrow" w:eastAsia="Times New Roman" w:hAnsi="Arial Narrow" w:cs="Calibri"/>
                <w:b/>
                <w:bCs/>
                <w:noProof/>
                <w:color w:val="000000"/>
                <w:sz w:val="20"/>
                <w:szCs w:val="20"/>
                <w:lang w:val="en-IE" w:eastAsia="en-IE"/>
              </w:rPr>
              <w:br/>
              <w:t>2021-2027</w:t>
            </w:r>
          </w:p>
        </w:tc>
        <w:tc>
          <w:tcPr>
            <w:tcW w:w="960" w:type="dxa"/>
            <w:tcBorders>
              <w:top w:val="single" w:sz="8" w:space="0" w:color="auto"/>
              <w:left w:val="nil"/>
              <w:bottom w:val="single" w:sz="8" w:space="0" w:color="auto"/>
              <w:right w:val="single" w:sz="8" w:space="0" w:color="auto"/>
            </w:tcBorders>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eastAsia="Times New Roman" w:hAnsi="Arial Narrow" w:cs="Calibri"/>
                <w:b/>
                <w:bCs/>
                <w:noProof/>
                <w:color w:val="000000"/>
                <w:sz w:val="20"/>
                <w:szCs w:val="20"/>
                <w:lang w:val="en-IE" w:eastAsia="en-IE"/>
              </w:rPr>
              <w:t>TOTAL 2028-2034</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Heading 7 - Human Resources</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404</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404</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2</w:t>
            </w:r>
            <w:r w:rsidR="00070F9D">
              <w:rPr>
                <w:rFonts w:ascii="Arial Narrow" w:hAnsi="Arial Narrow" w:cs="Calibri"/>
                <w:noProof/>
                <w:color w:val="000000"/>
                <w:sz w:val="20"/>
                <w:szCs w:val="20"/>
              </w:rPr>
              <w:t>.</w:t>
            </w:r>
            <w:r>
              <w:rPr>
                <w:rFonts w:ascii="Arial Narrow" w:hAnsi="Arial Narrow" w:cs="Calibri"/>
                <w:noProof/>
                <w:color w:val="000000"/>
                <w:sz w:val="20"/>
                <w:szCs w:val="20"/>
              </w:rPr>
              <w:t>828</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Heading 7 – Other administrative expenditure</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018</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018</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126</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Sub-total Heading 7</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422</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422</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2</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954</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Outside Heading 7 – Human Resources</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255</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1</w:t>
            </w:r>
            <w:r w:rsidR="00070F9D">
              <w:rPr>
                <w:rFonts w:ascii="Arial Narrow" w:hAnsi="Arial Narrow" w:cs="Calibri"/>
                <w:noProof/>
                <w:color w:val="000000"/>
                <w:sz w:val="20"/>
                <w:szCs w:val="20"/>
              </w:rPr>
              <w:t>.</w:t>
            </w:r>
            <w:r>
              <w:rPr>
                <w:rFonts w:ascii="Arial Narrow" w:hAnsi="Arial Narrow" w:cs="Calibri"/>
                <w:noProof/>
                <w:color w:val="000000"/>
                <w:sz w:val="20"/>
                <w:szCs w:val="20"/>
              </w:rPr>
              <w:t>782</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rPr>
                <w:rFonts w:ascii="Arial Narrow" w:eastAsia="Times New Roman" w:hAnsi="Arial Narrow" w:cs="Calibri"/>
                <w:noProof/>
                <w:color w:val="000000"/>
                <w:sz w:val="20"/>
                <w:szCs w:val="20"/>
                <w:lang w:val="en-IE" w:eastAsia="en-IE"/>
              </w:rPr>
            </w:pPr>
            <w:r w:rsidRPr="00F70F4B">
              <w:rPr>
                <w:rFonts w:ascii="Arial Narrow" w:eastAsia="Times New Roman" w:hAnsi="Arial Narrow" w:cs="Calibri"/>
                <w:noProof/>
                <w:color w:val="000000"/>
                <w:sz w:val="20"/>
                <w:szCs w:val="20"/>
                <w:lang w:val="en-IE" w:eastAsia="en-IE"/>
              </w:rPr>
              <w:t>Outside Heading 7 – Other administrative expenditure</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noProof/>
                <w:color w:val="000000"/>
                <w:sz w:val="20"/>
                <w:szCs w:val="20"/>
                <w:lang w:val="en-IE" w:eastAsia="en-IE"/>
              </w:rPr>
            </w:pPr>
            <w:r w:rsidRPr="004D5323">
              <w:rPr>
                <w:rFonts w:ascii="Arial Narrow" w:eastAsia="Times New Roman" w:hAnsi="Arial Narrow"/>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000</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noProof/>
                <w:color w:val="000000"/>
                <w:sz w:val="20"/>
                <w:szCs w:val="20"/>
              </w:rPr>
              <w:t>0</w:t>
            </w:r>
            <w:r w:rsidR="00070F9D">
              <w:rPr>
                <w:rFonts w:ascii="Arial Narrow" w:hAnsi="Arial Narrow" w:cs="Calibri"/>
                <w:noProof/>
                <w:color w:val="000000"/>
                <w:sz w:val="20"/>
                <w:szCs w:val="20"/>
              </w:rPr>
              <w:t>.</w:t>
            </w:r>
            <w:r>
              <w:rPr>
                <w:rFonts w:ascii="Arial Narrow" w:hAnsi="Arial Narrow" w:cs="Calibri"/>
                <w:noProof/>
                <w:color w:val="000000"/>
                <w:sz w:val="20"/>
                <w:szCs w:val="20"/>
              </w:rPr>
              <w:t>000</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Sub-total Other Headings</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255</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1</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782</w:t>
            </w:r>
          </w:p>
        </w:tc>
      </w:tr>
      <w:tr w:rsidR="00155377" w:rsidRPr="00F70F4B">
        <w:trPr>
          <w:trHeight w:val="300"/>
          <w:jc w:val="center"/>
        </w:trPr>
        <w:tc>
          <w:tcPr>
            <w:tcW w:w="4540" w:type="dxa"/>
            <w:tcBorders>
              <w:top w:val="nil"/>
              <w:left w:val="single" w:sz="8" w:space="0" w:color="auto"/>
              <w:bottom w:val="single" w:sz="8" w:space="0" w:color="auto"/>
              <w:right w:val="single" w:sz="8" w:space="0" w:color="auto"/>
            </w:tcBorders>
            <w:vAlign w:val="center"/>
            <w:hideMark/>
          </w:tcPr>
          <w:p w:rsidR="00155377" w:rsidRPr="00F70F4B" w:rsidRDefault="00155377">
            <w:pPr>
              <w:spacing w:before="0" w:after="0"/>
              <w:jc w:val="center"/>
              <w:rPr>
                <w:rFonts w:ascii="Arial Narrow" w:eastAsia="Times New Roman" w:hAnsi="Arial Narrow" w:cs="Calibri"/>
                <w:b/>
                <w:bCs/>
                <w:noProof/>
                <w:color w:val="000000"/>
                <w:lang w:val="en-IE" w:eastAsia="en-IE"/>
              </w:rPr>
            </w:pPr>
            <w:r w:rsidRPr="00F70F4B">
              <w:rPr>
                <w:rFonts w:ascii="Arial Narrow" w:eastAsia="Times New Roman" w:hAnsi="Arial Narrow" w:cs="Calibri"/>
                <w:b/>
                <w:bCs/>
                <w:noProof/>
                <w:color w:val="000000"/>
                <w:sz w:val="22"/>
                <w:lang w:val="en-IE" w:eastAsia="en-IE"/>
              </w:rPr>
              <w:t>TOTAL HEADING 7 and Outside HEADING 7</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070F9D">
            <w:pPr>
              <w:spacing w:before="0" w:after="0"/>
              <w:jc w:val="center"/>
              <w:rPr>
                <w:rFonts w:ascii="Arial Narrow" w:eastAsia="Times New Roman" w:hAnsi="Arial Narrow" w:cs="Calibri"/>
                <w:b/>
                <w:bCs/>
                <w:noProof/>
                <w:color w:val="000000"/>
                <w:sz w:val="20"/>
                <w:szCs w:val="20"/>
                <w:lang w:val="en-IE" w:eastAsia="en-IE"/>
              </w:rPr>
            </w:pPr>
            <w:r w:rsidRPr="00AA7EF7">
              <w:rPr>
                <w:rFonts w:ascii="Arial Narrow" w:eastAsia="Times New Roman" w:hAnsi="Arial Narrow"/>
                <w:b/>
                <w:bCs/>
                <w:noProof/>
                <w:color w:val="000000"/>
                <w:sz w:val="20"/>
                <w:szCs w:val="20"/>
                <w:lang w:val="en-IE" w:eastAsia="en-IE"/>
              </w:rPr>
              <w:t>0.000</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677</w:t>
            </w:r>
          </w:p>
        </w:tc>
        <w:tc>
          <w:tcPr>
            <w:tcW w:w="960" w:type="dxa"/>
            <w:tcBorders>
              <w:top w:val="nil"/>
              <w:left w:val="nil"/>
              <w:bottom w:val="single" w:sz="8" w:space="0" w:color="auto"/>
              <w:right w:val="single" w:sz="8" w:space="0" w:color="auto"/>
            </w:tcBorders>
            <w:shd w:val="clear" w:color="000000" w:fill="D9D9D9"/>
            <w:vAlign w:val="center"/>
            <w:hideMark/>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0</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677</w:t>
            </w:r>
          </w:p>
        </w:tc>
        <w:tc>
          <w:tcPr>
            <w:tcW w:w="960" w:type="dxa"/>
            <w:tcBorders>
              <w:top w:val="nil"/>
              <w:left w:val="nil"/>
              <w:bottom w:val="single" w:sz="8" w:space="0" w:color="auto"/>
              <w:right w:val="single" w:sz="8" w:space="0" w:color="auto"/>
            </w:tcBorders>
            <w:shd w:val="clear" w:color="000000" w:fill="D9D9D9"/>
            <w:vAlign w:val="center"/>
          </w:tcPr>
          <w:p w:rsidR="00155377" w:rsidRPr="00F70F4B" w:rsidRDefault="00155377">
            <w:pPr>
              <w:spacing w:before="0" w:after="0"/>
              <w:jc w:val="center"/>
              <w:rPr>
                <w:rFonts w:ascii="Arial Narrow" w:eastAsia="Times New Roman" w:hAnsi="Arial Narrow" w:cs="Calibri"/>
                <w:b/>
                <w:bCs/>
                <w:noProof/>
                <w:color w:val="000000"/>
                <w:sz w:val="20"/>
                <w:szCs w:val="20"/>
                <w:lang w:val="en-IE" w:eastAsia="en-IE"/>
              </w:rPr>
            </w:pPr>
            <w:r>
              <w:rPr>
                <w:rFonts w:ascii="Arial Narrow" w:hAnsi="Arial Narrow" w:cs="Calibri"/>
                <w:b/>
                <w:bCs/>
                <w:noProof/>
                <w:color w:val="000000"/>
                <w:sz w:val="20"/>
                <w:szCs w:val="20"/>
              </w:rPr>
              <w:t>4</w:t>
            </w:r>
            <w:r w:rsidR="00070F9D">
              <w:rPr>
                <w:rFonts w:ascii="Arial Narrow" w:hAnsi="Arial Narrow" w:cs="Calibri"/>
                <w:b/>
                <w:bCs/>
                <w:noProof/>
                <w:color w:val="000000"/>
                <w:sz w:val="20"/>
                <w:szCs w:val="20"/>
              </w:rPr>
              <w:t>.</w:t>
            </w:r>
            <w:r>
              <w:rPr>
                <w:rFonts w:ascii="Arial Narrow" w:hAnsi="Arial Narrow" w:cs="Calibri"/>
                <w:b/>
                <w:bCs/>
                <w:noProof/>
                <w:color w:val="000000"/>
                <w:sz w:val="20"/>
                <w:szCs w:val="20"/>
              </w:rPr>
              <w:t>736</w:t>
            </w:r>
          </w:p>
        </w:tc>
      </w:tr>
    </w:tbl>
    <w:p w:rsidR="00155377" w:rsidRDefault="00155377" w:rsidP="00155377">
      <w:pPr>
        <w:ind w:right="-496"/>
        <w:jc w:val="right"/>
        <w:rPr>
          <w:rFonts w:ascii="Arial Narrow" w:hAnsi="Arial Narrow"/>
          <w:i/>
          <w:iCs/>
          <w:noProof/>
          <w:sz w:val="20"/>
          <w:szCs w:val="20"/>
        </w:rPr>
      </w:pPr>
    </w:p>
    <w:p w:rsidR="00155377" w:rsidRDefault="00155377" w:rsidP="00155377">
      <w:pPr>
        <w:pStyle w:val="Text2"/>
        <w:spacing w:before="0" w:after="0"/>
        <w:ind w:left="0"/>
        <w:jc w:val="left"/>
        <w:rPr>
          <w:noProof/>
          <w:sz w:val="18"/>
        </w:rPr>
      </w:pPr>
      <w:r w:rsidRPr="003230F2">
        <w:rPr>
          <w:noProof/>
          <w:sz w:val="18"/>
        </w:rPr>
        <w:t>The other administrative appropriations required will be met by the appropriations which are already assigned to management of the action and/or which have been redeployed, together if necessary with any additional allocation which may be granted to the managing DG under the annual allocation procedure and in the light of existing budgetary constraints.</w:t>
      </w:r>
      <w:r>
        <w:rPr>
          <w:noProof/>
          <w:sz w:val="18"/>
        </w:rPr>
        <w:t xml:space="preserve"> </w:t>
      </w:r>
    </w:p>
    <w:p w:rsidR="00155377" w:rsidRDefault="00155377" w:rsidP="00155377">
      <w:pPr>
        <w:keepNext/>
        <w:spacing w:before="240" w:after="0"/>
        <w:rPr>
          <w:noProof/>
        </w:rPr>
        <w:sectPr w:rsidR="00155377" w:rsidSect="00423DBB">
          <w:footnotePr>
            <w:numRestart w:val="eachSect"/>
          </w:footnotePr>
          <w:pgSz w:w="15840" w:h="12240" w:orient="landscape" w:code="1"/>
          <w:pgMar w:top="1418" w:right="1247" w:bottom="1418" w:left="1247" w:header="709" w:footer="709" w:gutter="0"/>
          <w:cols w:space="708"/>
          <w:docGrid w:linePitch="360"/>
        </w:sectPr>
      </w:pPr>
    </w:p>
    <w:p w:rsidR="00155377" w:rsidRPr="008B4CF8" w:rsidRDefault="00155377" w:rsidP="00155377">
      <w:pPr>
        <w:pStyle w:val="ManualNumPar1"/>
        <w:rPr>
          <w:noProof/>
        </w:rPr>
      </w:pPr>
      <w:r w:rsidRPr="00C119BA">
        <w:rPr>
          <w:noProof/>
        </w:rPr>
        <w:t>4.</w:t>
      </w:r>
      <w:r w:rsidRPr="00C119BA">
        <w:rPr>
          <w:noProof/>
        </w:rPr>
        <w:tab/>
      </w:r>
      <w:r w:rsidRPr="008B4CF8">
        <w:rPr>
          <w:noProof/>
        </w:rPr>
        <w:t>Methods of calculation used to estimate costs</w:t>
      </w:r>
    </w:p>
    <w:p w:rsidR="00155377" w:rsidRPr="008B4CF8" w:rsidRDefault="00155377" w:rsidP="00155377">
      <w:pPr>
        <w:pStyle w:val="ManualNumPar2"/>
        <w:rPr>
          <w:noProof/>
        </w:rPr>
      </w:pPr>
      <w:r w:rsidRPr="00C119BA">
        <w:rPr>
          <w:noProof/>
        </w:rPr>
        <w:t>4.1.</w:t>
      </w:r>
      <w:r w:rsidRPr="00C119BA">
        <w:rPr>
          <w:noProof/>
        </w:rPr>
        <w:tab/>
      </w:r>
      <w:r w:rsidRPr="008B4CF8">
        <w:rPr>
          <w:noProof/>
        </w:rPr>
        <w:t>Human resources</w:t>
      </w:r>
    </w:p>
    <w:p w:rsidR="00155377" w:rsidRPr="002A1917" w:rsidRDefault="00155377" w:rsidP="00155377">
      <w:pPr>
        <w:spacing w:before="240" w:after="240"/>
        <w:rPr>
          <w:noProof/>
        </w:rPr>
      </w:pPr>
      <w:r w:rsidRPr="00200DAC">
        <w:rPr>
          <w:rFonts w:eastAsia="Times New Roman"/>
          <w:b/>
          <w:bCs/>
          <w:noProof/>
        </w:rPr>
        <w:t>DG ENER</w:t>
      </w:r>
      <w:r w:rsidRPr="0BF289B2">
        <w:rPr>
          <w:rFonts w:eastAsia="Times New Roman"/>
          <w:noProof/>
        </w:rPr>
        <w:t xml:space="preserve"> has carefully assessed the human resources required for the implementation of this proposal and conducted an internal review to determine whether any of the new activities could be covered through redeployment within the Directorate-General. This assessment has confirmed that these tasks cannot be absorbed through internal redeployment without negatively affecting the delivery of existing core priorities, in particular given the already high workload related to the implementation of the Electricity Market Design reform, the Grids Package and the broader digitalisation agenda in the energy sector. The proposal therefore requires targeted additional resources to ensure effective and timely implementation. This assessment concluded that </w:t>
      </w:r>
      <w:r w:rsidRPr="00200DAC">
        <w:rPr>
          <w:rFonts w:eastAsia="Times New Roman"/>
          <w:b/>
          <w:bCs/>
          <w:noProof/>
        </w:rPr>
        <w:t>internal redeployment is not a viable option</w:t>
      </w:r>
      <w:r w:rsidRPr="0BF289B2">
        <w:rPr>
          <w:rFonts w:eastAsia="Times New Roman"/>
          <w:noProof/>
        </w:rPr>
        <w:t>. The proposal gives rise to a substantial increase in workload, particularly under Requirements 1 to 5 (see section 1.5.1), without any corresponding reduction in existing activities. At the same time, the tasks linked to the proposal require specialised technical expertise and sustained input over the long term.</w:t>
      </w:r>
    </w:p>
    <w:p w:rsidR="00155377" w:rsidRPr="002A1917" w:rsidRDefault="00155377" w:rsidP="00155377">
      <w:pPr>
        <w:spacing w:before="240" w:after="240"/>
        <w:rPr>
          <w:noProof/>
        </w:rPr>
      </w:pPr>
      <w:r w:rsidRPr="0BF289B2">
        <w:rPr>
          <w:rFonts w:eastAsia="Times New Roman"/>
          <w:noProof/>
        </w:rPr>
        <w:t>Existing staff are already operating at full capacity and are overextended by concurrent policy priorities and the energy crisis, leaving very limited scope to absorb additional responsibilities. Temporary arrangements would therefore not provide a credible or sustainable solution. In this context, the implementation of the legislative proposal requires dedicated reinforcement to ensure that DG ENER is properly equipped to manage the complexity and continuity of the new tasks.</w:t>
      </w:r>
    </w:p>
    <w:p w:rsidR="00155377" w:rsidRPr="00725495" w:rsidRDefault="00155377" w:rsidP="00155377">
      <w:pPr>
        <w:spacing w:before="240" w:after="240"/>
        <w:rPr>
          <w:noProof/>
        </w:rPr>
      </w:pPr>
      <w:r w:rsidRPr="77F8B09E">
        <w:rPr>
          <w:rFonts w:eastAsia="Times New Roman"/>
          <w:noProof/>
          <w:szCs w:val="24"/>
        </w:rPr>
        <w:t>To support the effective implementation of the proposal, the allocation of additional staff is therefore necessary, namely 1 additional official FTE for the data exchange framework, which will constitute a permanent, long-term activity, and 2 additional Contract Agent FTEs to support the development and preparation of the implementing acts. Through these roles, DG ENER will be able to meet the new legislative obligations in an effective and sustainable manner.</w:t>
      </w:r>
    </w:p>
    <w:p w:rsidR="00155377" w:rsidRPr="00AE6949" w:rsidRDefault="00155377" w:rsidP="00AE6949">
      <w:pPr>
        <w:spacing w:before="240" w:after="240"/>
        <w:rPr>
          <w:rFonts w:eastAsia="Times New Roman"/>
          <w:noProof/>
          <w:color w:val="000000"/>
          <w:lang w:eastAsia="en-GB"/>
        </w:rPr>
      </w:pPr>
      <w:r w:rsidRPr="00200DAC">
        <w:rPr>
          <w:rFonts w:eastAsia="Times New Roman"/>
          <w:b/>
          <w:bCs/>
          <w:noProof/>
          <w:szCs w:val="24"/>
        </w:rPr>
        <w:t>DG JRC</w:t>
      </w:r>
      <w:r w:rsidRPr="0009448F">
        <w:rPr>
          <w:rFonts w:eastAsia="Times New Roman"/>
          <w:noProof/>
          <w:szCs w:val="24"/>
        </w:rPr>
        <w:t xml:space="preserve"> has conducted a thorough evaluation of the additional human resources necessary for this proposal and has performed an internal review to ascertain whether the new activities could be managed through internal redeployment within the Directorate-General, also considering any synergies with ongoing activities. </w:t>
      </w:r>
      <w:r w:rsidRPr="00D41836">
        <w:rPr>
          <w:rFonts w:eastAsia="Times New Roman"/>
          <w:noProof/>
          <w:szCs w:val="24"/>
        </w:rPr>
        <w:t xml:space="preserve">To implement these additional activities (with an effort of 2 FTEs), the </w:t>
      </w:r>
      <w:r w:rsidRPr="00200DAC">
        <w:rPr>
          <w:rFonts w:eastAsia="Times New Roman"/>
          <w:b/>
          <w:bCs/>
          <w:noProof/>
          <w:szCs w:val="24"/>
        </w:rPr>
        <w:t>JRC will redeploy its internal resources</w:t>
      </w:r>
      <w:r w:rsidRPr="008A192D">
        <w:rPr>
          <w:rFonts w:eastAsia="Times New Roman"/>
          <w:noProof/>
          <w:szCs w:val="24"/>
        </w:rPr>
        <w:t>.</w:t>
      </w:r>
      <w:r>
        <w:rPr>
          <w:rFonts w:eastAsia="Times New Roman"/>
          <w:noProof/>
          <w:color w:val="000000"/>
          <w:lang w:eastAsia="en-GB"/>
        </w:rPr>
        <w:br w:type="page"/>
      </w:r>
      <w:r w:rsidRPr="007A5B89">
        <w:rPr>
          <w:rFonts w:eastAsia="Times New Roman"/>
          <w:noProof/>
          <w:color w:val="000000"/>
          <w:lang w:eastAsia="en-GB"/>
        </w:rPr>
        <w:t>The staff required to implement the proposal (in FTEs):</w:t>
      </w:r>
      <w:r w:rsidRPr="2FCBF516">
        <w:rPr>
          <w:noProof/>
        </w:rPr>
        <w:t xml:space="preserve"> </w:t>
      </w:r>
    </w:p>
    <w:tbl>
      <w:tblPr>
        <w:tblStyle w:val="TableGrid"/>
        <w:tblW w:w="9489" w:type="dxa"/>
        <w:tblInd w:w="-176" w:type="dxa"/>
        <w:tblLook w:val="04A0" w:firstRow="1" w:lastRow="0" w:firstColumn="1" w:lastColumn="0" w:noHBand="0" w:noVBand="1"/>
      </w:tblPr>
      <w:tblGrid>
        <w:gridCol w:w="1683"/>
        <w:gridCol w:w="1630"/>
        <w:gridCol w:w="2235"/>
        <w:gridCol w:w="1320"/>
        <w:gridCol w:w="1342"/>
        <w:gridCol w:w="1279"/>
      </w:tblGrid>
      <w:tr w:rsidR="00155377" w:rsidRPr="00AC2A39" w:rsidTr="00537A5F">
        <w:tc>
          <w:tcPr>
            <w:tcW w:w="1683" w:type="dxa"/>
          </w:tcPr>
          <w:p w:rsidR="00155377" w:rsidRPr="00E51185" w:rsidRDefault="00155377">
            <w:pPr>
              <w:pStyle w:val="Text1"/>
              <w:ind w:left="0"/>
              <w:jc w:val="center"/>
              <w:rPr>
                <w:b/>
                <w:bCs/>
                <w:noProof/>
                <w:szCs w:val="24"/>
              </w:rPr>
            </w:pPr>
          </w:p>
        </w:tc>
        <w:tc>
          <w:tcPr>
            <w:tcW w:w="3865" w:type="dxa"/>
            <w:gridSpan w:val="2"/>
          </w:tcPr>
          <w:p w:rsidR="00155377" w:rsidRPr="00E51185" w:rsidRDefault="00155377">
            <w:pPr>
              <w:pStyle w:val="Text1"/>
              <w:ind w:left="0"/>
              <w:jc w:val="center"/>
              <w:rPr>
                <w:b/>
                <w:bCs/>
                <w:noProof/>
              </w:rPr>
            </w:pPr>
            <w:r w:rsidRPr="2FCBF516">
              <w:rPr>
                <w:b/>
                <w:bCs/>
                <w:noProof/>
              </w:rPr>
              <w:t xml:space="preserve">Internally redeployed </w:t>
            </w:r>
          </w:p>
        </w:tc>
        <w:tc>
          <w:tcPr>
            <w:tcW w:w="3941" w:type="dxa"/>
            <w:gridSpan w:val="3"/>
          </w:tcPr>
          <w:p w:rsidR="00155377" w:rsidRPr="00E51185" w:rsidRDefault="00155377">
            <w:pPr>
              <w:pStyle w:val="Text1"/>
              <w:ind w:left="0"/>
              <w:jc w:val="center"/>
              <w:rPr>
                <w:b/>
                <w:bCs/>
                <w:noProof/>
              </w:rPr>
            </w:pPr>
            <w:r w:rsidRPr="32830172">
              <w:rPr>
                <w:b/>
                <w:bCs/>
                <w:noProof/>
              </w:rPr>
              <w:t xml:space="preserve">Exceptional additional staff </w:t>
            </w:r>
          </w:p>
        </w:tc>
      </w:tr>
      <w:tr w:rsidR="00155377" w:rsidRPr="00AC2A39" w:rsidTr="00537A5F">
        <w:tc>
          <w:tcPr>
            <w:tcW w:w="1683" w:type="dxa"/>
          </w:tcPr>
          <w:p w:rsidR="00155377" w:rsidRPr="00E51185" w:rsidRDefault="00155377">
            <w:pPr>
              <w:pStyle w:val="Text1"/>
              <w:ind w:left="0"/>
              <w:jc w:val="center"/>
              <w:rPr>
                <w:b/>
                <w:bCs/>
                <w:noProof/>
                <w:szCs w:val="24"/>
              </w:rPr>
            </w:pPr>
          </w:p>
        </w:tc>
        <w:tc>
          <w:tcPr>
            <w:tcW w:w="1630" w:type="dxa"/>
          </w:tcPr>
          <w:p w:rsidR="00155377" w:rsidRPr="00E51185" w:rsidRDefault="00155377">
            <w:pPr>
              <w:pStyle w:val="Text1"/>
              <w:ind w:left="0"/>
              <w:jc w:val="center"/>
              <w:rPr>
                <w:b/>
                <w:bCs/>
                <w:noProof/>
              </w:rPr>
            </w:pPr>
            <w:r w:rsidRPr="32830172">
              <w:rPr>
                <w:b/>
                <w:bCs/>
                <w:noProof/>
              </w:rPr>
              <w:t>Within the implementing DGs*</w:t>
            </w:r>
          </w:p>
        </w:tc>
        <w:tc>
          <w:tcPr>
            <w:tcW w:w="2235" w:type="dxa"/>
          </w:tcPr>
          <w:p w:rsidR="00155377" w:rsidRPr="00E51185" w:rsidRDefault="00155377">
            <w:pPr>
              <w:pStyle w:val="Text1"/>
              <w:ind w:left="0"/>
              <w:jc w:val="center"/>
              <w:rPr>
                <w:b/>
                <w:bCs/>
                <w:noProof/>
              </w:rPr>
            </w:pPr>
            <w:r w:rsidRPr="32830172">
              <w:rPr>
                <w:b/>
                <w:bCs/>
                <w:noProof/>
              </w:rPr>
              <w:t xml:space="preserve">Exceptionally, from the Commission redeployment pool after </w:t>
            </w:r>
            <w:r>
              <w:rPr>
                <w:b/>
                <w:bCs/>
                <w:noProof/>
              </w:rPr>
              <w:t xml:space="preserve">orientation from the </w:t>
            </w:r>
            <w:r w:rsidRPr="32830172">
              <w:rPr>
                <w:b/>
                <w:bCs/>
                <w:noProof/>
              </w:rPr>
              <w:t>CMB</w:t>
            </w:r>
            <w:r>
              <w:rPr>
                <w:b/>
                <w:bCs/>
                <w:noProof/>
              </w:rPr>
              <w:t>**</w:t>
            </w:r>
          </w:p>
        </w:tc>
        <w:tc>
          <w:tcPr>
            <w:tcW w:w="1320" w:type="dxa"/>
          </w:tcPr>
          <w:p w:rsidR="00155377" w:rsidRPr="00E51185" w:rsidRDefault="00155377">
            <w:pPr>
              <w:pStyle w:val="Text1"/>
              <w:ind w:left="0"/>
              <w:jc w:val="center"/>
              <w:rPr>
                <w:b/>
                <w:bCs/>
                <w:noProof/>
              </w:rPr>
            </w:pPr>
            <w:r w:rsidRPr="32830172">
              <w:rPr>
                <w:b/>
                <w:bCs/>
                <w:noProof/>
              </w:rPr>
              <w:t>To be financed from Heading 7</w:t>
            </w:r>
            <w:r>
              <w:rPr>
                <w:b/>
                <w:bCs/>
                <w:noProof/>
              </w:rPr>
              <w:t>***</w:t>
            </w:r>
            <w:r w:rsidRPr="32830172">
              <w:rPr>
                <w:b/>
                <w:bCs/>
                <w:noProof/>
              </w:rPr>
              <w:t xml:space="preserve"> / Research</w:t>
            </w:r>
          </w:p>
        </w:tc>
        <w:tc>
          <w:tcPr>
            <w:tcW w:w="1342" w:type="dxa"/>
          </w:tcPr>
          <w:p w:rsidR="00155377" w:rsidRPr="00E51185" w:rsidRDefault="00155377">
            <w:pPr>
              <w:pStyle w:val="Text1"/>
              <w:ind w:left="0"/>
              <w:jc w:val="center"/>
              <w:rPr>
                <w:b/>
                <w:bCs/>
                <w:noProof/>
                <w:szCs w:val="24"/>
              </w:rPr>
            </w:pPr>
            <w:r w:rsidRPr="00E51185">
              <w:rPr>
                <w:b/>
                <w:bCs/>
                <w:noProof/>
                <w:szCs w:val="24"/>
              </w:rPr>
              <w:t>To be financed from BA line</w:t>
            </w:r>
          </w:p>
        </w:tc>
        <w:tc>
          <w:tcPr>
            <w:tcW w:w="1279" w:type="dxa"/>
          </w:tcPr>
          <w:p w:rsidR="00155377" w:rsidRPr="00E51185" w:rsidRDefault="00155377">
            <w:pPr>
              <w:pStyle w:val="Text1"/>
              <w:ind w:left="0"/>
              <w:jc w:val="center"/>
              <w:rPr>
                <w:b/>
                <w:bCs/>
                <w:noProof/>
                <w:szCs w:val="24"/>
              </w:rPr>
            </w:pPr>
            <w:r w:rsidRPr="00E51185">
              <w:rPr>
                <w:b/>
                <w:bCs/>
                <w:noProof/>
                <w:szCs w:val="24"/>
              </w:rPr>
              <w:t>To be financed from fees</w:t>
            </w:r>
          </w:p>
        </w:tc>
      </w:tr>
      <w:tr w:rsidR="00155377" w:rsidRPr="00AC2A39" w:rsidTr="00537A5F">
        <w:tc>
          <w:tcPr>
            <w:tcW w:w="1683" w:type="dxa"/>
          </w:tcPr>
          <w:p w:rsidR="00155377" w:rsidRPr="00E51185" w:rsidRDefault="00155377">
            <w:pPr>
              <w:pStyle w:val="Text1"/>
              <w:ind w:left="0"/>
              <w:rPr>
                <w:noProof/>
                <w:szCs w:val="24"/>
              </w:rPr>
            </w:pPr>
            <w:r w:rsidRPr="00E51185">
              <w:rPr>
                <w:noProof/>
                <w:szCs w:val="24"/>
              </w:rPr>
              <w:t>Establishment plan posts</w:t>
            </w:r>
          </w:p>
        </w:tc>
        <w:tc>
          <w:tcPr>
            <w:tcW w:w="1630" w:type="dxa"/>
          </w:tcPr>
          <w:p w:rsidR="00155377" w:rsidRPr="00E51185" w:rsidRDefault="00155377">
            <w:pPr>
              <w:pStyle w:val="Text1"/>
              <w:ind w:left="0"/>
              <w:rPr>
                <w:noProof/>
              </w:rPr>
            </w:pPr>
            <w:r w:rsidRPr="51C61A5D">
              <w:rPr>
                <w:noProof/>
              </w:rPr>
              <w:t>0.5 AD JRC</w:t>
            </w:r>
          </w:p>
        </w:tc>
        <w:tc>
          <w:tcPr>
            <w:tcW w:w="2235" w:type="dxa"/>
          </w:tcPr>
          <w:p w:rsidR="00155377" w:rsidRDefault="00155377">
            <w:pPr>
              <w:pStyle w:val="Text1"/>
              <w:ind w:left="0"/>
              <w:rPr>
                <w:noProof/>
                <w:sz w:val="22"/>
                <w:szCs w:val="28"/>
              </w:rPr>
            </w:pPr>
            <w:r>
              <w:rPr>
                <w:noProof/>
                <w:sz w:val="22"/>
                <w:szCs w:val="28"/>
              </w:rPr>
              <w:t>1 DG ENER</w:t>
            </w:r>
          </w:p>
          <w:p w:rsidR="00155377" w:rsidRPr="00E51185" w:rsidRDefault="00155377">
            <w:pPr>
              <w:pStyle w:val="Text1"/>
              <w:ind w:left="0"/>
              <w:rPr>
                <w:noProof/>
                <w:szCs w:val="24"/>
              </w:rPr>
            </w:pPr>
          </w:p>
        </w:tc>
        <w:tc>
          <w:tcPr>
            <w:tcW w:w="1320" w:type="dxa"/>
          </w:tcPr>
          <w:p w:rsidR="00155377" w:rsidRPr="00E51185" w:rsidRDefault="00155377">
            <w:pPr>
              <w:pStyle w:val="Text1"/>
              <w:ind w:left="0"/>
              <w:rPr>
                <w:noProof/>
                <w:szCs w:val="24"/>
              </w:rPr>
            </w:pPr>
          </w:p>
        </w:tc>
        <w:tc>
          <w:tcPr>
            <w:tcW w:w="1342" w:type="dxa"/>
          </w:tcPr>
          <w:p w:rsidR="00155377" w:rsidRPr="00E51185" w:rsidRDefault="00155377">
            <w:pPr>
              <w:pStyle w:val="Text1"/>
              <w:ind w:left="0"/>
              <w:rPr>
                <w:noProof/>
                <w:szCs w:val="24"/>
              </w:rPr>
            </w:pPr>
            <w:r w:rsidRPr="00E51185">
              <w:rPr>
                <w:noProof/>
                <w:szCs w:val="24"/>
              </w:rPr>
              <w:t>N/A</w:t>
            </w:r>
          </w:p>
        </w:tc>
        <w:tc>
          <w:tcPr>
            <w:tcW w:w="1279" w:type="dxa"/>
          </w:tcPr>
          <w:p w:rsidR="00155377" w:rsidRPr="00E51185" w:rsidRDefault="00155377">
            <w:pPr>
              <w:pStyle w:val="Text1"/>
              <w:ind w:left="0"/>
              <w:rPr>
                <w:noProof/>
                <w:szCs w:val="24"/>
              </w:rPr>
            </w:pPr>
          </w:p>
        </w:tc>
      </w:tr>
      <w:tr w:rsidR="00155377" w:rsidRPr="00AC2A39" w:rsidTr="00537A5F">
        <w:tc>
          <w:tcPr>
            <w:tcW w:w="1683" w:type="dxa"/>
          </w:tcPr>
          <w:p w:rsidR="00155377" w:rsidRPr="00E51185" w:rsidRDefault="00155377">
            <w:pPr>
              <w:pStyle w:val="Text1"/>
              <w:ind w:left="0"/>
              <w:rPr>
                <w:noProof/>
                <w:szCs w:val="24"/>
              </w:rPr>
            </w:pPr>
            <w:r w:rsidRPr="00E51185">
              <w:rPr>
                <w:noProof/>
                <w:szCs w:val="24"/>
              </w:rPr>
              <w:t>External staff (CA, SNEs, INT)</w:t>
            </w:r>
          </w:p>
        </w:tc>
        <w:tc>
          <w:tcPr>
            <w:tcW w:w="1630" w:type="dxa"/>
          </w:tcPr>
          <w:p w:rsidR="00155377" w:rsidRPr="00E51185" w:rsidRDefault="00155377">
            <w:pPr>
              <w:pStyle w:val="Text1"/>
              <w:ind w:left="0"/>
              <w:rPr>
                <w:noProof/>
              </w:rPr>
            </w:pPr>
            <w:r w:rsidRPr="3287A609">
              <w:rPr>
                <w:noProof/>
              </w:rPr>
              <w:t xml:space="preserve">1.5 </w:t>
            </w:r>
            <w:r w:rsidRPr="51C61A5D">
              <w:rPr>
                <w:noProof/>
              </w:rPr>
              <w:t xml:space="preserve">CA </w:t>
            </w:r>
            <w:r w:rsidRPr="3287A609">
              <w:rPr>
                <w:noProof/>
              </w:rPr>
              <w:t>DG JRC</w:t>
            </w:r>
          </w:p>
        </w:tc>
        <w:tc>
          <w:tcPr>
            <w:tcW w:w="2235" w:type="dxa"/>
          </w:tcPr>
          <w:p w:rsidR="00155377" w:rsidRPr="00E51185" w:rsidRDefault="00155377">
            <w:pPr>
              <w:pStyle w:val="Text1"/>
              <w:ind w:left="0"/>
              <w:rPr>
                <w:noProof/>
                <w:szCs w:val="24"/>
              </w:rPr>
            </w:pPr>
            <w:r>
              <w:rPr>
                <w:noProof/>
                <w:sz w:val="22"/>
                <w:szCs w:val="28"/>
              </w:rPr>
              <w:t>2 CA DG ENER</w:t>
            </w:r>
          </w:p>
        </w:tc>
        <w:tc>
          <w:tcPr>
            <w:tcW w:w="1320" w:type="dxa"/>
          </w:tcPr>
          <w:p w:rsidR="00155377" w:rsidRPr="001B66C3" w:rsidRDefault="00155377">
            <w:pPr>
              <w:pStyle w:val="Text1"/>
              <w:ind w:left="0"/>
              <w:rPr>
                <w:noProof/>
                <w:sz w:val="22"/>
                <w:szCs w:val="28"/>
              </w:rPr>
            </w:pPr>
          </w:p>
        </w:tc>
        <w:tc>
          <w:tcPr>
            <w:tcW w:w="1342" w:type="dxa"/>
          </w:tcPr>
          <w:p w:rsidR="00155377" w:rsidRPr="00E51185" w:rsidRDefault="00155377">
            <w:pPr>
              <w:pStyle w:val="Text1"/>
              <w:ind w:left="0"/>
              <w:rPr>
                <w:noProof/>
                <w:szCs w:val="24"/>
              </w:rPr>
            </w:pPr>
          </w:p>
        </w:tc>
        <w:tc>
          <w:tcPr>
            <w:tcW w:w="1279" w:type="dxa"/>
          </w:tcPr>
          <w:p w:rsidR="00155377" w:rsidRPr="00E51185" w:rsidRDefault="00155377">
            <w:pPr>
              <w:pStyle w:val="Text1"/>
              <w:ind w:left="0"/>
              <w:rPr>
                <w:noProof/>
                <w:szCs w:val="24"/>
              </w:rPr>
            </w:pPr>
          </w:p>
        </w:tc>
      </w:tr>
    </w:tbl>
    <w:p w:rsidR="00155377" w:rsidRDefault="00155377" w:rsidP="00155377">
      <w:pPr>
        <w:spacing w:after="60"/>
        <w:ind w:left="540"/>
        <w:jc w:val="center"/>
        <w:rPr>
          <w:rFonts w:eastAsia="Times New Roman"/>
          <w:noProof/>
          <w:color w:val="0000FF"/>
          <w:lang w:eastAsia="en-GB"/>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rsidR="00155377" w:rsidTr="00537A5F">
        <w:trPr>
          <w:jc w:val="center"/>
        </w:trPr>
        <w:tc>
          <w:tcPr>
            <w:tcW w:w="9289" w:type="dxa"/>
            <w:tcBorders>
              <w:top w:val="single" w:sz="4" w:space="0" w:color="auto"/>
            </w:tcBorders>
          </w:tcPr>
          <w:p w:rsidR="00155377" w:rsidRDefault="00155377">
            <w:pPr>
              <w:pStyle w:val="Text2"/>
              <w:spacing w:before="60" w:after="60"/>
              <w:ind w:left="0"/>
              <w:jc w:val="left"/>
              <w:rPr>
                <w:rFonts w:ascii="Arial Narrow" w:hAnsi="Arial Narrow"/>
                <w:b/>
                <w:noProof/>
              </w:rPr>
            </w:pPr>
            <w:r>
              <w:rPr>
                <w:rFonts w:ascii="Arial Narrow" w:hAnsi="Arial Narrow"/>
                <w:b/>
                <w:noProof/>
                <w:sz w:val="22"/>
              </w:rPr>
              <w:t>HEADING 7</w:t>
            </w:r>
            <w:r>
              <w:rPr>
                <w:rFonts w:ascii="Arial Narrow" w:hAnsi="Arial Narrow"/>
                <w:noProof/>
                <w:sz w:val="22"/>
              </w:rPr>
              <w:t xml:space="preserve"> of the multiannual financial framework</w:t>
            </w:r>
          </w:p>
        </w:tc>
      </w:tr>
      <w:tr w:rsidR="00155377" w:rsidRPr="004B4AF5" w:rsidTr="00537A5F">
        <w:trPr>
          <w:jc w:val="center"/>
        </w:trPr>
        <w:tc>
          <w:tcPr>
            <w:tcW w:w="9289" w:type="dxa"/>
          </w:tcPr>
          <w:p w:rsidR="00155377" w:rsidRDefault="00155377">
            <w:pPr>
              <w:pStyle w:val="Text2"/>
              <w:spacing w:before="20" w:after="20"/>
              <w:ind w:left="0"/>
              <w:jc w:val="center"/>
              <w:rPr>
                <w:rFonts w:ascii="Arial Narrow" w:hAnsi="Arial Narrow"/>
                <w:noProof/>
                <w:sz w:val="18"/>
                <w:szCs w:val="18"/>
              </w:rPr>
            </w:pPr>
            <w:r>
              <w:rPr>
                <w:rFonts w:ascii="Arial Narrow" w:hAnsi="Arial Narrow"/>
                <w:noProof/>
                <w:sz w:val="18"/>
                <w:u w:val="single"/>
              </w:rPr>
              <w:t>NB:</w:t>
            </w:r>
            <w:r>
              <w:rPr>
                <w:rFonts w:ascii="Arial Narrow" w:hAnsi="Arial Narrow"/>
                <w:noProof/>
                <w:sz w:val="18"/>
              </w:rPr>
              <w:t xml:space="preserve"> The average costs for each category of staff at Headquarters are available on BUDGpedia:</w:t>
            </w:r>
          </w:p>
          <w:p w:rsidR="00155377" w:rsidRDefault="00A13D2E">
            <w:pPr>
              <w:pStyle w:val="Text2"/>
              <w:spacing w:before="0" w:after="20"/>
              <w:ind w:left="0"/>
              <w:jc w:val="center"/>
              <w:rPr>
                <w:rStyle w:val="Hyperlink"/>
                <w:rFonts w:ascii="Arial Narrow" w:hAnsi="Arial Narrow"/>
                <w:noProof/>
                <w:sz w:val="18"/>
                <w:szCs w:val="18"/>
              </w:rPr>
            </w:pPr>
            <w:hyperlink r:id="rId28" w:history="1">
              <w:r w:rsidR="00155377" w:rsidRPr="004B4AF5">
                <w:rPr>
                  <w:rStyle w:val="Hyperlink"/>
                  <w:rFonts w:ascii="Arial Narrow" w:hAnsi="Arial Narrow"/>
                  <w:noProof/>
                  <w:sz w:val="18"/>
                  <w:szCs w:val="18"/>
                </w:rPr>
                <w:t>https://myintracomm.ec.europa.eu/corp/budget/financial-rules/budget-implementation/Pages/financial-statement.aspx</w:t>
              </w:r>
            </w:hyperlink>
          </w:p>
          <w:p w:rsidR="00155377" w:rsidRPr="00422EA6" w:rsidRDefault="00155377">
            <w:pPr>
              <w:pStyle w:val="Text2"/>
              <w:spacing w:before="0" w:after="20"/>
              <w:ind w:left="0"/>
              <w:jc w:val="center"/>
              <w:rPr>
                <w:rFonts w:ascii="Arial Narrow" w:hAnsi="Arial Narrow"/>
                <w:noProof/>
                <w:sz w:val="18"/>
                <w:szCs w:val="18"/>
                <w:lang w:val="en-IE"/>
              </w:rPr>
            </w:pPr>
          </w:p>
        </w:tc>
      </w:tr>
      <w:tr w:rsidR="00155377" w:rsidTr="00537A5F">
        <w:trPr>
          <w:jc w:val="center"/>
        </w:trPr>
        <w:tc>
          <w:tcPr>
            <w:tcW w:w="9289" w:type="dxa"/>
          </w:tcPr>
          <w:p w:rsidR="00155377" w:rsidRDefault="00155377">
            <w:pPr>
              <w:pStyle w:val="Text2"/>
              <w:spacing w:before="40" w:after="0"/>
              <w:ind w:left="0"/>
              <w:jc w:val="left"/>
              <w:rPr>
                <w:rFonts w:ascii="Arial Narrow" w:hAnsi="Arial Narrow"/>
                <w:bCs/>
                <w:iCs/>
                <w:noProof/>
                <w:sz w:val="20"/>
                <w:szCs w:val="20"/>
              </w:rPr>
            </w:pPr>
            <w:r>
              <w:rPr>
                <w:rFonts w:ascii="Wingdings" w:eastAsia="Wingdings" w:hAnsi="Wingdings" w:cs="Wingdings"/>
                <w:b/>
                <w:noProof/>
              </w:rPr>
              <w:t></w:t>
            </w:r>
            <w:r>
              <w:rPr>
                <w:rFonts w:ascii="Arial Narrow" w:hAnsi="Arial Narrow"/>
                <w:b/>
                <w:noProof/>
              </w:rPr>
              <w:t xml:space="preserve"> </w:t>
            </w:r>
            <w:r>
              <w:rPr>
                <w:rFonts w:ascii="Arial Narrow" w:hAnsi="Arial Narrow"/>
                <w:noProof/>
                <w:sz w:val="22"/>
              </w:rPr>
              <w:t>Officials and temporary staff</w:t>
            </w:r>
          </w:p>
          <w:p w:rsidR="00155377" w:rsidRPr="00BC0E8A" w:rsidRDefault="00155377">
            <w:pPr>
              <w:rPr>
                <w:noProof/>
                <w:sz w:val="22"/>
                <w:lang w:val="en-IE"/>
              </w:rPr>
            </w:pPr>
            <w:r w:rsidRPr="0BF289B2">
              <w:rPr>
                <w:noProof/>
                <w:sz w:val="22"/>
                <w:lang w:val="en-IE"/>
              </w:rPr>
              <w:t>The implementation of the provisions on network charges, smart grid indicators, electricity grid data exchange and the reuse of electricity grid data for research and innovation purposes introduces a set of new tasks for the Commission, which require resources to ensure effective and timely implementation. These tasks are of a cross-cutting nature, combining energy regulation, digital policy, data governance, cybersecurity and innovation support, and require sustained interaction with a wide range of actors at Union and national level.</w:t>
            </w:r>
          </w:p>
          <w:p w:rsidR="00155377" w:rsidRDefault="00155377">
            <w:pPr>
              <w:rPr>
                <w:noProof/>
                <w:sz w:val="22"/>
                <w:u w:val="single"/>
              </w:rPr>
            </w:pPr>
            <w:r w:rsidRPr="0BF289B2">
              <w:rPr>
                <w:noProof/>
                <w:sz w:val="22"/>
                <w:u w:val="single"/>
              </w:rPr>
              <w:t>DG ENER</w:t>
            </w:r>
          </w:p>
          <w:p w:rsidR="00155377" w:rsidRDefault="00155377">
            <w:pPr>
              <w:rPr>
                <w:noProof/>
                <w:sz w:val="22"/>
              </w:rPr>
            </w:pPr>
            <w:r w:rsidRPr="0BF289B2">
              <w:rPr>
                <w:noProof/>
                <w:sz w:val="22"/>
              </w:rPr>
              <w:t xml:space="preserve">The allocation of </w:t>
            </w:r>
            <w:r w:rsidRPr="0BF289B2">
              <w:rPr>
                <w:b/>
                <w:bCs/>
                <w:noProof/>
                <w:sz w:val="22"/>
              </w:rPr>
              <w:t>1 permanent official (AD) FTE</w:t>
            </w:r>
            <w:r w:rsidRPr="0BF289B2">
              <w:rPr>
                <w:noProof/>
                <w:sz w:val="22"/>
              </w:rPr>
              <w:t xml:space="preserve"> within DG ENER is required to ensure the long-term governance, coordination and regulatory oversight of the new framework established under Article 18a. This includes steering the implementation of the electricity grid data exchange framework, ensuring coherence with the broader Union legal framework (including the Data Act, AI Act and cybersecurity legislation), coordinating with ACER, ENTSO-E, the EU DSO Entity and Member States, and overseeing the follow-up to the Commission opinion on the coordinated arrangement.</w:t>
            </w:r>
          </w:p>
          <w:p w:rsidR="00155377" w:rsidRPr="00F35FC3" w:rsidRDefault="00155377">
            <w:pPr>
              <w:rPr>
                <w:noProof/>
                <w:sz w:val="22"/>
              </w:rPr>
            </w:pPr>
            <w:r w:rsidRPr="0BF289B2">
              <w:rPr>
                <w:noProof/>
                <w:sz w:val="22"/>
              </w:rPr>
              <w:t>These resources would be related to Requirement 1 and cover in particular:</w:t>
            </w:r>
          </w:p>
          <w:p w:rsidR="00155377" w:rsidRPr="00F35FC3" w:rsidRDefault="00155377">
            <w:pPr>
              <w:rPr>
                <w:noProof/>
                <w:sz w:val="22"/>
                <w:u w:val="single"/>
              </w:rPr>
            </w:pPr>
            <w:r w:rsidRPr="00F35FC3">
              <w:rPr>
                <w:noProof/>
                <w:sz w:val="22"/>
                <w:u w:val="single"/>
              </w:rPr>
              <w:t>Process steering and regulatory coordination</w:t>
            </w:r>
          </w:p>
          <w:p w:rsidR="00155377" w:rsidRPr="00F35FC3" w:rsidRDefault="00155377" w:rsidP="00263AE0">
            <w:pPr>
              <w:numPr>
                <w:ilvl w:val="0"/>
                <w:numId w:val="17"/>
              </w:numPr>
              <w:rPr>
                <w:noProof/>
                <w:sz w:val="22"/>
              </w:rPr>
            </w:pPr>
            <w:r w:rsidRPr="00F35FC3">
              <w:rPr>
                <w:noProof/>
                <w:sz w:val="22"/>
              </w:rPr>
              <w:t xml:space="preserve">Coordinate the overall implementation process with ACER, ENTSO for Electricity, the EU DSO Entity, TSOs, DSOs, Member States and other relevant stakeholders. </w:t>
            </w:r>
          </w:p>
          <w:p w:rsidR="00155377" w:rsidRPr="00F35FC3" w:rsidRDefault="00155377" w:rsidP="00263AE0">
            <w:pPr>
              <w:numPr>
                <w:ilvl w:val="0"/>
                <w:numId w:val="17"/>
              </w:numPr>
              <w:rPr>
                <w:noProof/>
                <w:sz w:val="22"/>
              </w:rPr>
            </w:pPr>
            <w:r w:rsidRPr="00F35FC3">
              <w:rPr>
                <w:noProof/>
                <w:sz w:val="22"/>
              </w:rPr>
              <w:t xml:space="preserve">Manage the preparation of a Commission opinion on the coordinated arrangement communicated under Article 18a(5), including the assessment of governance, participation, technical, operational, transparency and cybersecurity elements. </w:t>
            </w:r>
          </w:p>
          <w:p w:rsidR="00155377" w:rsidRPr="00F35FC3" w:rsidRDefault="00155377" w:rsidP="00263AE0">
            <w:pPr>
              <w:numPr>
                <w:ilvl w:val="0"/>
                <w:numId w:val="17"/>
              </w:numPr>
              <w:rPr>
                <w:noProof/>
                <w:sz w:val="22"/>
              </w:rPr>
            </w:pPr>
            <w:r w:rsidRPr="00F35FC3">
              <w:rPr>
                <w:noProof/>
                <w:sz w:val="22"/>
              </w:rPr>
              <w:t>Ensure coherence of the initiative with the broader Union framework on electricity markets, digitalisation, cybersecurity, data protection, AI and industrial policy.</w:t>
            </w:r>
          </w:p>
          <w:p w:rsidR="00155377" w:rsidRPr="00F35FC3" w:rsidRDefault="00155377">
            <w:pPr>
              <w:rPr>
                <w:noProof/>
                <w:sz w:val="22"/>
                <w:u w:val="single"/>
              </w:rPr>
            </w:pPr>
            <w:r w:rsidRPr="00F35FC3">
              <w:rPr>
                <w:noProof/>
                <w:sz w:val="22"/>
                <w:u w:val="single"/>
              </w:rPr>
              <w:t>Policy and legal follow-up</w:t>
            </w:r>
          </w:p>
          <w:p w:rsidR="00155377" w:rsidRPr="00F35FC3" w:rsidRDefault="00155377" w:rsidP="00263AE0">
            <w:pPr>
              <w:numPr>
                <w:ilvl w:val="0"/>
                <w:numId w:val="17"/>
              </w:numPr>
              <w:rPr>
                <w:noProof/>
                <w:sz w:val="22"/>
              </w:rPr>
            </w:pPr>
            <w:r w:rsidRPr="00F35FC3">
              <w:rPr>
                <w:noProof/>
                <w:sz w:val="22"/>
              </w:rPr>
              <w:t xml:space="preserve">Assess the regulatory implications of ACER recommendations and progress reports on smart grid indicators. </w:t>
            </w:r>
          </w:p>
          <w:p w:rsidR="00155377" w:rsidRPr="00F35FC3" w:rsidRDefault="00155377" w:rsidP="00263AE0">
            <w:pPr>
              <w:numPr>
                <w:ilvl w:val="0"/>
                <w:numId w:val="17"/>
              </w:numPr>
              <w:rPr>
                <w:noProof/>
                <w:sz w:val="22"/>
              </w:rPr>
            </w:pPr>
            <w:r w:rsidRPr="00F35FC3">
              <w:rPr>
                <w:noProof/>
                <w:sz w:val="22"/>
              </w:rPr>
              <w:t xml:space="preserve">Follow up on the implementation of the voluntary electricity grid data exchange framework, including how the Commission opinion is taken into account. </w:t>
            </w:r>
          </w:p>
          <w:p w:rsidR="00155377" w:rsidRPr="00F35FC3" w:rsidRDefault="00155377" w:rsidP="00263AE0">
            <w:pPr>
              <w:numPr>
                <w:ilvl w:val="0"/>
                <w:numId w:val="17"/>
              </w:numPr>
              <w:rPr>
                <w:noProof/>
                <w:sz w:val="22"/>
              </w:rPr>
            </w:pPr>
            <w:r w:rsidRPr="00F35FC3">
              <w:rPr>
                <w:noProof/>
                <w:sz w:val="22"/>
              </w:rPr>
              <w:t xml:space="preserve">Coordinate with relevant Commission services, in particular on issues related to data governance, cybersecurity, AI, and critical infrastructure. </w:t>
            </w:r>
          </w:p>
          <w:p w:rsidR="00155377" w:rsidRPr="00F35FC3" w:rsidRDefault="00155377">
            <w:pPr>
              <w:rPr>
                <w:noProof/>
                <w:sz w:val="22"/>
                <w:u w:val="single"/>
              </w:rPr>
            </w:pPr>
            <w:r w:rsidRPr="00F35FC3">
              <w:rPr>
                <w:noProof/>
                <w:sz w:val="22"/>
                <w:u w:val="single"/>
              </w:rPr>
              <w:t>Stakeholder engagement and monitoring</w:t>
            </w:r>
          </w:p>
          <w:p w:rsidR="00155377" w:rsidRPr="00F35FC3" w:rsidRDefault="00155377" w:rsidP="00263AE0">
            <w:pPr>
              <w:numPr>
                <w:ilvl w:val="0"/>
                <w:numId w:val="17"/>
              </w:numPr>
              <w:rPr>
                <w:noProof/>
                <w:sz w:val="22"/>
              </w:rPr>
            </w:pPr>
            <w:r w:rsidRPr="00F35FC3">
              <w:rPr>
                <w:noProof/>
                <w:sz w:val="22"/>
              </w:rPr>
              <w:t xml:space="preserve">Organise and follow up meetings, expert workshops and targeted consultations with TSOs, DSOs, ENTSO-E, the EU DSO Entity, ACER, industry, research actors and other stakeholders. </w:t>
            </w:r>
          </w:p>
          <w:p w:rsidR="00155377" w:rsidRPr="00F35FC3" w:rsidRDefault="00155377" w:rsidP="00263AE0">
            <w:pPr>
              <w:numPr>
                <w:ilvl w:val="0"/>
                <w:numId w:val="17"/>
              </w:numPr>
              <w:rPr>
                <w:noProof/>
                <w:sz w:val="22"/>
              </w:rPr>
            </w:pPr>
            <w:r w:rsidRPr="00F35FC3">
              <w:rPr>
                <w:noProof/>
                <w:sz w:val="22"/>
              </w:rPr>
              <w:t xml:space="preserve">Monitor implementation progress and support future updates of the implementing framework where necessary. </w:t>
            </w:r>
          </w:p>
          <w:p w:rsidR="00155377" w:rsidRDefault="00155377">
            <w:pPr>
              <w:rPr>
                <w:noProof/>
                <w:sz w:val="22"/>
              </w:rPr>
            </w:pPr>
            <w:r w:rsidRPr="00BC145D">
              <w:rPr>
                <w:noProof/>
                <w:sz w:val="22"/>
              </w:rPr>
              <w:t>These tasks are structural and long-term in nature, as they relate to the continuous monitoring, evolution and governance of the digitalisation of electricity networks at Union level. They go beyond the current scope of DG ENER’s activities, which do not include the operational oversight of a Union-level framework for grid data exchange and innovation. Existing staff are already fully engaged in ongoing legislative implementation and policy development, and do not have the capacity to take on these additional horizontal and coordination-intensive responsibilities.</w:t>
            </w:r>
          </w:p>
          <w:p w:rsidR="00155377" w:rsidRDefault="00155377" w:rsidP="00537A5F">
            <w:pPr>
              <w:rPr>
                <w:rFonts w:ascii="Arial Narrow" w:hAnsi="Arial Narrow"/>
                <w:noProof/>
                <w:sz w:val="18"/>
                <w:szCs w:val="18"/>
                <w:u w:val="single"/>
              </w:rPr>
            </w:pPr>
            <w:r w:rsidRPr="00F664F4">
              <w:rPr>
                <w:noProof/>
                <w:sz w:val="22"/>
              </w:rPr>
              <w:t>This would also include limited implementation follow-up related to Article</w:t>
            </w:r>
            <w:r w:rsidR="00126532">
              <w:rPr>
                <w:rFonts w:eastAsia="Times New Roman"/>
                <w:noProof/>
              </w:rPr>
              <w:t> </w:t>
            </w:r>
            <w:r w:rsidRPr="00F664F4">
              <w:rPr>
                <w:noProof/>
                <w:sz w:val="22"/>
              </w:rPr>
              <w:t>18b on smart metering systems.</w:t>
            </w:r>
          </w:p>
        </w:tc>
      </w:tr>
      <w:tr w:rsidR="00155377" w:rsidTr="00537A5F">
        <w:trPr>
          <w:jc w:val="center"/>
        </w:trPr>
        <w:tc>
          <w:tcPr>
            <w:tcW w:w="9289" w:type="dxa"/>
            <w:tcBorders>
              <w:bottom w:val="single" w:sz="4" w:space="0" w:color="auto"/>
            </w:tcBorders>
          </w:tcPr>
          <w:p w:rsidR="00155377" w:rsidRPr="00BC0951" w:rsidRDefault="00155377">
            <w:pPr>
              <w:pStyle w:val="Text2"/>
              <w:spacing w:before="40" w:after="0"/>
              <w:ind w:left="0"/>
              <w:jc w:val="left"/>
              <w:rPr>
                <w:rFonts w:ascii="Arial Narrow" w:hAnsi="Arial Narrow"/>
                <w:noProof/>
                <w:sz w:val="22"/>
              </w:rPr>
            </w:pPr>
            <w:r>
              <w:rPr>
                <w:rFonts w:ascii="Wingdings" w:eastAsia="Wingdings" w:hAnsi="Wingdings" w:cs="Wingdings"/>
                <w:b/>
                <w:noProof/>
              </w:rPr>
              <w:t></w:t>
            </w:r>
            <w:r>
              <w:rPr>
                <w:rFonts w:ascii="Arial Narrow" w:hAnsi="Arial Narrow"/>
                <w:b/>
                <w:noProof/>
              </w:rPr>
              <w:t xml:space="preserve"> </w:t>
            </w:r>
            <w:r>
              <w:rPr>
                <w:rFonts w:ascii="Arial Narrow" w:hAnsi="Arial Narrow"/>
                <w:noProof/>
                <w:sz w:val="22"/>
              </w:rPr>
              <w:t>External staff</w:t>
            </w:r>
          </w:p>
          <w:p w:rsidR="00155377" w:rsidRPr="00D01CAA" w:rsidRDefault="00155377">
            <w:pPr>
              <w:rPr>
                <w:noProof/>
                <w:sz w:val="22"/>
                <w:szCs w:val="24"/>
                <w:u w:val="single"/>
              </w:rPr>
            </w:pPr>
            <w:r w:rsidRPr="00D01CAA">
              <w:rPr>
                <w:noProof/>
                <w:sz w:val="22"/>
                <w:szCs w:val="24"/>
                <w:u w:val="single"/>
              </w:rPr>
              <w:t>DG ENER</w:t>
            </w:r>
          </w:p>
          <w:p w:rsidR="00155377" w:rsidRDefault="00155377">
            <w:pPr>
              <w:rPr>
                <w:noProof/>
                <w:sz w:val="22"/>
                <w:szCs w:val="24"/>
                <w:lang w:val="en-IE"/>
              </w:rPr>
            </w:pPr>
            <w:r>
              <w:rPr>
                <w:b/>
                <w:bCs/>
                <w:noProof/>
                <w:sz w:val="22"/>
                <w:szCs w:val="24"/>
                <w:lang w:val="en-IE"/>
              </w:rPr>
              <w:t>2</w:t>
            </w:r>
            <w:r w:rsidRPr="00D01CAA">
              <w:rPr>
                <w:b/>
                <w:bCs/>
                <w:noProof/>
                <w:sz w:val="22"/>
                <w:szCs w:val="24"/>
                <w:lang w:val="en-IE"/>
              </w:rPr>
              <w:t xml:space="preserve"> temporary Contract Agent (CA) FTEs</w:t>
            </w:r>
            <w:r w:rsidRPr="00D01CAA">
              <w:rPr>
                <w:noProof/>
                <w:sz w:val="22"/>
                <w:szCs w:val="24"/>
                <w:lang w:val="en-IE"/>
              </w:rPr>
              <w:t xml:space="preserve"> are required to support the preparation, drafting and adoption of </w:t>
            </w:r>
            <w:r w:rsidRPr="00D01CAA">
              <w:rPr>
                <w:b/>
                <w:bCs/>
                <w:noProof/>
                <w:sz w:val="22"/>
                <w:szCs w:val="24"/>
                <w:lang w:val="en-IE"/>
              </w:rPr>
              <w:t>implementing acts</w:t>
            </w:r>
            <w:r w:rsidRPr="00D01CAA">
              <w:rPr>
                <w:noProof/>
                <w:sz w:val="22"/>
                <w:szCs w:val="24"/>
                <w:lang w:val="en-IE"/>
              </w:rPr>
              <w:t xml:space="preserve"> under Article 61 (</w:t>
            </w:r>
            <w:r>
              <w:rPr>
                <w:noProof/>
                <w:sz w:val="22"/>
                <w:szCs w:val="24"/>
                <w:lang w:val="en-IE"/>
              </w:rPr>
              <w:t xml:space="preserve">tariff methodology and </w:t>
            </w:r>
            <w:r w:rsidRPr="00D01CAA">
              <w:rPr>
                <w:noProof/>
                <w:sz w:val="22"/>
                <w:szCs w:val="24"/>
                <w:lang w:val="en-IE"/>
              </w:rPr>
              <w:t xml:space="preserve">smart grid indicators </w:t>
            </w:r>
            <w:r>
              <w:rPr>
                <w:noProof/>
                <w:sz w:val="22"/>
                <w:szCs w:val="24"/>
                <w:lang w:val="en-IE"/>
              </w:rPr>
              <w:t>&amp;</w:t>
            </w:r>
            <w:r w:rsidRPr="00D01CAA">
              <w:rPr>
                <w:noProof/>
                <w:sz w:val="22"/>
                <w:szCs w:val="24"/>
                <w:lang w:val="en-IE"/>
              </w:rPr>
              <w:t xml:space="preserve"> data reuse)</w:t>
            </w:r>
            <w:r>
              <w:rPr>
                <w:noProof/>
                <w:sz w:val="22"/>
                <w:szCs w:val="24"/>
                <w:lang w:val="en-IE"/>
              </w:rPr>
              <w:t xml:space="preserve"> related to the following requirements:</w:t>
            </w:r>
          </w:p>
          <w:p w:rsidR="00155377" w:rsidRDefault="00155377" w:rsidP="00263AE0">
            <w:pPr>
              <w:pStyle w:val="ListParagraph"/>
              <w:numPr>
                <w:ilvl w:val="0"/>
                <w:numId w:val="17"/>
              </w:numPr>
              <w:rPr>
                <w:noProof/>
                <w:sz w:val="22"/>
                <w:szCs w:val="24"/>
                <w:lang w:val="en-IE"/>
              </w:rPr>
            </w:pPr>
            <w:r w:rsidRPr="00CA7376">
              <w:rPr>
                <w:noProof/>
                <w:sz w:val="22"/>
                <w:szCs w:val="24"/>
                <w:lang w:val="en-IE"/>
              </w:rPr>
              <w:t xml:space="preserve">Requirement 2: The Commission is empowered to adopt implementing acts setting out guidelines to enable the lawful, secure and controlled reuse of electricity grid data for research and innovation public-interest purposes supporting the operation and optimisation of the electricity system pursuant to Article 18a (Article 61(5b)). This includes technical and legal preparation, stakeholder consultation, drafting and implementation follow-up. This task requires an estimated 0.5 FTE from DG ENER. These resources would cover in particular preparing, drafting and steering the adoption of implementing acts under Article 61.5a and 5b, including interservice consultation and consultation of Member States under the relevant comitology procedure. </w:t>
            </w:r>
          </w:p>
          <w:p w:rsidR="00155377" w:rsidRDefault="00155377" w:rsidP="00263AE0">
            <w:pPr>
              <w:pStyle w:val="ListParagraph"/>
              <w:numPr>
                <w:ilvl w:val="0"/>
                <w:numId w:val="17"/>
              </w:numPr>
              <w:rPr>
                <w:noProof/>
                <w:sz w:val="22"/>
                <w:szCs w:val="24"/>
                <w:lang w:val="en-IE"/>
              </w:rPr>
            </w:pPr>
            <w:r w:rsidRPr="00CA7376">
              <w:rPr>
                <w:noProof/>
                <w:sz w:val="22"/>
                <w:szCs w:val="24"/>
                <w:lang w:val="en-IE"/>
              </w:rPr>
              <w:t>Requirement 3: The Commission may adopt implementing acts setting out guidelines on a harmonised methodology on tariffs pursuant to Article 18 (Article 61(5a)). This task requires additional analytical, regulatory and coordination capacity within DG ENER, including an estimated 1 FTE for the preparation of implementing acts. These resources would cover in particular policy and legal follow-up.</w:t>
            </w:r>
          </w:p>
          <w:p w:rsidR="00155377" w:rsidRPr="00CA7376" w:rsidRDefault="00155377" w:rsidP="00263AE0">
            <w:pPr>
              <w:pStyle w:val="ListParagraph"/>
              <w:numPr>
                <w:ilvl w:val="0"/>
                <w:numId w:val="17"/>
              </w:numPr>
              <w:rPr>
                <w:noProof/>
                <w:sz w:val="22"/>
                <w:szCs w:val="24"/>
                <w:lang w:val="en-IE"/>
              </w:rPr>
            </w:pPr>
            <w:r w:rsidRPr="00FC19C2">
              <w:rPr>
                <w:noProof/>
                <w:sz w:val="22"/>
                <w:szCs w:val="24"/>
                <w:lang w:val="en-IE"/>
              </w:rPr>
              <w:t>Requirement 4: The Commission may adopt implementing acts on smart grid indicators pursuant to Article 18a (Article 61(5a)). This task requires additional analytical, regulatory and coordination capacity within DG ENER, including an estimated 0.5 FTE for the preparation of implementing acts. These resources would cover in particular policy and legal follow-up.</w:t>
            </w:r>
          </w:p>
          <w:p w:rsidR="00155377" w:rsidRPr="00155377" w:rsidRDefault="00155377" w:rsidP="00155377">
            <w:pPr>
              <w:rPr>
                <w:noProof/>
                <w:sz w:val="22"/>
                <w:lang w:val="en-IE"/>
              </w:rPr>
            </w:pPr>
            <w:r w:rsidRPr="0BF289B2">
              <w:rPr>
                <w:noProof/>
                <w:sz w:val="22"/>
                <w:lang w:val="en-IE"/>
              </w:rPr>
              <w:t xml:space="preserve">These activities are more concentrated in the initial phase of implementation and during periodic updates of the implementing framework. They require significant analytical and coordination capacity over a defined period, but are not expected to require permanent reinforcement once the main implementing framework is established. </w:t>
            </w:r>
          </w:p>
        </w:tc>
      </w:tr>
    </w:tbl>
    <w:p w:rsidR="00155377" w:rsidRDefault="00155377" w:rsidP="00155377">
      <w:pPr>
        <w:spacing w:before="0" w:after="0"/>
        <w:rPr>
          <w:rFonts w:ascii="Arial Narrow" w:hAnsi="Arial Narrow"/>
          <w:noProof/>
        </w:rPr>
      </w:pPr>
    </w:p>
    <w:tbl>
      <w:tblPr>
        <w:tblW w:w="0" w:type="auto"/>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tblGrid>
      <w:tr w:rsidR="00155377">
        <w:trPr>
          <w:jc w:val="center"/>
        </w:trPr>
        <w:tc>
          <w:tcPr>
            <w:tcW w:w="12474" w:type="dxa"/>
            <w:tcBorders>
              <w:top w:val="single" w:sz="4" w:space="0" w:color="auto"/>
            </w:tcBorders>
          </w:tcPr>
          <w:p w:rsidR="00155377" w:rsidRDefault="00155377">
            <w:pPr>
              <w:pStyle w:val="Text2"/>
              <w:spacing w:before="60" w:after="60"/>
              <w:ind w:left="0"/>
              <w:jc w:val="left"/>
              <w:rPr>
                <w:rFonts w:ascii="Arial Narrow" w:hAnsi="Arial Narrow"/>
                <w:b/>
                <w:noProof/>
              </w:rPr>
            </w:pPr>
            <w:r>
              <w:rPr>
                <w:rFonts w:ascii="Arial Narrow" w:hAnsi="Arial Narrow"/>
                <w:b/>
                <w:noProof/>
                <w:sz w:val="22"/>
              </w:rPr>
              <w:t>Outside HEADING 7</w:t>
            </w:r>
            <w:r>
              <w:rPr>
                <w:rFonts w:ascii="Arial Narrow" w:hAnsi="Arial Narrow"/>
                <w:noProof/>
                <w:sz w:val="22"/>
              </w:rPr>
              <w:t xml:space="preserve"> of the multiannual financial framework</w:t>
            </w:r>
          </w:p>
        </w:tc>
      </w:tr>
      <w:tr w:rsidR="00155377">
        <w:trPr>
          <w:jc w:val="center"/>
        </w:trPr>
        <w:tc>
          <w:tcPr>
            <w:tcW w:w="12474" w:type="dxa"/>
          </w:tcPr>
          <w:p w:rsidR="00155377" w:rsidRPr="00E57796" w:rsidRDefault="00155377">
            <w:pPr>
              <w:pStyle w:val="Text2"/>
              <w:spacing w:before="40" w:after="0"/>
              <w:ind w:left="0"/>
              <w:jc w:val="left"/>
              <w:rPr>
                <w:rFonts w:ascii="Arial Narrow" w:hAnsi="Arial Narrow"/>
                <w:bCs/>
                <w:iCs/>
                <w:noProof/>
              </w:rPr>
            </w:pPr>
            <w:r>
              <w:rPr>
                <w:rFonts w:ascii="Wingdings" w:eastAsia="Wingdings" w:hAnsi="Wingdings" w:cs="Wingdings"/>
                <w:b/>
                <w:noProof/>
              </w:rPr>
              <w:t></w:t>
            </w:r>
            <w:r>
              <w:rPr>
                <w:rFonts w:ascii="Arial Narrow" w:hAnsi="Arial Narrow"/>
                <w:b/>
                <w:noProof/>
              </w:rPr>
              <w:t xml:space="preserve"> </w:t>
            </w:r>
            <w:r w:rsidRPr="00E57796">
              <w:rPr>
                <w:rFonts w:ascii="Arial Narrow" w:hAnsi="Arial Narrow"/>
                <w:noProof/>
                <w:sz w:val="22"/>
              </w:rPr>
              <w:t xml:space="preserve">Only posts financed from the research budget </w:t>
            </w:r>
          </w:p>
          <w:p w:rsidR="00155377" w:rsidRDefault="00155377">
            <w:pPr>
              <w:rPr>
                <w:noProof/>
                <w:sz w:val="22"/>
                <w:u w:val="single"/>
              </w:rPr>
            </w:pPr>
            <w:r w:rsidRPr="331E5540">
              <w:rPr>
                <w:noProof/>
                <w:sz w:val="22"/>
                <w:u w:val="single"/>
              </w:rPr>
              <w:t>DG JRC</w:t>
            </w:r>
          </w:p>
          <w:p w:rsidR="00155377" w:rsidRPr="00155377" w:rsidRDefault="00155377" w:rsidP="00155377">
            <w:pPr>
              <w:rPr>
                <w:noProof/>
                <w:sz w:val="22"/>
              </w:rPr>
            </w:pPr>
            <w:r w:rsidRPr="00D01CAA">
              <w:rPr>
                <w:noProof/>
                <w:sz w:val="22"/>
              </w:rPr>
              <w:t xml:space="preserve">DG JRC has conducted a detailed assessment of the technical and scientific support required to implement the proposal and has reviewed the possibility of internal redeployment. </w:t>
            </w:r>
            <w:r w:rsidRPr="1EFEA093">
              <w:rPr>
                <w:noProof/>
                <w:sz w:val="22"/>
              </w:rPr>
              <w:t>Considering that</w:t>
            </w:r>
            <w:r w:rsidRPr="00D01CAA">
              <w:rPr>
                <w:noProof/>
                <w:sz w:val="22"/>
              </w:rPr>
              <w:t xml:space="preserve"> some synergies exist with ongoing activities in the areas of digitalisation </w:t>
            </w:r>
            <w:r w:rsidRPr="58E4F7AD">
              <w:rPr>
                <w:noProof/>
                <w:sz w:val="22"/>
              </w:rPr>
              <w:t xml:space="preserve">of the energy system </w:t>
            </w:r>
            <w:r w:rsidRPr="00D01CAA">
              <w:rPr>
                <w:noProof/>
                <w:sz w:val="22"/>
              </w:rPr>
              <w:t xml:space="preserve">and cybersecurity, </w:t>
            </w:r>
            <w:r w:rsidRPr="36EDF3C5">
              <w:rPr>
                <w:noProof/>
                <w:sz w:val="22"/>
              </w:rPr>
              <w:t>to</w:t>
            </w:r>
            <w:r w:rsidRPr="00384C4F">
              <w:rPr>
                <w:noProof/>
                <w:sz w:val="22"/>
              </w:rPr>
              <w:t xml:space="preserve"> implement these additional activities</w:t>
            </w:r>
            <w:r>
              <w:rPr>
                <w:noProof/>
                <w:sz w:val="22"/>
              </w:rPr>
              <w:t xml:space="preserve">, </w:t>
            </w:r>
            <w:r w:rsidRPr="00384C4F">
              <w:rPr>
                <w:noProof/>
                <w:sz w:val="22"/>
              </w:rPr>
              <w:t xml:space="preserve">with an effort of </w:t>
            </w:r>
            <w:r>
              <w:rPr>
                <w:noProof/>
                <w:sz w:val="22"/>
              </w:rPr>
              <w:t>0</w:t>
            </w:r>
            <w:r w:rsidRPr="0B4E0E0E">
              <w:rPr>
                <w:noProof/>
                <w:sz w:val="22"/>
              </w:rPr>
              <w:t>.5 AD FTE</w:t>
            </w:r>
            <w:r>
              <w:rPr>
                <w:noProof/>
                <w:sz w:val="22"/>
              </w:rPr>
              <w:t xml:space="preserve"> – </w:t>
            </w:r>
            <w:r w:rsidRPr="00E05F87">
              <w:rPr>
                <w:noProof/>
                <w:sz w:val="22"/>
              </w:rPr>
              <w:t>redeploy</w:t>
            </w:r>
            <w:r>
              <w:rPr>
                <w:noProof/>
                <w:sz w:val="22"/>
              </w:rPr>
              <w:t>ed from</w:t>
            </w:r>
            <w:r w:rsidRPr="00E05F87">
              <w:rPr>
                <w:noProof/>
                <w:sz w:val="22"/>
              </w:rPr>
              <w:t xml:space="preserve"> its internal resources</w:t>
            </w:r>
            <w:r>
              <w:rPr>
                <w:noProof/>
                <w:sz w:val="22"/>
              </w:rPr>
              <w:t xml:space="preserve"> -</w:t>
            </w:r>
            <w:r w:rsidRPr="0B4E0E0E">
              <w:rPr>
                <w:noProof/>
                <w:sz w:val="22"/>
              </w:rPr>
              <w:t xml:space="preserve"> </w:t>
            </w:r>
            <w:r>
              <w:rPr>
                <w:noProof/>
                <w:sz w:val="22"/>
              </w:rPr>
              <w:t xml:space="preserve">which </w:t>
            </w:r>
            <w:r w:rsidRPr="0B4E0E0E">
              <w:rPr>
                <w:noProof/>
                <w:sz w:val="22"/>
              </w:rPr>
              <w:t xml:space="preserve">will be dedicated to the support to the development of implementing acts. </w:t>
            </w:r>
            <w:r w:rsidRPr="009C04D5">
              <w:rPr>
                <w:noProof/>
                <w:sz w:val="22"/>
              </w:rPr>
              <w:t xml:space="preserve"> This includes providing technical input for the preparation of implementing acts under Article 61.5b, including on data models, ontologies, interfaces, interoperability architectures and technical specifications.</w:t>
            </w:r>
          </w:p>
          <w:p w:rsidR="00155377" w:rsidRDefault="00155377">
            <w:pPr>
              <w:pStyle w:val="Text2"/>
              <w:spacing w:before="60" w:after="0"/>
              <w:ind w:left="0"/>
              <w:rPr>
                <w:rFonts w:ascii="Arial Narrow" w:hAnsi="Arial Narrow"/>
                <w:noProof/>
                <w:sz w:val="18"/>
                <w:szCs w:val="18"/>
                <w:u w:val="single"/>
              </w:rPr>
            </w:pPr>
          </w:p>
        </w:tc>
      </w:tr>
      <w:tr w:rsidR="00155377">
        <w:trPr>
          <w:jc w:val="center"/>
        </w:trPr>
        <w:tc>
          <w:tcPr>
            <w:tcW w:w="12474" w:type="dxa"/>
            <w:tcBorders>
              <w:bottom w:val="single" w:sz="4" w:space="0" w:color="auto"/>
            </w:tcBorders>
          </w:tcPr>
          <w:p w:rsidR="00155377" w:rsidRDefault="00155377">
            <w:pPr>
              <w:pStyle w:val="Text2"/>
              <w:spacing w:before="40" w:after="0"/>
              <w:ind w:left="0"/>
              <w:jc w:val="left"/>
              <w:rPr>
                <w:rFonts w:ascii="Arial Narrow" w:hAnsi="Arial Narrow"/>
                <w:noProof/>
                <w:sz w:val="20"/>
                <w:szCs w:val="20"/>
              </w:rPr>
            </w:pPr>
            <w:r>
              <w:rPr>
                <w:rFonts w:ascii="Wingdings" w:eastAsia="Wingdings" w:hAnsi="Wingdings" w:cs="Wingdings"/>
                <w:b/>
                <w:noProof/>
              </w:rPr>
              <w:t></w:t>
            </w:r>
            <w:r>
              <w:rPr>
                <w:rFonts w:ascii="Arial Narrow" w:hAnsi="Arial Narrow"/>
                <w:b/>
                <w:noProof/>
              </w:rPr>
              <w:t xml:space="preserve"> </w:t>
            </w:r>
            <w:r>
              <w:rPr>
                <w:rFonts w:ascii="Arial Narrow" w:hAnsi="Arial Narrow"/>
                <w:noProof/>
                <w:sz w:val="22"/>
              </w:rPr>
              <w:t>External staff</w:t>
            </w:r>
          </w:p>
          <w:p w:rsidR="00155377" w:rsidRDefault="00155377">
            <w:pPr>
              <w:rPr>
                <w:rFonts w:asciiTheme="minorHAnsi" w:eastAsiaTheme="minorEastAsia" w:hAnsiTheme="minorHAnsi" w:cstheme="minorBidi"/>
                <w:noProof/>
                <w:sz w:val="22"/>
              </w:rPr>
            </w:pPr>
            <w:r w:rsidRPr="00F664F4">
              <w:rPr>
                <w:noProof/>
                <w:sz w:val="22"/>
                <w:u w:val="single"/>
              </w:rPr>
              <w:t>JRC</w:t>
            </w:r>
            <w:r>
              <w:rPr>
                <w:noProof/>
              </w:rPr>
              <w:br/>
            </w:r>
            <w:r w:rsidRPr="00D01CAA">
              <w:rPr>
                <w:noProof/>
                <w:sz w:val="22"/>
              </w:rPr>
              <w:t xml:space="preserve">DG JRC has conducted a detailed assessment of the technical and scientific support required to implement the proposal and has reviewed the possibility of internal redeployment. </w:t>
            </w:r>
            <w:r w:rsidRPr="1EFEA093">
              <w:rPr>
                <w:noProof/>
                <w:sz w:val="22"/>
              </w:rPr>
              <w:t>Considering that</w:t>
            </w:r>
            <w:r w:rsidRPr="00D01CAA">
              <w:rPr>
                <w:noProof/>
                <w:sz w:val="22"/>
              </w:rPr>
              <w:t xml:space="preserve"> some synergies exist with ongoing activities in the areas of digitalisation </w:t>
            </w:r>
            <w:r w:rsidRPr="58E4F7AD">
              <w:rPr>
                <w:noProof/>
                <w:sz w:val="22"/>
              </w:rPr>
              <w:t xml:space="preserve">of the energy system </w:t>
            </w:r>
            <w:r w:rsidRPr="00D01CAA">
              <w:rPr>
                <w:noProof/>
                <w:sz w:val="22"/>
              </w:rPr>
              <w:t xml:space="preserve">and cybersecurity, </w:t>
            </w:r>
            <w:r w:rsidRPr="36EDF3C5">
              <w:rPr>
                <w:noProof/>
                <w:sz w:val="22"/>
              </w:rPr>
              <w:t>to</w:t>
            </w:r>
            <w:r w:rsidRPr="00384C4F">
              <w:rPr>
                <w:noProof/>
                <w:sz w:val="22"/>
              </w:rPr>
              <w:t xml:space="preserve"> implement these additional activities</w:t>
            </w:r>
            <w:r>
              <w:rPr>
                <w:noProof/>
                <w:sz w:val="22"/>
              </w:rPr>
              <w:t xml:space="preserve">, </w:t>
            </w:r>
            <w:r w:rsidRPr="00384C4F">
              <w:rPr>
                <w:noProof/>
                <w:sz w:val="22"/>
              </w:rPr>
              <w:t xml:space="preserve">with an effort of </w:t>
            </w:r>
            <w:r w:rsidRPr="009C04D5">
              <w:rPr>
                <w:b/>
                <w:bCs/>
                <w:noProof/>
                <w:sz w:val="22"/>
              </w:rPr>
              <w:t xml:space="preserve">1.5 CA FTEs, the JRC will redeploy its internal resources </w:t>
            </w:r>
            <w:r w:rsidRPr="00D01CAA">
              <w:rPr>
                <w:noProof/>
                <w:sz w:val="22"/>
              </w:rPr>
              <w:t xml:space="preserve">to </w:t>
            </w:r>
            <w:r w:rsidRPr="62AA9660">
              <w:rPr>
                <w:noProof/>
                <w:sz w:val="22"/>
              </w:rPr>
              <w:t xml:space="preserve">provide </w:t>
            </w:r>
            <w:r w:rsidRPr="009C04D5">
              <w:rPr>
                <w:noProof/>
                <w:sz w:val="22"/>
              </w:rPr>
              <w:t>technical and scientific advice for the development of the voluntary secure electricity data exchange framework under Article 18a(5). This includes the provision of guidelines on testing and validation approaches, and essential cybersecurity requirements.</w:t>
            </w:r>
            <w:r w:rsidRPr="3B413C48">
              <w:rPr>
                <w:rFonts w:asciiTheme="minorHAnsi" w:eastAsiaTheme="minorEastAsia" w:hAnsiTheme="minorHAnsi" w:cstheme="minorBidi"/>
                <w:noProof/>
                <w:sz w:val="22"/>
              </w:rPr>
              <w:t xml:space="preserve"> </w:t>
            </w:r>
          </w:p>
          <w:p w:rsidR="00155377" w:rsidRDefault="00155377">
            <w:pPr>
              <w:rPr>
                <w:noProof/>
                <w:sz w:val="22"/>
              </w:rPr>
            </w:pPr>
            <w:r>
              <w:rPr>
                <w:noProof/>
                <w:sz w:val="22"/>
              </w:rPr>
              <w:t xml:space="preserve">Regarding the data exchange framework, </w:t>
            </w:r>
            <w:r w:rsidRPr="62AA9660">
              <w:rPr>
                <w:noProof/>
                <w:sz w:val="22"/>
              </w:rPr>
              <w:t>the</w:t>
            </w:r>
            <w:r w:rsidRPr="00413D98">
              <w:rPr>
                <w:noProof/>
                <w:sz w:val="22"/>
              </w:rPr>
              <w:t xml:space="preserve"> JRC support would focus in particular on:</w:t>
            </w:r>
          </w:p>
          <w:p w:rsidR="00155377" w:rsidRPr="00413D98" w:rsidRDefault="00155377" w:rsidP="00263AE0">
            <w:pPr>
              <w:numPr>
                <w:ilvl w:val="0"/>
                <w:numId w:val="18"/>
              </w:numPr>
              <w:rPr>
                <w:noProof/>
                <w:sz w:val="22"/>
              </w:rPr>
            </w:pPr>
            <w:r w:rsidRPr="001A72A0">
              <w:rPr>
                <w:noProof/>
                <w:sz w:val="22"/>
              </w:rPr>
              <w:t>Support the formulation of timely, policy relevant use cases related to electricity grid planning, operation and optimisation</w:t>
            </w:r>
            <w:r w:rsidRPr="00413D98">
              <w:rPr>
                <w:noProof/>
                <w:sz w:val="22"/>
              </w:rPr>
              <w:t xml:space="preserve">. </w:t>
            </w:r>
          </w:p>
          <w:p w:rsidR="00155377" w:rsidRPr="00155377" w:rsidRDefault="00155377" w:rsidP="00263AE0">
            <w:pPr>
              <w:numPr>
                <w:ilvl w:val="0"/>
                <w:numId w:val="18"/>
              </w:numPr>
              <w:rPr>
                <w:noProof/>
                <w:sz w:val="22"/>
              </w:rPr>
            </w:pPr>
            <w:r w:rsidRPr="00413D98">
              <w:rPr>
                <w:noProof/>
                <w:sz w:val="22"/>
              </w:rPr>
              <w:t xml:space="preserve">Supporting the voluntary secure electricity grid data exchange framework through </w:t>
            </w:r>
            <w:r>
              <w:rPr>
                <w:noProof/>
                <w:sz w:val="22"/>
              </w:rPr>
              <w:t xml:space="preserve">providing methodologies for </w:t>
            </w:r>
            <w:r w:rsidRPr="00413D98">
              <w:rPr>
                <w:noProof/>
                <w:sz w:val="22"/>
              </w:rPr>
              <w:t xml:space="preserve">independent testing, benchmarking and validation methodologies for innovative digital tools </w:t>
            </w:r>
            <w:r>
              <w:rPr>
                <w:noProof/>
                <w:sz w:val="22"/>
              </w:rPr>
              <w:t xml:space="preserve">to be developed under article 18a(5) </w:t>
            </w:r>
            <w:r w:rsidRPr="00413D98">
              <w:rPr>
                <w:noProof/>
                <w:sz w:val="22"/>
              </w:rPr>
              <w:t xml:space="preserve">relevant to electricity grid operation and optimisation. </w:t>
            </w:r>
          </w:p>
          <w:p w:rsidR="00155377" w:rsidRDefault="00155377">
            <w:pPr>
              <w:pStyle w:val="Text2"/>
              <w:spacing w:before="60" w:after="0"/>
              <w:ind w:left="0"/>
              <w:rPr>
                <w:rFonts w:ascii="Arial Narrow" w:hAnsi="Arial Narrow"/>
                <w:noProof/>
                <w:sz w:val="18"/>
                <w:szCs w:val="18"/>
                <w:u w:val="single"/>
              </w:rPr>
            </w:pPr>
          </w:p>
        </w:tc>
      </w:tr>
    </w:tbl>
    <w:p w:rsidR="00155377" w:rsidRPr="008B4CF8" w:rsidRDefault="00155377" w:rsidP="00155377">
      <w:pPr>
        <w:pStyle w:val="ManualNumPar2"/>
        <w:rPr>
          <w:noProof/>
        </w:rPr>
      </w:pPr>
      <w:r w:rsidRPr="00C119BA">
        <w:rPr>
          <w:noProof/>
        </w:rPr>
        <w:t>4.2.</w:t>
      </w:r>
      <w:r w:rsidRPr="00C119BA">
        <w:rPr>
          <w:noProof/>
        </w:rPr>
        <w:tab/>
      </w:r>
      <w:r w:rsidRPr="008B4CF8">
        <w:rPr>
          <w:noProof/>
        </w:rPr>
        <w:t>Other administrative expenditure</w:t>
      </w:r>
    </w:p>
    <w:tbl>
      <w:tblPr>
        <w:tblW w:w="9295" w:type="dxa"/>
        <w:jc w:val="center"/>
        <w:tblBorders>
          <w:top w:val="single" w:sz="4" w:space="0" w:color="auto"/>
          <w:left w:val="single" w:sz="4" w:space="0" w:color="auto"/>
          <w:bottom w:val="single" w:sz="4" w:space="0" w:color="auto"/>
          <w:right w:val="single" w:sz="4" w:space="0" w:color="auto"/>
          <w:insideH w:val="dashSmallGap" w:sz="4" w:space="0" w:color="auto"/>
          <w:insideV w:val="single" w:sz="4" w:space="0" w:color="auto"/>
        </w:tblBorders>
        <w:tblLook w:val="01E0" w:firstRow="1" w:lastRow="1" w:firstColumn="1" w:lastColumn="1" w:noHBand="0" w:noVBand="0"/>
      </w:tblPr>
      <w:tblGrid>
        <w:gridCol w:w="9289"/>
        <w:gridCol w:w="6"/>
      </w:tblGrid>
      <w:tr w:rsidR="00155377" w:rsidTr="00155377">
        <w:trPr>
          <w:gridAfter w:val="1"/>
          <w:wAfter w:w="6" w:type="dxa"/>
          <w:jc w:val="center"/>
        </w:trPr>
        <w:tc>
          <w:tcPr>
            <w:tcW w:w="9289" w:type="dxa"/>
            <w:tcBorders>
              <w:top w:val="single" w:sz="4" w:space="0" w:color="auto"/>
            </w:tcBorders>
          </w:tcPr>
          <w:p w:rsidR="00155377" w:rsidRDefault="00155377">
            <w:pPr>
              <w:pStyle w:val="Text2"/>
              <w:spacing w:before="60" w:after="60"/>
              <w:ind w:left="0"/>
              <w:jc w:val="left"/>
              <w:rPr>
                <w:rFonts w:ascii="Arial Narrow" w:hAnsi="Arial Narrow"/>
                <w:b/>
                <w:noProof/>
              </w:rPr>
            </w:pPr>
            <w:r>
              <w:rPr>
                <w:rFonts w:ascii="Arial Narrow" w:hAnsi="Arial Narrow"/>
                <w:b/>
                <w:noProof/>
                <w:sz w:val="22"/>
              </w:rPr>
              <w:t>HEADING 7</w:t>
            </w:r>
            <w:r>
              <w:rPr>
                <w:rFonts w:ascii="Arial Narrow" w:hAnsi="Arial Narrow"/>
                <w:noProof/>
                <w:sz w:val="22"/>
              </w:rPr>
              <w:t xml:space="preserve"> of the multiannual financial framework</w:t>
            </w:r>
          </w:p>
        </w:tc>
      </w:tr>
      <w:tr w:rsidR="00155377" w:rsidTr="00155377">
        <w:trPr>
          <w:gridAfter w:val="1"/>
          <w:wAfter w:w="6" w:type="dxa"/>
          <w:jc w:val="center"/>
        </w:trPr>
        <w:tc>
          <w:tcPr>
            <w:tcW w:w="9289" w:type="dxa"/>
            <w:tcBorders>
              <w:bottom w:val="single" w:sz="4" w:space="0" w:color="auto"/>
            </w:tcBorders>
          </w:tcPr>
          <w:p w:rsidR="00155377" w:rsidRDefault="00155377">
            <w:pPr>
              <w:pStyle w:val="Text2"/>
              <w:spacing w:before="0" w:after="0"/>
              <w:ind w:left="0"/>
              <w:rPr>
                <w:rFonts w:ascii="Arial Narrow" w:hAnsi="Arial Narrow"/>
                <w:noProof/>
                <w:u w:val="single"/>
              </w:rPr>
            </w:pPr>
          </w:p>
          <w:p w:rsidR="00155377" w:rsidRPr="00025ADF" w:rsidRDefault="00155377">
            <w:pPr>
              <w:pStyle w:val="Text2"/>
              <w:spacing w:before="0" w:after="0"/>
              <w:ind w:left="0"/>
              <w:rPr>
                <w:rFonts w:ascii="Arial Narrow" w:hAnsi="Arial Narrow"/>
                <w:noProof/>
                <w:u w:val="single"/>
              </w:rPr>
            </w:pPr>
            <w:r w:rsidRPr="00025ADF">
              <w:rPr>
                <w:rFonts w:ascii="Arial Narrow" w:hAnsi="Arial Narrow"/>
                <w:noProof/>
                <w:u w:val="single"/>
              </w:rPr>
              <w:t xml:space="preserve">DG Energy: The costs for missions and meetings for each post are foreseen to be around EUR </w:t>
            </w:r>
            <w:r>
              <w:rPr>
                <w:rFonts w:ascii="Arial Narrow" w:hAnsi="Arial Narrow"/>
                <w:noProof/>
                <w:u w:val="single"/>
              </w:rPr>
              <w:t>6</w:t>
            </w:r>
            <w:r w:rsidRPr="00025ADF">
              <w:rPr>
                <w:rFonts w:ascii="Arial Narrow" w:hAnsi="Arial Narrow"/>
                <w:noProof/>
                <w:u w:val="single"/>
              </w:rPr>
              <w:t xml:space="preserve"> 000</w:t>
            </w:r>
          </w:p>
          <w:p w:rsidR="00155377" w:rsidRPr="00025ADF" w:rsidRDefault="00155377">
            <w:pPr>
              <w:pStyle w:val="Text2"/>
              <w:spacing w:before="0" w:after="0"/>
              <w:rPr>
                <w:rFonts w:ascii="Arial Narrow" w:hAnsi="Arial Narrow"/>
                <w:noProof/>
                <w:u w:val="single"/>
              </w:rPr>
            </w:pPr>
          </w:p>
          <w:p w:rsidR="00155377" w:rsidRDefault="00155377">
            <w:pPr>
              <w:pStyle w:val="Text2"/>
              <w:spacing w:before="0" w:after="0"/>
              <w:ind w:left="0"/>
              <w:rPr>
                <w:rFonts w:ascii="Arial Narrow" w:hAnsi="Arial Narrow"/>
                <w:noProof/>
                <w:u w:val="single"/>
              </w:rPr>
            </w:pPr>
            <w:r w:rsidRPr="00025ADF">
              <w:rPr>
                <w:rFonts w:ascii="Arial Narrow" w:hAnsi="Arial Narrow"/>
                <w:noProof/>
                <w:u w:val="single"/>
              </w:rPr>
              <w:t>per person per year</w:t>
            </w:r>
          </w:p>
          <w:p w:rsidR="00155377" w:rsidRDefault="00155377">
            <w:pPr>
              <w:pStyle w:val="Text2"/>
              <w:spacing w:before="0" w:after="0"/>
              <w:ind w:left="0"/>
              <w:rPr>
                <w:rFonts w:ascii="Arial Narrow" w:hAnsi="Arial Narrow"/>
                <w:noProof/>
                <w:u w:val="single"/>
              </w:rPr>
            </w:pPr>
          </w:p>
          <w:p w:rsidR="00155377" w:rsidRDefault="00155377">
            <w:pPr>
              <w:pStyle w:val="Text2"/>
              <w:spacing w:before="60" w:after="0"/>
              <w:ind w:left="0"/>
              <w:rPr>
                <w:rFonts w:ascii="Arial Narrow" w:hAnsi="Arial Narrow"/>
                <w:noProof/>
                <w:u w:val="single"/>
              </w:rPr>
            </w:pPr>
          </w:p>
        </w:tc>
      </w:tr>
      <w:tr w:rsidR="00155377" w:rsidTr="00155377">
        <w:trPr>
          <w:jc w:val="center"/>
        </w:trPr>
        <w:tc>
          <w:tcPr>
            <w:tcW w:w="9295" w:type="dxa"/>
            <w:gridSpan w:val="2"/>
            <w:tcBorders>
              <w:top w:val="single" w:sz="4" w:space="0" w:color="auto"/>
            </w:tcBorders>
          </w:tcPr>
          <w:p w:rsidR="00155377" w:rsidRDefault="00155377">
            <w:pPr>
              <w:pStyle w:val="Text2"/>
              <w:spacing w:before="60" w:after="60"/>
              <w:ind w:left="0"/>
              <w:jc w:val="left"/>
              <w:rPr>
                <w:rFonts w:ascii="Arial Narrow" w:hAnsi="Arial Narrow"/>
                <w:b/>
                <w:noProof/>
              </w:rPr>
            </w:pPr>
            <w:r>
              <w:rPr>
                <w:rFonts w:ascii="Arial Narrow" w:hAnsi="Arial Narrow"/>
                <w:b/>
                <w:noProof/>
                <w:sz w:val="22"/>
              </w:rPr>
              <w:t>Outside HEADING 7</w:t>
            </w:r>
            <w:r>
              <w:rPr>
                <w:rFonts w:ascii="Arial Narrow" w:hAnsi="Arial Narrow"/>
                <w:noProof/>
                <w:sz w:val="22"/>
              </w:rPr>
              <w:t xml:space="preserve"> of the multiannual financial framework</w:t>
            </w:r>
          </w:p>
        </w:tc>
      </w:tr>
      <w:tr w:rsidR="00155377" w:rsidTr="00155377">
        <w:trPr>
          <w:jc w:val="center"/>
        </w:trPr>
        <w:tc>
          <w:tcPr>
            <w:tcW w:w="9295" w:type="dxa"/>
            <w:gridSpan w:val="2"/>
            <w:tcBorders>
              <w:bottom w:val="single" w:sz="4" w:space="0" w:color="auto"/>
            </w:tcBorders>
          </w:tcPr>
          <w:p w:rsidR="00155377" w:rsidRDefault="00155377">
            <w:pPr>
              <w:pStyle w:val="Text2"/>
              <w:spacing w:before="0" w:after="0"/>
              <w:ind w:left="0"/>
              <w:rPr>
                <w:rFonts w:ascii="Arial Narrow" w:hAnsi="Arial Narrow"/>
                <w:noProof/>
                <w:sz w:val="20"/>
                <w:szCs w:val="20"/>
                <w:u w:val="single"/>
              </w:rPr>
            </w:pPr>
          </w:p>
          <w:p w:rsidR="00155377" w:rsidRDefault="00155377">
            <w:pPr>
              <w:pStyle w:val="Text2"/>
              <w:spacing w:before="0" w:after="0"/>
              <w:ind w:left="0"/>
              <w:rPr>
                <w:rFonts w:ascii="Arial Narrow" w:hAnsi="Arial Narrow"/>
                <w:noProof/>
                <w:sz w:val="20"/>
                <w:szCs w:val="20"/>
                <w:u w:val="single"/>
              </w:rPr>
            </w:pPr>
          </w:p>
          <w:p w:rsidR="00155377" w:rsidRDefault="00155377">
            <w:pPr>
              <w:pStyle w:val="Text2"/>
              <w:spacing w:before="0" w:after="0"/>
              <w:ind w:left="0"/>
              <w:rPr>
                <w:rFonts w:ascii="Arial Narrow" w:hAnsi="Arial Narrow"/>
                <w:noProof/>
                <w:sz w:val="20"/>
                <w:szCs w:val="20"/>
                <w:u w:val="single"/>
              </w:rPr>
            </w:pPr>
          </w:p>
          <w:p w:rsidR="00155377" w:rsidRDefault="00155377">
            <w:pPr>
              <w:pStyle w:val="Text2"/>
              <w:spacing w:before="60" w:after="0"/>
              <w:ind w:left="0"/>
              <w:rPr>
                <w:rFonts w:ascii="Arial Narrow" w:hAnsi="Arial Narrow"/>
                <w:noProof/>
                <w:sz w:val="18"/>
                <w:szCs w:val="18"/>
                <w:u w:val="single"/>
              </w:rPr>
            </w:pPr>
          </w:p>
        </w:tc>
      </w:tr>
    </w:tbl>
    <w:p w:rsidR="00155377" w:rsidRPr="00155377" w:rsidRDefault="00155377" w:rsidP="00155377">
      <w:pPr>
        <w:rPr>
          <w:noProof/>
        </w:rPr>
      </w:pPr>
    </w:p>
    <w:sectPr w:rsidR="00155377" w:rsidRPr="00155377" w:rsidSect="00423DBB">
      <w:headerReference w:type="default" r:id="rId29"/>
      <w:footerReference w:type="default" r:id="rId3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B9B" w:rsidRDefault="00EF3B9B" w:rsidP="00443040">
      <w:pPr>
        <w:spacing w:before="0" w:after="0"/>
      </w:pPr>
      <w:r>
        <w:separator/>
      </w:r>
    </w:p>
  </w:endnote>
  <w:endnote w:type="continuationSeparator" w:id="0">
    <w:p w:rsidR="00EF3B9B" w:rsidRDefault="00EF3B9B" w:rsidP="0044304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rsidRPr="00423DBB">
      <w:rPr>
        <w:rFonts w:ascii="Arial" w:hAnsi="Arial" w:cs="Arial"/>
        <w:b/>
        <w:sz w:val="48"/>
      </w:rPr>
      <w:tab/>
    </w:r>
    <w:r w:rsidRPr="00423DBB">
      <w:tab/>
    </w:r>
    <w:r w:rsidRPr="00423DB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rsidRPr="00423DBB">
      <w:rPr>
        <w:rFonts w:ascii="Arial" w:hAnsi="Arial" w:cs="Arial"/>
        <w:b/>
        <w:sz w:val="48"/>
      </w:rPr>
      <w:tab/>
    </w:r>
    <w:r w:rsidRPr="00423DBB">
      <w:tab/>
    </w:r>
    <w:r w:rsidRPr="00423DB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Default="00423D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sidR="00A13D2E">
      <w:rPr>
        <w:noProof/>
      </w:rPr>
      <w:t>35</w:t>
    </w:r>
    <w:r>
      <w:fldChar w:fldCharType="end"/>
    </w:r>
    <w:r>
      <w:tab/>
    </w:r>
    <w:r w:rsidRPr="00423DBB">
      <w:tab/>
    </w:r>
    <w:r w:rsidRPr="00423DB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Default="00423DBB" w:rsidP="00423DB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Landscape"/>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23DBB">
      <w:tab/>
    </w:r>
    <w:r w:rsidRPr="00423DBB">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23DBB">
      <w:tab/>
    </w:r>
    <w:r w:rsidRPr="00423DBB">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Landscape"/>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23DBB">
      <w:tab/>
    </w:r>
    <w:r w:rsidRPr="00423DBB">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23DBB">
      <w:tab/>
    </w:r>
    <w:r w:rsidRPr="00423DBB">
      <w:rPr>
        <w:rFonts w:ascii="Arial" w:hAnsi="Arial" w:cs="Arial"/>
        <w:b/>
        <w:sz w:val="48"/>
      </w:rPr>
      <w:t>EN</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Landscape"/>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23DBB">
      <w:tab/>
    </w:r>
    <w:r w:rsidRPr="00423DBB">
      <w:rPr>
        <w:rFonts w:ascii="Arial" w:hAnsi="Arial" w:cs="Arial"/>
        <w:b/>
        <w:sz w:val="48"/>
      </w:rPr>
      <w:t>EN</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Footer"/>
      <w:rPr>
        <w:rFonts w:ascii="Arial" w:hAnsi="Arial" w:cs="Arial"/>
        <w:b/>
        <w:sz w:val="48"/>
      </w:rPr>
    </w:pPr>
    <w:r w:rsidRPr="00423DBB">
      <w:rPr>
        <w:rFonts w:ascii="Arial" w:hAnsi="Arial" w:cs="Arial"/>
        <w:b/>
        <w:sz w:val="48"/>
      </w:rPr>
      <w:t>EN</w:t>
    </w:r>
    <w:r w:rsidRPr="00423DBB">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423DBB">
      <w:tab/>
    </w:r>
    <w:r w:rsidRPr="00423DBB">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B9B" w:rsidRDefault="00EF3B9B" w:rsidP="00443040">
      <w:pPr>
        <w:spacing w:before="0" w:after="0"/>
      </w:pPr>
      <w:r>
        <w:separator/>
      </w:r>
    </w:p>
  </w:footnote>
  <w:footnote w:type="continuationSeparator" w:id="0">
    <w:p w:rsidR="00EF3B9B" w:rsidRDefault="00EF3B9B" w:rsidP="00443040">
      <w:pPr>
        <w:spacing w:before="0" w:after="0"/>
      </w:pPr>
      <w:r>
        <w:continuationSeparator/>
      </w:r>
    </w:p>
  </w:footnote>
  <w:footnote w:id="1">
    <w:p w:rsidR="003A2DC5" w:rsidRPr="008A2E5F" w:rsidRDefault="003A2DC5" w:rsidP="003A2DC5">
      <w:pPr>
        <w:pStyle w:val="FootnoteText"/>
        <w:rPr>
          <w:lang w:val="pt-BR"/>
        </w:rPr>
      </w:pPr>
      <w:r w:rsidRPr="00725495">
        <w:rPr>
          <w:rStyle w:val="FootnoteReference"/>
        </w:rPr>
        <w:footnoteRef/>
      </w:r>
      <w:r w:rsidR="00725495" w:rsidRPr="008A2E5F">
        <w:rPr>
          <w:lang w:val="pt-BR"/>
        </w:rPr>
        <w:tab/>
      </w:r>
      <w:r w:rsidRPr="008A2E5F">
        <w:rPr>
          <w:lang w:val="pt-BR"/>
        </w:rPr>
        <w:t>COM/2025/79.</w:t>
      </w:r>
    </w:p>
  </w:footnote>
  <w:footnote w:id="2">
    <w:p w:rsidR="003A2DC5" w:rsidRPr="008A2E5F" w:rsidRDefault="003A2DC5" w:rsidP="003A2DC5">
      <w:pPr>
        <w:pStyle w:val="FootnoteText"/>
        <w:rPr>
          <w:lang w:val="pt-BR"/>
        </w:rPr>
      </w:pPr>
      <w:r w:rsidRPr="00725495">
        <w:rPr>
          <w:rStyle w:val="FootnoteReference"/>
        </w:rPr>
        <w:footnoteRef/>
      </w:r>
      <w:r w:rsidR="00725495" w:rsidRPr="008A2E5F">
        <w:rPr>
          <w:lang w:val="pt-BR"/>
        </w:rPr>
        <w:tab/>
      </w:r>
      <w:r w:rsidRPr="008A2E5F">
        <w:rPr>
          <w:lang w:val="pt-BR"/>
        </w:rPr>
        <w:t>C/2026/126.</w:t>
      </w:r>
    </w:p>
  </w:footnote>
  <w:footnote w:id="3">
    <w:p w:rsidR="003A2DC5" w:rsidRPr="008A2E5F" w:rsidRDefault="003A2DC5" w:rsidP="003A2DC5">
      <w:pPr>
        <w:pStyle w:val="FootnoteText"/>
        <w:rPr>
          <w:lang w:val="pt-BR"/>
        </w:rPr>
      </w:pPr>
      <w:r w:rsidRPr="00725495">
        <w:rPr>
          <w:rStyle w:val="FootnoteReference"/>
        </w:rPr>
        <w:footnoteRef/>
      </w:r>
      <w:r w:rsidR="00725495" w:rsidRPr="008A2E5F">
        <w:rPr>
          <w:lang w:val="pt-BR"/>
        </w:rPr>
        <w:tab/>
      </w:r>
      <w:r w:rsidRPr="008A2E5F">
        <w:rPr>
          <w:lang w:val="pt-BR"/>
        </w:rPr>
        <w:t>COM/2025/1005.</w:t>
      </w:r>
    </w:p>
  </w:footnote>
  <w:footnote w:id="4">
    <w:p w:rsidR="003A2DC5" w:rsidRPr="008A2E5F" w:rsidRDefault="003A2DC5" w:rsidP="003A2DC5">
      <w:pPr>
        <w:pStyle w:val="FootnoteText"/>
        <w:rPr>
          <w:lang w:val="pt-BR"/>
        </w:rPr>
      </w:pPr>
      <w:r w:rsidRPr="00725495">
        <w:rPr>
          <w:rStyle w:val="FootnoteReference"/>
        </w:rPr>
        <w:footnoteRef/>
      </w:r>
      <w:r w:rsidR="00725495" w:rsidRPr="008A2E5F">
        <w:rPr>
          <w:lang w:val="pt-BR"/>
        </w:rPr>
        <w:tab/>
      </w:r>
      <w:r w:rsidRPr="008A2E5F">
        <w:rPr>
          <w:lang w:val="pt-BR"/>
        </w:rPr>
        <w:t>COM/2026/115.</w:t>
      </w:r>
    </w:p>
  </w:footnote>
  <w:footnote w:id="5">
    <w:p w:rsidR="00D91FB3" w:rsidRPr="008A2E5F" w:rsidRDefault="00D91FB3">
      <w:pPr>
        <w:pStyle w:val="FootnoteText"/>
        <w:rPr>
          <w:lang w:val="pt-BR"/>
        </w:rPr>
      </w:pPr>
      <w:r w:rsidRPr="00D873DB">
        <w:rPr>
          <w:rStyle w:val="FootnoteReference"/>
        </w:rPr>
        <w:footnoteRef/>
      </w:r>
      <w:r w:rsidR="00D873DB" w:rsidRPr="008A2E5F">
        <w:rPr>
          <w:lang w:val="pt-BR"/>
        </w:rPr>
        <w:tab/>
      </w:r>
      <w:r w:rsidR="00AA4D0D" w:rsidRPr="008A2E5F">
        <w:rPr>
          <w:lang w:val="pt-BR"/>
        </w:rPr>
        <w:t>COM/2026/501.</w:t>
      </w:r>
      <w:r w:rsidRPr="008A2E5F">
        <w:rPr>
          <w:lang w:val="pt-BR"/>
        </w:rPr>
        <w:t xml:space="preserve"> </w:t>
      </w:r>
    </w:p>
  </w:footnote>
  <w:footnote w:id="6">
    <w:p w:rsidR="0090549F" w:rsidRPr="00841D32" w:rsidRDefault="0090549F" w:rsidP="0090549F">
      <w:pPr>
        <w:pStyle w:val="FootnoteText"/>
        <w:rPr>
          <w:lang w:val="en-IE"/>
        </w:rPr>
      </w:pPr>
      <w:r w:rsidRPr="00D873DB">
        <w:rPr>
          <w:rStyle w:val="FootnoteReference"/>
        </w:rPr>
        <w:footnoteRef/>
      </w:r>
      <w:r w:rsidR="00D873DB">
        <w:tab/>
      </w:r>
      <w:r>
        <w:rPr>
          <w:lang w:val="en-IE"/>
        </w:rPr>
        <w:t>C</w:t>
      </w:r>
      <w:r w:rsidRPr="00624103">
        <w:t>OM</w:t>
      </w:r>
      <w:r>
        <w:t>/</w:t>
      </w:r>
      <w:r w:rsidRPr="00624103">
        <w:t>2026</w:t>
      </w:r>
      <w:r>
        <w:t>/</w:t>
      </w:r>
      <w:r w:rsidRPr="00624103">
        <w:t>370</w:t>
      </w:r>
      <w:r>
        <w:t>.</w:t>
      </w:r>
    </w:p>
  </w:footnote>
  <w:footnote w:id="7">
    <w:p w:rsidR="00603DDE" w:rsidRPr="000C10B3" w:rsidRDefault="00603DDE">
      <w:pPr>
        <w:pStyle w:val="FootnoteText"/>
        <w:rPr>
          <w:lang w:val="en-IE"/>
        </w:rPr>
      </w:pPr>
      <w:r w:rsidRPr="00BB32FA">
        <w:rPr>
          <w:rStyle w:val="FootnoteReference"/>
        </w:rPr>
        <w:footnoteRef/>
      </w:r>
      <w:r w:rsidR="00BB32FA">
        <w:tab/>
      </w:r>
      <w:r>
        <w:rPr>
          <w:lang w:val="en-IE"/>
        </w:rPr>
        <w:t>Article 3</w:t>
      </w:r>
      <w:r w:rsidR="00354A76">
        <w:rPr>
          <w:lang w:val="en-IE"/>
        </w:rPr>
        <w:t xml:space="preserve"> point </w:t>
      </w:r>
      <w:r w:rsidR="00450916">
        <w:rPr>
          <w:lang w:val="en-IE"/>
        </w:rPr>
        <w:t>(q)</w:t>
      </w:r>
      <w:r>
        <w:rPr>
          <w:lang w:val="en-IE"/>
        </w:rPr>
        <w:t xml:space="preserve"> of Regulation (EU) 2019/943</w:t>
      </w:r>
      <w:r w:rsidR="000324F9">
        <w:rPr>
          <w:lang w:val="en-IE"/>
        </w:rPr>
        <w:t>.</w:t>
      </w:r>
    </w:p>
  </w:footnote>
  <w:footnote w:id="8">
    <w:p w:rsidR="0090549F" w:rsidRPr="00491A83" w:rsidRDefault="0090549F">
      <w:pPr>
        <w:pStyle w:val="FootnoteText"/>
        <w:rPr>
          <w:lang w:val="en-IE"/>
        </w:rPr>
      </w:pPr>
      <w:r w:rsidRPr="00D873DB">
        <w:rPr>
          <w:rStyle w:val="FootnoteReference"/>
        </w:rPr>
        <w:footnoteRef/>
      </w:r>
      <w:r w:rsidR="00D873DB">
        <w:tab/>
      </w:r>
      <w:r w:rsidRPr="0090549F">
        <w:t>COM/2025/85</w:t>
      </w:r>
      <w:r>
        <w:t>.</w:t>
      </w:r>
    </w:p>
  </w:footnote>
  <w:footnote w:id="9">
    <w:p w:rsidR="003A2DC5" w:rsidRPr="005079F6" w:rsidRDefault="003A2DC5" w:rsidP="003A2DC5">
      <w:pPr>
        <w:pStyle w:val="FootnoteText"/>
        <w:jc w:val="left"/>
      </w:pPr>
      <w:r w:rsidRPr="00725495">
        <w:rPr>
          <w:rStyle w:val="FootnoteReference"/>
        </w:rPr>
        <w:footnoteRef/>
      </w:r>
      <w:r w:rsidR="00725495">
        <w:tab/>
      </w:r>
      <w:r w:rsidRPr="005079F6">
        <w:t>ACER (202</w:t>
      </w:r>
      <w:r>
        <w:t>6</w:t>
      </w:r>
      <w:r w:rsidRPr="005079F6">
        <w:t>) Key developments in E</w:t>
      </w:r>
      <w:r>
        <w:t>U</w:t>
      </w:r>
      <w:r w:rsidRPr="005079F6">
        <w:t xml:space="preserve"> electricity and gas markets</w:t>
      </w:r>
      <w:r>
        <w:t xml:space="preserve"> </w:t>
      </w:r>
      <w:r w:rsidRPr="005079F6">
        <w:t>https://www.acer.europa.eu/monitoring/electricity</w:t>
      </w:r>
      <w:r>
        <w:t>-</w:t>
      </w:r>
      <w:r w:rsidRPr="005079F6">
        <w:t>gas</w:t>
      </w:r>
      <w:r>
        <w:t>-</w:t>
      </w:r>
      <w:r w:rsidRPr="005079F6">
        <w:t>key</w:t>
      </w:r>
      <w:r>
        <w:t>-</w:t>
      </w:r>
      <w:r w:rsidRPr="005079F6">
        <w:t>developments</w:t>
      </w:r>
      <w:r>
        <w:t>-</w:t>
      </w:r>
      <w:r w:rsidRPr="005079F6">
        <w:t>202</w:t>
      </w:r>
      <w:r>
        <w:t>6</w:t>
      </w:r>
      <w:r w:rsidR="000324F9">
        <w:t>.</w:t>
      </w:r>
      <w:r w:rsidRPr="005079F6">
        <w:t xml:space="preserve"> </w:t>
      </w:r>
    </w:p>
  </w:footnote>
  <w:footnote w:id="10">
    <w:p w:rsidR="003A2DC5" w:rsidRPr="00D061BC" w:rsidRDefault="003A2DC5" w:rsidP="003A2DC5">
      <w:pPr>
        <w:pStyle w:val="FootnoteText"/>
        <w:jc w:val="left"/>
      </w:pPr>
      <w:r w:rsidRPr="00725495">
        <w:rPr>
          <w:rStyle w:val="FootnoteReference"/>
        </w:rPr>
        <w:footnoteRef/>
      </w:r>
      <w:r w:rsidR="00725495">
        <w:tab/>
      </w:r>
      <w:r w:rsidRPr="00FB4967">
        <w:t>ACER (2024) Retail market Monitoring report: https://www.acer.europa.eu/sites/default/files/documents/Publications/ACER-CEER_2024_MMR_Retail.pdf</w:t>
      </w:r>
      <w:r w:rsidR="000324F9">
        <w:t>.</w:t>
      </w:r>
    </w:p>
  </w:footnote>
  <w:footnote w:id="11">
    <w:p w:rsidR="007E5EC6" w:rsidRPr="00EE6F24" w:rsidRDefault="007E5EC6" w:rsidP="007E5EC6">
      <w:pPr>
        <w:pStyle w:val="FootnoteText"/>
      </w:pPr>
      <w:r w:rsidRPr="00725495">
        <w:rPr>
          <w:rStyle w:val="FootnoteReference"/>
        </w:rPr>
        <w:footnoteRef/>
      </w:r>
      <w:r>
        <w:tab/>
        <w:t>ACER Report ‘</w:t>
      </w:r>
      <w:r w:rsidRPr="00BE13BD">
        <w:t>Electricity infrastructure development to support a competitive and sustainable energy system</w:t>
      </w:r>
      <w:r>
        <w:t xml:space="preserve">’, </w:t>
      </w:r>
      <w:hyperlink r:id="rId1">
        <w:r w:rsidRPr="2BFCC4C3">
          <w:rPr>
            <w:rStyle w:val="Hyperlink"/>
          </w:rPr>
          <w:t>ACER_2024_Monitoring_Electricity_Infrastructure.pdf</w:t>
        </w:r>
      </w:hyperlink>
      <w:r>
        <w:t>. According to the report, “</w:t>
      </w:r>
      <w:r w:rsidRPr="00B8146F">
        <w:rPr>
          <w:i/>
          <w:iCs/>
        </w:rPr>
        <w:t>annual grid investment in Europe is estimated to double until 2050, reaching up to EUR 100 billion, with lower estimates at EUR 75 billion.</w:t>
      </w:r>
      <w:r>
        <w:t>”</w:t>
      </w:r>
    </w:p>
  </w:footnote>
  <w:footnote w:id="12">
    <w:p w:rsidR="003A2DC5" w:rsidRPr="00C6409F" w:rsidRDefault="003A2DC5" w:rsidP="003A2DC5">
      <w:pPr>
        <w:pStyle w:val="FootnoteText"/>
      </w:pPr>
      <w:r w:rsidRPr="00725495">
        <w:rPr>
          <w:rStyle w:val="FootnoteReference"/>
        </w:rPr>
        <w:footnoteRef/>
      </w:r>
      <w:r w:rsidR="00725495">
        <w:tab/>
      </w:r>
      <w:r w:rsidRPr="003F19CA">
        <w:t xml:space="preserve">In </w:t>
      </w:r>
      <w:r w:rsidRPr="001648FC">
        <w:t>Slovenia</w:t>
      </w:r>
      <w:r w:rsidRPr="003F19CA">
        <w:t xml:space="preserve">, </w:t>
      </w:r>
      <w:r>
        <w:t xml:space="preserve">a </w:t>
      </w:r>
      <w:r w:rsidRPr="003F19CA">
        <w:t>tariff reform from 2</w:t>
      </w:r>
      <w:r>
        <w:t>024 led to a decrease of more than 2.4% in peak load.</w:t>
      </w:r>
      <w:r w:rsidRPr="003F19CA">
        <w:t xml:space="preserve"> A study from Agora Energi</w:t>
      </w:r>
      <w:r>
        <w:t>e</w:t>
      </w:r>
      <w:r w:rsidRPr="003F19CA">
        <w:t>wende focus</w:t>
      </w:r>
      <w:r>
        <w:t>ing</w:t>
      </w:r>
      <w:r w:rsidRPr="003F19CA">
        <w:t xml:space="preserve"> on Germany showed that dynamic tariffs could </w:t>
      </w:r>
      <w:r>
        <w:t>significantly increase</w:t>
      </w:r>
      <w:r w:rsidRPr="003F19CA">
        <w:t xml:space="preserve"> consumers flexibility, with a potential to shift 10% of the total annual electricity consumption in 2035. A report commissioned by SmartEN showed that well-designed tariffs can decrease the peak load above 20% with high levels of EV adoption. </w:t>
      </w:r>
    </w:p>
  </w:footnote>
  <w:footnote w:id="13">
    <w:p w:rsidR="002A5632" w:rsidRPr="002A5632" w:rsidRDefault="002A5632">
      <w:pPr>
        <w:pStyle w:val="FootnoteText"/>
      </w:pPr>
      <w:r>
        <w:rPr>
          <w:rStyle w:val="FootnoteReference"/>
        </w:rPr>
        <w:footnoteRef/>
      </w:r>
      <w:r>
        <w:rPr>
          <w:lang w:val="en-IE"/>
        </w:rPr>
        <w:tab/>
        <w:t xml:space="preserve">ACER/CEER </w:t>
      </w:r>
      <w:r w:rsidR="00163F0D">
        <w:rPr>
          <w:lang w:val="en-IE"/>
        </w:rPr>
        <w:t xml:space="preserve">Energy Retail </w:t>
      </w:r>
      <w:r>
        <w:rPr>
          <w:lang w:val="en-IE"/>
        </w:rPr>
        <w:t xml:space="preserve">Market Monitoring Report </w:t>
      </w:r>
      <w:r w:rsidR="00FE30BA">
        <w:rPr>
          <w:lang w:val="en-IE"/>
        </w:rPr>
        <w:t>(November 2025)</w:t>
      </w:r>
      <w:r w:rsidR="000D2036">
        <w:rPr>
          <w:lang w:val="en-IE"/>
        </w:rPr>
        <w:t xml:space="preserve">; </w:t>
      </w:r>
      <w:r w:rsidR="00163F0D">
        <w:rPr>
          <w:lang w:val="en-IE"/>
        </w:rPr>
        <w:t>Country Fiches (July 2025).</w:t>
      </w:r>
    </w:p>
  </w:footnote>
  <w:footnote w:id="14">
    <w:p w:rsidR="003F4D4C" w:rsidRPr="006744FB" w:rsidRDefault="003F4D4C">
      <w:pPr>
        <w:pStyle w:val="FootnoteText"/>
        <w:rPr>
          <w:lang w:val="en-IE"/>
        </w:rPr>
      </w:pPr>
      <w:r>
        <w:rPr>
          <w:rStyle w:val="FootnoteReference"/>
        </w:rPr>
        <w:footnoteRef/>
      </w:r>
      <w:r>
        <w:rPr>
          <w:lang w:val="en-IE"/>
        </w:rPr>
        <w:tab/>
      </w:r>
      <w:r w:rsidRPr="00A96757">
        <w:t>Directive (EU) 2019/944 of the European Parliament and of the Council of 5 June 2019 on common rules for the internal market for electricity and amending Directive 2012/27/EU</w:t>
      </w:r>
      <w:r>
        <w:t xml:space="preserve"> (</w:t>
      </w:r>
      <w:r w:rsidRPr="00A96757">
        <w:t>OJ L 158, 14.6.2019, p. 125</w:t>
      </w:r>
      <w:r>
        <w:t xml:space="preserve">, ELI: </w:t>
      </w:r>
      <w:r w:rsidRPr="005031F2">
        <w:t>http://data.europa.eu/eli/dir/2019/944/oj</w:t>
      </w:r>
      <w:r>
        <w:t>).</w:t>
      </w:r>
    </w:p>
  </w:footnote>
  <w:footnote w:id="15">
    <w:p w:rsidR="003A2DC5" w:rsidRPr="00172D3D" w:rsidRDefault="003A2DC5" w:rsidP="003A2DC5">
      <w:pPr>
        <w:pStyle w:val="FootnoteText"/>
      </w:pPr>
      <w:r w:rsidRPr="00725495">
        <w:rPr>
          <w:rStyle w:val="FootnoteReference"/>
        </w:rPr>
        <w:footnoteRef/>
      </w:r>
      <w:r w:rsidR="00725495">
        <w:tab/>
      </w:r>
      <w:r>
        <w:t>L</w:t>
      </w:r>
      <w:r w:rsidRPr="00172D3D">
        <w:t xml:space="preserve">etter of </w:t>
      </w:r>
      <w:r>
        <w:t>President V</w:t>
      </w:r>
      <w:r w:rsidRPr="00172D3D">
        <w:t xml:space="preserve">on </w:t>
      </w:r>
      <w:r>
        <w:t>D</w:t>
      </w:r>
      <w:r w:rsidRPr="00172D3D">
        <w:t xml:space="preserve">er </w:t>
      </w:r>
      <w:r>
        <w:t>L</w:t>
      </w:r>
      <w:r w:rsidRPr="00172D3D">
        <w:t xml:space="preserve">eyen ahead of </w:t>
      </w:r>
      <w:r>
        <w:t>E</w:t>
      </w:r>
      <w:r w:rsidRPr="00172D3D">
        <w:t xml:space="preserve">uropean </w:t>
      </w:r>
      <w:r>
        <w:t>C</w:t>
      </w:r>
      <w:r w:rsidRPr="00172D3D">
        <w:t xml:space="preserve">ouncil </w:t>
      </w:r>
      <w:r w:rsidR="00AB098F">
        <w:t xml:space="preserve">dated </w:t>
      </w:r>
      <w:r w:rsidRPr="00172D3D">
        <w:t xml:space="preserve">16 </w:t>
      </w:r>
      <w:r>
        <w:t>M</w:t>
      </w:r>
      <w:r w:rsidRPr="00172D3D">
        <w:t xml:space="preserve">arch 2026 </w:t>
      </w:r>
      <w:r>
        <w:t>‘</w:t>
      </w:r>
      <w:r w:rsidRPr="006744FB">
        <w:t xml:space="preserve">While grid charges are essential (..) Grid operators too can do more to improve the productivity of grid infrastructure, </w:t>
      </w:r>
      <w:r w:rsidRPr="006744FB">
        <w:rPr>
          <w:b/>
          <w:u w:val="single"/>
        </w:rPr>
        <w:t>making full use of innovative technologies</w:t>
      </w:r>
      <w:r>
        <w:t>’</w:t>
      </w:r>
      <w:r w:rsidR="000324F9">
        <w:t>.</w:t>
      </w:r>
    </w:p>
  </w:footnote>
  <w:footnote w:id="16">
    <w:p w:rsidR="00212D87" w:rsidRPr="000C10B3" w:rsidRDefault="00212D87">
      <w:pPr>
        <w:pStyle w:val="FootnoteText"/>
        <w:rPr>
          <w:lang w:val="en-IE"/>
        </w:rPr>
      </w:pPr>
      <w:r w:rsidRPr="00BB32FA">
        <w:rPr>
          <w:rStyle w:val="FootnoteReference"/>
        </w:rPr>
        <w:footnoteRef/>
      </w:r>
      <w:r w:rsidR="00BB32FA">
        <w:tab/>
      </w:r>
      <w:r w:rsidR="00BE176C" w:rsidRPr="00E67A14">
        <w:t>Fraunhofer ISI, Fraunhofer IEG, Guidehouse, REKK, Study on network development planning, tariff structures and connection requests for electricity distribution grids, September 2025, </w:t>
      </w:r>
      <w:hyperlink r:id="rId2" w:history="1">
        <w:r w:rsidR="00BE176C" w:rsidRPr="00E67A14">
          <w:rPr>
            <w:rStyle w:val="Hyperlink"/>
          </w:rPr>
          <w:t>https://op.europa.eu/en/publication-detail/-/publication/08843617-9cf8-11f0-97c8-01aa75ed71a1</w:t>
        </w:r>
      </w:hyperlink>
      <w:r w:rsidR="00BE176C" w:rsidRPr="00E67A14">
        <w:t>.</w:t>
      </w:r>
    </w:p>
  </w:footnote>
  <w:footnote w:id="17">
    <w:p w:rsidR="00AB702B" w:rsidRPr="000C10B3" w:rsidRDefault="00AB702B" w:rsidP="00E46C08">
      <w:pPr>
        <w:pStyle w:val="FootnoteText"/>
        <w:ind w:left="709" w:hanging="709"/>
        <w:rPr>
          <w:lang w:val="en-IE"/>
        </w:rPr>
      </w:pPr>
      <w:r w:rsidRPr="00BB32FA">
        <w:rPr>
          <w:rStyle w:val="FootnoteReference"/>
        </w:rPr>
        <w:footnoteRef/>
      </w:r>
      <w:r w:rsidR="00BB32FA">
        <w:tab/>
      </w:r>
      <w:r w:rsidRPr="00E46C08">
        <w:rPr>
          <w:lang w:val="en-IE"/>
        </w:rPr>
        <w:t xml:space="preserve">Commission Notice, ‘Guidance on efficient and timely grid connections’ </w:t>
      </w:r>
      <w:r w:rsidRPr="00E46C08">
        <w:t>(C/2025/6703)</w:t>
      </w:r>
      <w:r w:rsidR="000324F9">
        <w:t>.</w:t>
      </w:r>
    </w:p>
  </w:footnote>
  <w:footnote w:id="18">
    <w:p w:rsidR="00AB01E0" w:rsidRPr="00AB01E0" w:rsidRDefault="00AB01E0" w:rsidP="00E46C08">
      <w:pPr>
        <w:pStyle w:val="FootnoteText"/>
        <w:ind w:left="709" w:hanging="709"/>
        <w:jc w:val="left"/>
        <w:rPr>
          <w:lang w:val="en-IE"/>
        </w:rPr>
      </w:pPr>
      <w:r w:rsidRPr="00685145">
        <w:rPr>
          <w:rStyle w:val="FootnoteReference"/>
        </w:rPr>
        <w:footnoteRef/>
      </w:r>
      <w:r w:rsidR="00685145">
        <w:tab/>
      </w:r>
      <w:r w:rsidRPr="00AB01E0">
        <w:t>COM(</w:t>
      </w:r>
      <w:r w:rsidRPr="008F381E">
        <w:t>2026</w:t>
      </w:r>
      <w:r w:rsidRPr="00AB01E0">
        <w:t>)595 Communication from the Commission to the European Parliament, the Council,</w:t>
      </w:r>
      <w:r w:rsidR="00050A14">
        <w:t xml:space="preserve"> </w:t>
      </w:r>
      <w:r w:rsidRPr="00AB01E0">
        <w:t>the European</w:t>
      </w:r>
      <w:r>
        <w:t xml:space="preserve"> </w:t>
      </w:r>
      <w:r w:rsidRPr="00AB01E0">
        <w:t>Economic and Social Committee and the Committee of the Regions - Electrification Action Plan</w:t>
      </w:r>
      <w:r>
        <w:t>.</w:t>
      </w:r>
      <w:r w:rsidRPr="00AB01E0">
        <w:t xml:space="preserve"> </w:t>
      </w:r>
    </w:p>
  </w:footnote>
  <w:footnote w:id="19">
    <w:p w:rsidR="002C7815" w:rsidRPr="007E3DA3" w:rsidRDefault="002C7815">
      <w:pPr>
        <w:pStyle w:val="FootnoteText"/>
        <w:rPr>
          <w:lang w:val="pt-PT"/>
        </w:rPr>
      </w:pPr>
      <w:r>
        <w:rPr>
          <w:rStyle w:val="FootnoteReference"/>
        </w:rPr>
        <w:footnoteRef/>
      </w:r>
      <w:r w:rsidRPr="007E3DA3">
        <w:rPr>
          <w:lang w:val="pt-PT"/>
        </w:rPr>
        <w:tab/>
        <w:t>COM(2026)115 final.</w:t>
      </w:r>
    </w:p>
  </w:footnote>
  <w:footnote w:id="20">
    <w:p w:rsidR="0012231C" w:rsidRPr="008A2E5F" w:rsidRDefault="0012231C">
      <w:pPr>
        <w:pStyle w:val="FootnoteText"/>
        <w:rPr>
          <w:lang w:val="pt-PT"/>
        </w:rPr>
      </w:pPr>
      <w:r>
        <w:rPr>
          <w:rStyle w:val="FootnoteReference"/>
        </w:rPr>
        <w:footnoteRef/>
      </w:r>
      <w:r w:rsidRPr="007E3DA3">
        <w:rPr>
          <w:lang w:val="pt-PT"/>
        </w:rPr>
        <w:tab/>
        <w:t>COM(2026)850 final.</w:t>
      </w:r>
    </w:p>
  </w:footnote>
  <w:footnote w:id="21">
    <w:p w:rsidR="003A2DC5" w:rsidRPr="008A2E5F" w:rsidRDefault="003A2DC5" w:rsidP="003A2DC5">
      <w:pPr>
        <w:pStyle w:val="FootnoteText"/>
        <w:rPr>
          <w:lang w:val="pt-PT"/>
        </w:rPr>
      </w:pPr>
      <w:r w:rsidRPr="00725495">
        <w:rPr>
          <w:rStyle w:val="FootnoteReference"/>
        </w:rPr>
        <w:footnoteRef/>
      </w:r>
      <w:r w:rsidR="00725495" w:rsidRPr="008A2E5F">
        <w:rPr>
          <w:lang w:val="pt-PT"/>
        </w:rPr>
        <w:tab/>
      </w:r>
      <w:r w:rsidRPr="008A2E5F">
        <w:rPr>
          <w:lang w:val="pt-PT"/>
        </w:rPr>
        <w:t>Regulation (EU) 2023/2854</w:t>
      </w:r>
      <w:r w:rsidR="000324F9">
        <w:rPr>
          <w:lang w:val="pt-PT"/>
        </w:rPr>
        <w:t>.</w:t>
      </w:r>
    </w:p>
  </w:footnote>
  <w:footnote w:id="22">
    <w:p w:rsidR="003A2DC5" w:rsidRPr="00A37D7D" w:rsidRDefault="003A2DC5" w:rsidP="003A2DC5">
      <w:pPr>
        <w:pStyle w:val="FootnoteText"/>
        <w:rPr>
          <w:lang w:val="fr-FR"/>
        </w:rPr>
      </w:pPr>
      <w:r w:rsidRPr="00725495">
        <w:rPr>
          <w:rStyle w:val="FootnoteReference"/>
        </w:rPr>
        <w:footnoteRef/>
      </w:r>
      <w:r w:rsidR="00725495" w:rsidRPr="00A37D7D">
        <w:rPr>
          <w:lang w:val="fr-FR"/>
        </w:rPr>
        <w:tab/>
      </w:r>
      <w:r w:rsidRPr="00A37D7D">
        <w:rPr>
          <w:lang w:val="fr-FR"/>
        </w:rPr>
        <w:t>Regulation (EU) 2024/1689</w:t>
      </w:r>
      <w:r w:rsidR="000324F9">
        <w:rPr>
          <w:lang w:val="fr-FR"/>
        </w:rPr>
        <w:t>.</w:t>
      </w:r>
      <w:r w:rsidRPr="00A37D7D">
        <w:rPr>
          <w:lang w:val="fr-FR"/>
        </w:rPr>
        <w:t xml:space="preserve">  </w:t>
      </w:r>
    </w:p>
  </w:footnote>
  <w:footnote w:id="23">
    <w:p w:rsidR="003A2DC5" w:rsidRPr="00A37D7D" w:rsidRDefault="003A2DC5" w:rsidP="003A2DC5">
      <w:pPr>
        <w:pStyle w:val="FootnoteText"/>
        <w:rPr>
          <w:lang w:val="fr-FR"/>
        </w:rPr>
      </w:pPr>
      <w:r w:rsidRPr="00725495">
        <w:rPr>
          <w:rStyle w:val="FootnoteReference"/>
        </w:rPr>
        <w:footnoteRef/>
      </w:r>
      <w:r w:rsidR="00725495" w:rsidRPr="00A37D7D">
        <w:rPr>
          <w:lang w:val="fr-FR"/>
        </w:rPr>
        <w:tab/>
      </w:r>
      <w:r w:rsidRPr="00A37D7D">
        <w:rPr>
          <w:lang w:val="fr-FR"/>
        </w:rPr>
        <w:t>Directive (EU) 2019/944, Regulation (EU) 2019/943</w:t>
      </w:r>
      <w:r w:rsidR="000324F9">
        <w:rPr>
          <w:lang w:val="fr-FR"/>
        </w:rPr>
        <w:t>.</w:t>
      </w:r>
    </w:p>
  </w:footnote>
  <w:footnote w:id="24">
    <w:p w:rsidR="003A2DC5" w:rsidRPr="00510CD2" w:rsidRDefault="003A2DC5" w:rsidP="003A2DC5">
      <w:pPr>
        <w:pStyle w:val="FootnoteText"/>
        <w:rPr>
          <w:lang w:val="en-IE"/>
        </w:rPr>
      </w:pPr>
      <w:r w:rsidRPr="00725495">
        <w:rPr>
          <w:rStyle w:val="FootnoteReference"/>
        </w:rPr>
        <w:footnoteRef/>
      </w:r>
      <w:r w:rsidR="00725495" w:rsidRPr="00510CD2">
        <w:rPr>
          <w:lang w:val="en-IE"/>
        </w:rPr>
        <w:tab/>
      </w:r>
      <w:r w:rsidRPr="00510CD2">
        <w:rPr>
          <w:lang w:val="en-IE"/>
        </w:rPr>
        <w:t>Article 194(1) TFEU.</w:t>
      </w:r>
    </w:p>
  </w:footnote>
  <w:footnote w:id="25">
    <w:p w:rsidR="003A2DC5" w:rsidRDefault="003A2DC5" w:rsidP="003A2DC5">
      <w:pPr>
        <w:pStyle w:val="FootnoteText"/>
      </w:pPr>
      <w:r w:rsidRPr="00725495">
        <w:rPr>
          <w:rStyle w:val="FootnoteReference"/>
        </w:rPr>
        <w:footnoteRef/>
      </w:r>
      <w:r w:rsidR="00725495">
        <w:tab/>
      </w:r>
      <w:r w:rsidR="686FE63D">
        <w:t>ACER report on network tariff practices of 26 March 2025, page 75.</w:t>
      </w:r>
      <w:r w:rsidR="00F42C05">
        <w:br/>
      </w:r>
      <w:r w:rsidR="686FE63D">
        <w:t xml:space="preserve">The report is available here: </w:t>
      </w:r>
      <w:hyperlink r:id="rId3">
        <w:r w:rsidR="686FE63D" w:rsidRPr="686FE63D">
          <w:rPr>
            <w:rStyle w:val="Hyperlink"/>
          </w:rPr>
          <w:t>2025-ACER-Electricity-Network-Tariff-Practices.pdf</w:t>
        </w:r>
      </w:hyperlink>
      <w:r w:rsidR="000324F9">
        <w:t>.</w:t>
      </w:r>
      <w:r w:rsidR="686FE63D">
        <w:t xml:space="preserve"> </w:t>
      </w:r>
    </w:p>
  </w:footnote>
  <w:footnote w:id="26">
    <w:p w:rsidR="00AE0ABF" w:rsidRPr="008A2E5F" w:rsidRDefault="00AE0ABF">
      <w:pPr>
        <w:pStyle w:val="FootnoteText"/>
        <w:rPr>
          <w:lang w:val="en-IE"/>
        </w:rPr>
      </w:pPr>
      <w:r w:rsidRPr="00DD1A86">
        <w:rPr>
          <w:rStyle w:val="FootnoteReference"/>
        </w:rPr>
        <w:footnoteRef/>
      </w:r>
      <w:r w:rsidR="00DD1A86">
        <w:tab/>
      </w:r>
      <w:r w:rsidR="004F6797">
        <w:rPr>
          <w:lang w:val="en-IE"/>
        </w:rPr>
        <w:t xml:space="preserve">C(2025) 4010. </w:t>
      </w:r>
    </w:p>
  </w:footnote>
  <w:footnote w:id="27">
    <w:p w:rsidR="003A2DC5" w:rsidRDefault="003A2DC5" w:rsidP="003A2DC5">
      <w:pPr>
        <w:pStyle w:val="FootnoteText"/>
      </w:pPr>
      <w:r w:rsidRPr="00725495">
        <w:rPr>
          <w:rStyle w:val="FootnoteReference"/>
        </w:rPr>
        <w:footnoteRef/>
      </w:r>
      <w:r w:rsidR="00725495">
        <w:tab/>
      </w:r>
      <w:hyperlink r:id="rId4" w:history="1">
        <w:r w:rsidRPr="1D4CCF74">
          <w:rPr>
            <w:rStyle w:val="Hyperlink"/>
          </w:rPr>
          <w:t>en-20260319-european-council-conclusions.pdf</w:t>
        </w:r>
      </w:hyperlink>
      <w:r w:rsidR="000324F9">
        <w:t>.</w:t>
      </w:r>
    </w:p>
  </w:footnote>
  <w:footnote w:id="28">
    <w:p w:rsidR="003A2DC5" w:rsidRDefault="003A2DC5" w:rsidP="003A2DC5">
      <w:pPr>
        <w:pStyle w:val="FootnoteText"/>
      </w:pPr>
      <w:r w:rsidRPr="00725495">
        <w:rPr>
          <w:rStyle w:val="FootnoteReference"/>
        </w:rPr>
        <w:footnoteRef/>
      </w:r>
      <w:r w:rsidR="00725495">
        <w:tab/>
      </w:r>
      <w:hyperlink r:id="rId5" w:history="1">
        <w:r w:rsidRPr="49B34F09">
          <w:rPr>
            <w:rStyle w:val="Hyperlink"/>
          </w:rPr>
          <w:t>7fac9eea-5717-4182-a368-bd68c427ff4c_en</w:t>
        </w:r>
      </w:hyperlink>
      <w:r w:rsidR="000324F9">
        <w:t>.</w:t>
      </w:r>
    </w:p>
  </w:footnote>
  <w:footnote w:id="29">
    <w:p w:rsidR="001132E0" w:rsidRPr="00A47738" w:rsidRDefault="001132E0" w:rsidP="001132E0">
      <w:pPr>
        <w:pStyle w:val="FootnoteText"/>
        <w:rPr>
          <w:lang w:val="en-IE"/>
        </w:rPr>
      </w:pPr>
      <w:r w:rsidRPr="00725495">
        <w:rPr>
          <w:rStyle w:val="FootnoteReference"/>
        </w:rPr>
        <w:footnoteRef/>
      </w:r>
      <w:r>
        <w:tab/>
      </w:r>
      <w:hyperlink r:id="rId6" w:history="1">
        <w:r w:rsidRPr="00472F1A">
          <w:rPr>
            <w:rStyle w:val="Hyperlink"/>
          </w:rPr>
          <w:t>https://ec.europa.eu/commission/presscorner/detail/en/qanda_26_902</w:t>
        </w:r>
      </w:hyperlink>
      <w:r w:rsidR="000324F9">
        <w:t>.</w:t>
      </w:r>
    </w:p>
  </w:footnote>
  <w:footnote w:id="30">
    <w:p w:rsidR="00726E2B" w:rsidRPr="00E46C08" w:rsidRDefault="00726E2B">
      <w:pPr>
        <w:pStyle w:val="FootnoteText"/>
      </w:pPr>
      <w:r w:rsidRPr="00BB32FA">
        <w:rPr>
          <w:rStyle w:val="FootnoteReference"/>
        </w:rPr>
        <w:footnoteRef/>
      </w:r>
      <w:r w:rsidR="00BB32FA">
        <w:tab/>
      </w:r>
      <w:r w:rsidR="00B872B5" w:rsidRPr="00E46C08">
        <w:t>Fraunhofer ISI, Fraunhofer IEG, Guidehouse, REKK, Study on network development planning, tariff structures and connection requests for electricity distribution grids, September 2025, </w:t>
      </w:r>
      <w:hyperlink r:id="rId7" w:history="1">
        <w:r w:rsidR="00B872B5" w:rsidRPr="00E46C08">
          <w:rPr>
            <w:rStyle w:val="Hyperlink"/>
          </w:rPr>
          <w:t>https://op.europa.eu/en/publication-detail/-/publication/08843617-9cf8-11f0-97c8-01aa75ed71a1</w:t>
        </w:r>
      </w:hyperlink>
      <w:r w:rsidR="00B872B5" w:rsidRPr="00E46C08">
        <w:t>.</w:t>
      </w:r>
    </w:p>
  </w:footnote>
  <w:footnote w:id="31">
    <w:p w:rsidR="00026870" w:rsidRPr="00026870" w:rsidRDefault="00026870">
      <w:pPr>
        <w:pStyle w:val="FootnoteText"/>
      </w:pPr>
      <w:r w:rsidRPr="00BB32FA">
        <w:rPr>
          <w:rStyle w:val="FootnoteReference"/>
        </w:rPr>
        <w:footnoteRef/>
      </w:r>
      <w:r w:rsidR="00BB32FA">
        <w:tab/>
      </w:r>
      <w:r w:rsidR="002A4D45" w:rsidRPr="00E46C08">
        <w:t xml:space="preserve">Boston Consulting </w:t>
      </w:r>
      <w:r w:rsidR="00AD5806" w:rsidRPr="00E46C08">
        <w:t xml:space="preserve">Group centre for energy impact: Mind the queue, Connection reform for the electricity grid, 2025. </w:t>
      </w:r>
      <w:hyperlink r:id="rId8" w:history="1">
        <w:r w:rsidR="00FE389B" w:rsidRPr="00E46C08">
          <w:rPr>
            <w:rStyle w:val="Hyperlink"/>
          </w:rPr>
          <w:t>https://web-assets.bcg.com/f5/79/77645d12463793d174af9ae00d4a/mind-the-queue-connection-reform-for-the-electricity-grid-r2.pdf</w:t>
        </w:r>
      </w:hyperlink>
      <w:r w:rsidR="000324F9">
        <w:t>.</w:t>
      </w:r>
      <w:r w:rsidR="00FE389B">
        <w:t xml:space="preserve"> </w:t>
      </w:r>
    </w:p>
  </w:footnote>
  <w:footnote w:id="32">
    <w:p w:rsidR="00BC6A28" w:rsidRPr="00D21904" w:rsidRDefault="00BC6A28" w:rsidP="00BC6A28">
      <w:pPr>
        <w:pStyle w:val="FootnoteText"/>
      </w:pPr>
      <w:r w:rsidRPr="005E271C">
        <w:rPr>
          <w:rStyle w:val="FootnoteReference"/>
        </w:rPr>
        <w:footnoteRef/>
      </w:r>
      <w:r w:rsidR="005E271C">
        <w:tab/>
      </w:r>
      <w:hyperlink r:id="rId9" w:history="1">
        <w:r w:rsidRPr="009F0DE9">
          <w:rPr>
            <w:rStyle w:val="Hyperlink"/>
          </w:rPr>
          <w:t>OJ L 123, 12.5.2016, p. 1</w:t>
        </w:r>
      </w:hyperlink>
      <w:r w:rsidRPr="009F0DE9">
        <w:t>.</w:t>
      </w:r>
    </w:p>
  </w:footnote>
  <w:footnote w:id="33">
    <w:p w:rsidR="00F57D9D" w:rsidRPr="008F381E" w:rsidRDefault="00F57D9D">
      <w:pPr>
        <w:pStyle w:val="FootnoteText"/>
        <w:rPr>
          <w:lang w:val="en-IE"/>
        </w:rPr>
      </w:pPr>
      <w:r w:rsidRPr="00BB32FA">
        <w:rPr>
          <w:rStyle w:val="FootnoteReference"/>
        </w:rPr>
        <w:footnoteRef/>
      </w:r>
      <w:r w:rsidR="00BB32FA">
        <w:tab/>
      </w:r>
      <w:r w:rsidRPr="008F381E">
        <w:rPr>
          <w:lang w:val="en-IE"/>
        </w:rPr>
        <w:t>Directive (EU) 2019/944 of the European Parliament and of the Council of 5 June 2019 on common rules for the internal market for electricity and amending Directive 2012/27/EU</w:t>
      </w:r>
      <w:r>
        <w:rPr>
          <w:lang w:val="en-IE"/>
        </w:rPr>
        <w:t xml:space="preserve"> </w:t>
      </w:r>
      <w:bookmarkStart w:id="38" w:name="_Hlk235036498"/>
      <w:r>
        <w:rPr>
          <w:lang w:val="en-IE"/>
        </w:rPr>
        <w:t>(</w:t>
      </w:r>
      <w:r w:rsidRPr="00F57D9D">
        <w:rPr>
          <w:lang w:val="en-IE"/>
        </w:rPr>
        <w:t>OJ L 158, 14.6.2019, p. 125</w:t>
      </w:r>
      <w:r>
        <w:rPr>
          <w:lang w:val="en-IE"/>
        </w:rPr>
        <w:t xml:space="preserve">, ELI: </w:t>
      </w:r>
      <w:r w:rsidRPr="00F57D9D">
        <w:rPr>
          <w:lang w:val="en-IE"/>
        </w:rPr>
        <w:t>http://data.europa.eu/eli/dir/2019/944/oj</w:t>
      </w:r>
      <w:r>
        <w:rPr>
          <w:lang w:val="en-IE"/>
        </w:rPr>
        <w:t>).</w:t>
      </w:r>
      <w:bookmarkEnd w:id="38"/>
    </w:p>
  </w:footnote>
  <w:footnote w:id="34">
    <w:p w:rsidR="00F57D9D" w:rsidRPr="008F381E" w:rsidRDefault="00F57D9D">
      <w:pPr>
        <w:pStyle w:val="FootnoteText"/>
        <w:rPr>
          <w:lang w:val="en-IE"/>
        </w:rPr>
      </w:pPr>
      <w:r w:rsidRPr="00BB32FA">
        <w:rPr>
          <w:rStyle w:val="FootnoteReference"/>
        </w:rPr>
        <w:footnoteRef/>
      </w:r>
      <w:r w:rsidR="00BB32FA">
        <w:tab/>
      </w:r>
      <w:r w:rsidRPr="008F381E">
        <w:rPr>
          <w:lang w:val="en-IE"/>
        </w:rPr>
        <w:t>Regulation (EU) 2022/869 of the European Parliament and of the Council of 30 May 2022 on guidelines for trans-European energy infrastructure, amending Regulations (EC) No 715/2009, (EU) 2019/942 and (EU) 2019/943 and Directives 2009/73/EC and (EU) 2019/944, and repealing Regulation (EU) No 347/2013</w:t>
      </w:r>
      <w:r>
        <w:rPr>
          <w:lang w:val="en-IE"/>
        </w:rPr>
        <w:t xml:space="preserve"> (</w:t>
      </w:r>
      <w:r w:rsidRPr="00F57D9D">
        <w:rPr>
          <w:lang w:val="en-IE"/>
        </w:rPr>
        <w:t>OJ L 152, 3.6.2022, p. 45</w:t>
      </w:r>
      <w:r>
        <w:rPr>
          <w:lang w:val="en-IE"/>
        </w:rPr>
        <w:t xml:space="preserve">, ELI: </w:t>
      </w:r>
      <w:r w:rsidRPr="00F57D9D">
        <w:rPr>
          <w:lang w:val="en-IE"/>
        </w:rPr>
        <w:t>http://data.europa.eu/eli/reg/2022/869/oj</w:t>
      </w:r>
      <w:r>
        <w:rPr>
          <w:lang w:val="en-IE"/>
        </w:rPr>
        <w:t>).</w:t>
      </w:r>
    </w:p>
  </w:footnote>
  <w:footnote w:id="35">
    <w:p w:rsidR="007353F6" w:rsidRPr="008F381E" w:rsidRDefault="007353F6">
      <w:pPr>
        <w:pStyle w:val="FootnoteText"/>
        <w:rPr>
          <w:lang w:val="en-IE"/>
        </w:rPr>
      </w:pPr>
      <w:r w:rsidRPr="00BB32FA">
        <w:rPr>
          <w:rStyle w:val="FootnoteReference"/>
        </w:rPr>
        <w:footnoteRef/>
      </w:r>
      <w:r w:rsidR="00BB32FA">
        <w:tab/>
      </w:r>
      <w:r w:rsidRPr="008F381E">
        <w:rPr>
          <w:lang w:val="en-IE"/>
        </w:rPr>
        <w:t xml:space="preserve">Regulation (EU) 2016/679 of the European Parliament and of the Council of 27 April 2016 on the protection of natural persons with regard to the processing of personal data and on the free movement of such data, and repealing Directive 95/46/EC (General Data Protection Regulation) </w:t>
      </w:r>
      <w:r>
        <w:rPr>
          <w:lang w:val="en-IE"/>
        </w:rPr>
        <w:t>(</w:t>
      </w:r>
      <w:r w:rsidRPr="007353F6">
        <w:rPr>
          <w:lang w:val="en-IE"/>
        </w:rPr>
        <w:t>OJ L 119, 4.5.2016, p. 1</w:t>
      </w:r>
      <w:r>
        <w:rPr>
          <w:lang w:val="en-IE"/>
        </w:rPr>
        <w:t xml:space="preserve">, ELI: </w:t>
      </w:r>
      <w:r w:rsidRPr="007353F6">
        <w:rPr>
          <w:lang w:val="en-IE"/>
        </w:rPr>
        <w:t>http://data.europa.eu/eli/reg/2016/679/oj</w:t>
      </w:r>
      <w:r>
        <w:rPr>
          <w:lang w:val="en-IE"/>
        </w:rPr>
        <w:t>).</w:t>
      </w:r>
    </w:p>
  </w:footnote>
  <w:footnote w:id="36">
    <w:p w:rsidR="00C4715B" w:rsidRPr="000C10B3" w:rsidRDefault="00C4715B">
      <w:pPr>
        <w:pStyle w:val="FootnoteText"/>
        <w:rPr>
          <w:lang w:val="en-IE"/>
        </w:rPr>
      </w:pPr>
      <w:r w:rsidRPr="00BB32FA">
        <w:rPr>
          <w:rStyle w:val="FootnoteReference"/>
        </w:rPr>
        <w:footnoteRef/>
      </w:r>
      <w:r w:rsidR="00BB32FA">
        <w:tab/>
      </w:r>
      <w:r w:rsidRPr="000C10B3">
        <w:t>Regulation (EU) 2023/2854 of the European Parliament and of the Council of 13 December 2023 on harmonised rules on fair access to and use of data and amending Regulation (EU) 2017/2394 and Directive (EU) 2020/1828 (OJ L, 2023/2854, 22.12.2023, ELI: http://data.europa.eu/eli/reg/2023/2854/oj).</w:t>
      </w:r>
    </w:p>
  </w:footnote>
  <w:footnote w:id="37">
    <w:p w:rsidR="00040AC9" w:rsidRPr="00402E7C" w:rsidRDefault="00040AC9" w:rsidP="00040AC9">
      <w:pPr>
        <w:pStyle w:val="FootnoteText"/>
      </w:pPr>
      <w:r w:rsidRPr="00BB32FA">
        <w:rPr>
          <w:rStyle w:val="FootnoteReference"/>
        </w:rPr>
        <w:footnoteRef/>
      </w:r>
      <w:r w:rsidR="00BB32FA">
        <w:tab/>
      </w:r>
      <w:r w:rsidRPr="00402E7C">
        <w:t xml:space="preserve">Regulation (EU) 2024/2847 of the European Parliament and of the Council of 23 October 2024 on horizontal cybersecurity requirements for products with digital elements and amending Regulations (EU) No 168/2013 and (EU) 2019/1020 and Directive (EU) 2020/1828 (Cyber Resilience Act), </w:t>
      </w:r>
      <w:r w:rsidR="003654EF">
        <w:t>(</w:t>
      </w:r>
      <w:r w:rsidRPr="00402E7C">
        <w:t>OJ L, 2024/2847, 20.11.2024, ELI: http://data.europa.eu/eli/reg/2024/2847/oj</w:t>
      </w:r>
      <w:r w:rsidR="003654EF">
        <w:t>)</w:t>
      </w:r>
      <w:r w:rsidRPr="00402E7C">
        <w:t xml:space="preserve">. </w:t>
      </w:r>
    </w:p>
  </w:footnote>
  <w:footnote w:id="38">
    <w:p w:rsidR="00E92D14" w:rsidRPr="00F65624" w:rsidRDefault="00E92D14" w:rsidP="00E92D14">
      <w:pPr>
        <w:pStyle w:val="FootnoteText"/>
        <w:rPr>
          <w:lang w:val="en-IE"/>
        </w:rPr>
      </w:pPr>
      <w:r w:rsidRPr="00BB32FA">
        <w:rPr>
          <w:rStyle w:val="FootnoteReference"/>
        </w:rPr>
        <w:footnoteRef/>
      </w:r>
      <w:r w:rsidR="00BB32FA">
        <w:tab/>
      </w:r>
      <w:r>
        <w:t xml:space="preserve">Regulation (EU) 2019/881 of the European Parliament and of the Council of 17 April 2019 on ENISA (the European Union Agency for Cybersecurity) and on information and communications technology cybersecurity certification and repealing Regulation (EU) No 526/2013 (Cybersecurity Act), </w:t>
      </w:r>
      <w:r w:rsidR="003654EF">
        <w:t>(</w:t>
      </w:r>
      <w:r>
        <w:t>OJ L 151, 7.6.2019, p.15, ELI: </w:t>
      </w:r>
      <w:hyperlink r:id="rId10" w:tgtFrame="_blank" w:tooltip="http://data.europa.eu/eli/reg/2019/881/oj" w:history="1">
        <w:r>
          <w:rPr>
            <w:rStyle w:val="Hyperlink"/>
          </w:rPr>
          <w:t>http://data.europa.eu/eli/reg/2019/881/oj</w:t>
        </w:r>
      </w:hyperlink>
      <w:r w:rsidR="003654EF">
        <w:t>)</w:t>
      </w:r>
      <w:r>
        <w:t>.</w:t>
      </w:r>
    </w:p>
  </w:footnote>
  <w:footnote w:id="39">
    <w:p w:rsidR="007F3F97" w:rsidRPr="00F65624" w:rsidRDefault="007F3F97" w:rsidP="007F3F97">
      <w:pPr>
        <w:pStyle w:val="FootnoteText"/>
        <w:rPr>
          <w:lang w:val="en-IE"/>
        </w:rPr>
      </w:pPr>
      <w:r w:rsidRPr="00BB32FA">
        <w:rPr>
          <w:rStyle w:val="FootnoteReference"/>
        </w:rPr>
        <w:footnoteRef/>
      </w:r>
      <w:r w:rsidR="00BB32FA">
        <w:tab/>
      </w:r>
      <w:r w:rsidRPr="003A7C5C">
        <w:rPr>
          <w:lang w:val="en-IE"/>
        </w:rPr>
        <w:t xml:space="preserve">Regulation (EU) 2024/1735 of the European Parliament and of the Council of 13 June 2024 on establishing a framework of measures for strengthening Europe’s net-zero technology manufacturing ecosystem and amending Regulation (EU) 2018/1724 </w:t>
      </w:r>
      <w:r w:rsidR="003654EF">
        <w:rPr>
          <w:lang w:val="en-IE"/>
        </w:rPr>
        <w:t>(</w:t>
      </w:r>
      <w:r w:rsidRPr="003A7C5C">
        <w:rPr>
          <w:lang w:val="en-IE"/>
        </w:rPr>
        <w:t>OJ L, 2024/1735, 28.6.2024, ELI: http://data.europa.eu/eli/reg/2024/1735/oj</w:t>
      </w:r>
      <w:r w:rsidR="003654EF">
        <w:rPr>
          <w:lang w:val="en-IE"/>
        </w:rPr>
        <w:t>)</w:t>
      </w:r>
      <w:r w:rsidRPr="003A7C5C">
        <w:rPr>
          <w:lang w:val="en-IE"/>
        </w:rPr>
        <w:t>.</w:t>
      </w:r>
    </w:p>
  </w:footnote>
  <w:footnote w:id="40">
    <w:p w:rsidR="00C56C20" w:rsidRPr="008A2E5F" w:rsidRDefault="00C56C20">
      <w:pPr>
        <w:pStyle w:val="FootnoteText"/>
        <w:rPr>
          <w:lang w:val="en-IE"/>
        </w:rPr>
      </w:pPr>
      <w:r w:rsidRPr="00DD1A86">
        <w:rPr>
          <w:rStyle w:val="FootnoteReference"/>
        </w:rPr>
        <w:footnoteRef/>
      </w:r>
      <w:r w:rsidR="00DD1A86">
        <w:tab/>
      </w:r>
      <w:r w:rsidR="001C16AE" w:rsidRPr="001C16AE">
        <w:t>Council Directive 2003/96/EC of 27 October 2003 restructuring the Community framework for the taxation of energy products and electricity</w:t>
      </w:r>
      <w:r w:rsidR="008C117F">
        <w:t xml:space="preserve"> (</w:t>
      </w:r>
      <w:r w:rsidR="008C117F" w:rsidRPr="008A2E5F">
        <w:t>OJ L 283, 31.10.2003, p. 51</w:t>
      </w:r>
      <w:r w:rsidR="008C117F">
        <w:t xml:space="preserve">, </w:t>
      </w:r>
      <w:r w:rsidR="00CC1A1A" w:rsidRPr="00CC1A1A">
        <w:t>ELI: </w:t>
      </w:r>
      <w:hyperlink r:id="rId11" w:tooltip="Gives access to this document through its ELI URI." w:history="1">
        <w:r w:rsidR="00CC1A1A" w:rsidRPr="00CC1A1A">
          <w:rPr>
            <w:rStyle w:val="Hyperlink"/>
          </w:rPr>
          <w:t>http://data.europa.eu/eli/dir/2003/96/oj</w:t>
        </w:r>
      </w:hyperlink>
      <w:r w:rsidR="00CC1A1A">
        <w:t>).</w:t>
      </w:r>
      <w:r w:rsidR="00450052" w:rsidRPr="00450052">
        <w:t xml:space="preserve"> </w:t>
      </w:r>
    </w:p>
  </w:footnote>
  <w:footnote w:id="41">
    <w:p w:rsidR="00450052" w:rsidRPr="000C10B3" w:rsidRDefault="00450052" w:rsidP="00450052">
      <w:pPr>
        <w:pStyle w:val="FootnoteText"/>
        <w:rPr>
          <w:lang w:val="en-IE"/>
        </w:rPr>
      </w:pPr>
      <w:r w:rsidRPr="00BB32FA">
        <w:rPr>
          <w:rStyle w:val="FootnoteReference"/>
        </w:rPr>
        <w:footnoteRef/>
      </w:r>
      <w:r w:rsidR="00BB32FA">
        <w:tab/>
      </w:r>
      <w:r w:rsidR="003654EF" w:rsidRPr="000C10B3">
        <w:rPr>
          <w:lang w:val="en-IE"/>
        </w:rPr>
        <w:t>Commission notice of 10 December 2025, Guidance on efficient and timely grid connections, C(2025) 8473 final.</w:t>
      </w:r>
    </w:p>
  </w:footnote>
  <w:footnote w:id="42">
    <w:p w:rsidR="00E70427" w:rsidRPr="00866BB3" w:rsidRDefault="00E70427" w:rsidP="00E70427">
      <w:pPr>
        <w:pStyle w:val="FootnoteText"/>
        <w:rPr>
          <w:lang w:val="en-IE"/>
        </w:rPr>
      </w:pPr>
      <w:r w:rsidRPr="00DD1A86">
        <w:rPr>
          <w:rStyle w:val="FootnoteReference"/>
        </w:rPr>
        <w:footnoteRef/>
      </w:r>
      <w:r w:rsidR="00DD1A86">
        <w:tab/>
      </w:r>
      <w:r w:rsidRPr="00954B4F">
        <w:rPr>
          <w:lang w:val="en-IE"/>
        </w:rPr>
        <w:t>Communication from the Commission – Guidelines on State aid for climate, environmental protection and energy 2022</w:t>
      </w:r>
      <w:r>
        <w:rPr>
          <w:lang w:val="en-IE"/>
        </w:rPr>
        <w:t>, C/2022/481.</w:t>
      </w:r>
    </w:p>
  </w:footnote>
  <w:footnote w:id="43">
    <w:p w:rsidR="00E70427" w:rsidRPr="008A2E5F" w:rsidRDefault="00E70427" w:rsidP="00E70427">
      <w:pPr>
        <w:pStyle w:val="FootnoteText"/>
        <w:rPr>
          <w:lang w:val="en-IE"/>
        </w:rPr>
      </w:pPr>
      <w:r w:rsidRPr="00DD1A86">
        <w:rPr>
          <w:rStyle w:val="FootnoteReference"/>
        </w:rPr>
        <w:footnoteRef/>
      </w:r>
      <w:r w:rsidR="00DD1A86">
        <w:tab/>
      </w:r>
      <w:r>
        <w:rPr>
          <w:lang w:val="en-IE"/>
        </w:rPr>
        <w:t xml:space="preserve">Communication from the Commission </w:t>
      </w:r>
      <w:r w:rsidRPr="00142955">
        <w:rPr>
          <w:lang w:val="en-IE"/>
        </w:rPr>
        <w:t>– Framework for State Aid measures to support the Clean Industrial Deal (Clean Industrial Deal State Aid Framework)</w:t>
      </w:r>
      <w:r>
        <w:rPr>
          <w:lang w:val="en-IE"/>
        </w:rPr>
        <w:t xml:space="preserve">, </w:t>
      </w:r>
      <w:r w:rsidRPr="00142955">
        <w:t>C/2025/7600</w:t>
      </w:r>
      <w:r>
        <w:t>.</w:t>
      </w:r>
    </w:p>
  </w:footnote>
  <w:footnote w:id="44">
    <w:p w:rsidR="00BB1D84" w:rsidRDefault="00BB1D84" w:rsidP="00BB1D84">
      <w:pPr>
        <w:pStyle w:val="FootnoteText"/>
      </w:pPr>
      <w:r w:rsidRPr="008D45ED">
        <w:rPr>
          <w:rStyle w:val="FootnoteReference"/>
        </w:rPr>
        <w:footnoteRef/>
      </w:r>
      <w:r>
        <w:tab/>
        <w:t>As referred to in Article 58(2), point (a) or (b) of the Financial Regulation.</w:t>
      </w:r>
    </w:p>
  </w:footnote>
  <w:footnote w:id="45">
    <w:p w:rsidR="00BB1D84" w:rsidRDefault="00BB1D84" w:rsidP="00BB1D84">
      <w:pPr>
        <w:pStyle w:val="FootnoteText"/>
        <w:rPr>
          <w:szCs w:val="24"/>
        </w:rPr>
      </w:pPr>
      <w:r>
        <w:rPr>
          <w:rStyle w:val="FootnoteReference"/>
        </w:rPr>
        <w:footnoteRef/>
      </w:r>
      <w:r>
        <w:tab/>
        <w:t>Diff. = Differentiated appropriations / Non-diff. = Non-differentiated appropriations.</w:t>
      </w:r>
    </w:p>
  </w:footnote>
  <w:footnote w:id="46">
    <w:p w:rsidR="00BB1D84" w:rsidRDefault="00BB1D84" w:rsidP="00BB1D84">
      <w:pPr>
        <w:pStyle w:val="FootnoteText"/>
        <w:rPr>
          <w:szCs w:val="24"/>
        </w:rPr>
      </w:pPr>
      <w:r>
        <w:rPr>
          <w:rStyle w:val="FootnoteReference"/>
        </w:rPr>
        <w:footnoteRef/>
      </w:r>
      <w:r>
        <w:tab/>
        <w:t xml:space="preserve">EFTA: European Free Trade Association. </w:t>
      </w:r>
    </w:p>
  </w:footnote>
  <w:footnote w:id="47">
    <w:p w:rsidR="00BB1D84" w:rsidRDefault="00BB1D84" w:rsidP="00BB1D84">
      <w:pPr>
        <w:pStyle w:val="FootnoteText"/>
        <w:rPr>
          <w:szCs w:val="24"/>
        </w:rPr>
      </w:pPr>
      <w:r>
        <w:rPr>
          <w:rStyle w:val="FootnoteReference"/>
        </w:rPr>
        <w:footnoteRef/>
      </w:r>
      <w:r>
        <w:tab/>
        <w:t>Candidate countries and, where applicable, potential candidates from the Western Balkans.</w:t>
      </w:r>
    </w:p>
  </w:footnote>
  <w:footnote w:id="48">
    <w:p w:rsidR="00DD5E05" w:rsidRPr="00A8532B" w:rsidRDefault="00DD5E05" w:rsidP="00DD5E05">
      <w:pPr>
        <w:pStyle w:val="FootnoteText"/>
        <w:rPr>
          <w:lang w:val="en-IE"/>
        </w:rPr>
      </w:pPr>
      <w:r w:rsidRPr="00D873DB">
        <w:rPr>
          <w:rStyle w:val="FootnoteReference"/>
        </w:rPr>
        <w:footnoteRef/>
      </w:r>
      <w:r w:rsidR="00D873DB">
        <w:tab/>
      </w:r>
      <w:r>
        <w:rPr>
          <w:lang w:val="en-IE"/>
        </w:rPr>
        <w:t>This figure takes into account the cummulated 2% annual indexation.</w:t>
      </w:r>
    </w:p>
  </w:footnote>
  <w:footnote w:id="49">
    <w:p w:rsidR="00BB1D84" w:rsidRDefault="00BB1D84" w:rsidP="00BB1D84">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50">
    <w:p w:rsidR="00BB1D84" w:rsidRDefault="00BB1D84" w:rsidP="00BB1D84">
      <w:pPr>
        <w:pStyle w:val="FootnoteText"/>
        <w:rPr>
          <w:szCs w:val="24"/>
        </w:rPr>
      </w:pPr>
      <w:r>
        <w:rPr>
          <w:rStyle w:val="FootnoteReference"/>
        </w:rPr>
        <w:footnoteRef/>
      </w:r>
      <w:r>
        <w:tab/>
        <w:t xml:space="preserve">As described in Section 1.3.2. ‘Specific objective(s)’ </w:t>
      </w:r>
    </w:p>
  </w:footnote>
  <w:footnote w:id="51">
    <w:p w:rsidR="00BB1D84" w:rsidRPr="00B05C0F" w:rsidRDefault="00BB1D84" w:rsidP="003B4D7A">
      <w:pPr>
        <w:pStyle w:val="FootnoteText"/>
        <w:ind w:left="709" w:hanging="709"/>
        <w:rPr>
          <w:lang w:val="en-IE"/>
        </w:rPr>
      </w:pPr>
      <w:r w:rsidRPr="00D873DB">
        <w:rPr>
          <w:rStyle w:val="FootnoteReference"/>
        </w:rPr>
        <w:footnoteRef/>
      </w:r>
      <w:r w:rsidR="00D873DB">
        <w:tab/>
      </w:r>
      <w:r w:rsidRPr="00B05C0F">
        <w:t>Staff expenditure adapted to take into account the assumption that recruitment occurs in July.</w:t>
      </w:r>
      <w:r w:rsidR="003B4D7A">
        <w:br/>
      </w:r>
      <w:r w:rsidRPr="00B05C0F">
        <w:t>As such, only 50% of the average cost is taken into account in 2027</w:t>
      </w:r>
      <w:r>
        <w:t>.</w:t>
      </w:r>
    </w:p>
  </w:footnote>
  <w:footnote w:id="52">
    <w:p w:rsidR="00DD5E05" w:rsidRPr="00A8532B" w:rsidRDefault="00DD5E05">
      <w:pPr>
        <w:pStyle w:val="FootnoteText"/>
        <w:rPr>
          <w:lang w:val="en-IE"/>
        </w:rPr>
      </w:pPr>
      <w:r w:rsidRPr="00D873DB">
        <w:rPr>
          <w:rStyle w:val="FootnoteReference"/>
        </w:rPr>
        <w:footnoteRef/>
      </w:r>
      <w:r w:rsidR="00D873DB">
        <w:tab/>
      </w:r>
      <w:r>
        <w:rPr>
          <w:lang w:val="en-IE"/>
        </w:rPr>
        <w:t>This figure includes the accumulated effect of 2% annual indexation.</w:t>
      </w:r>
    </w:p>
  </w:footnote>
  <w:footnote w:id="53">
    <w:p w:rsidR="00BB1D84" w:rsidRDefault="00BB1D84" w:rsidP="007F1A91">
      <w:pPr>
        <w:pStyle w:val="FootnoteText"/>
        <w:ind w:left="284" w:hanging="284"/>
        <w:rPr>
          <w:szCs w:val="24"/>
        </w:rPr>
      </w:pPr>
      <w:r w:rsidRPr="00D873DB">
        <w:rPr>
          <w:rStyle w:val="FootnoteReference"/>
        </w:rPr>
        <w:footnoteRef/>
      </w:r>
      <w:r w:rsidR="00D873DB">
        <w:tab/>
      </w:r>
      <w:r>
        <w:t xml:space="preserve">As regards traditional own resources (customs duties, sugar levies), the amounts indicated must be net amounts, i.e. gross amounts after deduction of </w:t>
      </w:r>
      <w:r w:rsidRPr="009B753E">
        <w:t>20</w:t>
      </w:r>
      <w:r>
        <w:t> % for collection costs.</w:t>
      </w:r>
    </w:p>
  </w:footnote>
  <w:footnote w:id="54">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The opinion of DG DIGIT – IT Investments Team is required (see the Guidelines on Financing of IT, C(2020</w:t>
      </w:r>
      <w:r w:rsidRPr="00BC65AD">
        <w:rPr>
          <w:sz w:val="2"/>
          <w:szCs w:val="2"/>
        </w:rPr>
        <w:t xml:space="preserve"> </w:t>
      </w:r>
      <w:r w:rsidRPr="006335E0">
        <w:rPr>
          <w:rStyle w:val="FootnoteReference"/>
        </w:rPr>
        <w:t>)</w:t>
      </w:r>
      <w:r>
        <w:rPr>
          <w:rStyle w:val="FootnoteReference"/>
        </w:rPr>
        <w:t xml:space="preserve"> </w:t>
      </w:r>
      <w:r w:rsidRPr="006335E0">
        <w:rPr>
          <w:rStyle w:val="FootnoteReference"/>
        </w:rPr>
        <w:t>6126 final of 10.9.2020, page 7).</w:t>
      </w:r>
    </w:p>
  </w:footnote>
  <w:footnote w:id="55">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The opinion of DG DIGIT – IT Investments Team is required (see the Guidelines on Financing of IT, C(2020</w:t>
      </w:r>
      <w:r w:rsidRPr="00BC65AD">
        <w:rPr>
          <w:sz w:val="2"/>
          <w:szCs w:val="2"/>
        </w:rPr>
        <w:t xml:space="preserve"> </w:t>
      </w:r>
      <w:r w:rsidRPr="006335E0">
        <w:rPr>
          <w:rStyle w:val="FootnoteReference"/>
        </w:rPr>
        <w:t>)</w:t>
      </w:r>
      <w:r>
        <w:t xml:space="preserve"> </w:t>
      </w:r>
      <w:r w:rsidRPr="006335E0">
        <w:rPr>
          <w:rStyle w:val="FootnoteReference"/>
        </w:rPr>
        <w:t>6126 final of 10.9.2020, page 7).</w:t>
      </w:r>
    </w:p>
  </w:footnote>
  <w:footnote w:id="56">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This item includes local administrative systems and contributions to the co-financing of corporate IT systems (see the Guidelines on Financing of IT, C(2020) 6126 final of 10.9.2020).</w:t>
      </w:r>
    </w:p>
  </w:footnote>
  <w:footnote w:id="57">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The opinion of DG DIGIT – IT Investments Team is required (see the Guidelines on Financing of IT, C(2020)</w:t>
      </w:r>
      <w:r>
        <w:t xml:space="preserve"> </w:t>
      </w:r>
      <w:r w:rsidRPr="006335E0">
        <w:rPr>
          <w:rStyle w:val="FootnoteReference"/>
        </w:rPr>
        <w:t>6126 final of 10.9.2020, page 7).</w:t>
      </w:r>
    </w:p>
  </w:footnote>
  <w:footnote w:id="58">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The opinion of DG DIGIT – IT Investments Team is required (see the Guidelines on Financing of IT, C(2020)</w:t>
      </w:r>
      <w:r>
        <w:t xml:space="preserve"> </w:t>
      </w:r>
      <w:r w:rsidRPr="006335E0">
        <w:rPr>
          <w:rStyle w:val="FootnoteReference"/>
        </w:rPr>
        <w:t>6126 final of 10.9.2020, page 7).</w:t>
      </w:r>
    </w:p>
  </w:footnote>
  <w:footnote w:id="59">
    <w:p w:rsidR="00155377" w:rsidRPr="006335E0" w:rsidRDefault="00155377" w:rsidP="00155377">
      <w:pPr>
        <w:pStyle w:val="FootnoteText"/>
        <w:jc w:val="left"/>
        <w:rPr>
          <w:rStyle w:val="FootnoteReference"/>
        </w:rPr>
      </w:pPr>
      <w:r w:rsidRPr="00BC65AD">
        <w:rPr>
          <w:rStyle w:val="FootnoteReference"/>
        </w:rPr>
        <w:footnoteRef/>
      </w:r>
      <w:r w:rsidRPr="006335E0">
        <w:rPr>
          <w:rStyle w:val="FootnoteReference"/>
        </w:rPr>
        <w:tab/>
        <w:t>This item includes local administrative systems and contributions to the co-financing of corporate IT systems (see the Guidelines on Financing of IT, C(2020) 6126 final of 10.9.2020).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Default="00423D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Default="00423DBB" w:rsidP="00423D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Landscap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Landscap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DBB" w:rsidRPr="00423DBB" w:rsidRDefault="00423DBB" w:rsidP="00423D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DA1044A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rPr>
        <w:i w:val="0"/>
        <w:iCs w:val="0"/>
      </w:r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C5108EE"/>
    <w:multiLevelType w:val="hybridMultilevel"/>
    <w:tmpl w:val="C78A7792"/>
    <w:lvl w:ilvl="0" w:tplc="771E3E22">
      <w:start w:val="4"/>
      <w:numFmt w:val="bullet"/>
      <w:lvlText w:val="-"/>
      <w:lvlJc w:val="left"/>
      <w:pPr>
        <w:ind w:left="1210"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start w:val="1"/>
      <w:numFmt w:val="bullet"/>
      <w:lvlText w:val=""/>
      <w:lvlJc w:val="left"/>
      <w:pPr>
        <w:ind w:left="72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85F3952"/>
    <w:multiLevelType w:val="hybridMultilevel"/>
    <w:tmpl w:val="14660522"/>
    <w:lvl w:ilvl="0" w:tplc="A6C8C438">
      <w:start w:val="4"/>
      <w:numFmt w:val="bullet"/>
      <w:lvlText w:val="-"/>
      <w:lvlJc w:val="left"/>
      <w:pPr>
        <w:ind w:left="927" w:hanging="360"/>
      </w:pPr>
      <w:rPr>
        <w:rFonts w:ascii="Times New Roman" w:eastAsiaTheme="minorHAnsi" w:hAnsi="Times New Roman" w:cs="Times New Roman" w:hint="default"/>
      </w:rPr>
    </w:lvl>
    <w:lvl w:ilvl="1" w:tplc="18090003" w:tentative="1">
      <w:start w:val="1"/>
      <w:numFmt w:val="bullet"/>
      <w:lvlText w:val="o"/>
      <w:lvlJc w:val="left"/>
      <w:pPr>
        <w:ind w:left="1930" w:hanging="360"/>
      </w:pPr>
      <w:rPr>
        <w:rFonts w:ascii="Courier New" w:hAnsi="Courier New" w:cs="Courier New" w:hint="default"/>
      </w:rPr>
    </w:lvl>
    <w:lvl w:ilvl="2" w:tplc="18090005" w:tentative="1">
      <w:start w:val="1"/>
      <w:numFmt w:val="bullet"/>
      <w:lvlText w:val=""/>
      <w:lvlJc w:val="left"/>
      <w:pPr>
        <w:ind w:left="2650" w:hanging="360"/>
      </w:pPr>
      <w:rPr>
        <w:rFonts w:ascii="Wingdings" w:hAnsi="Wingdings" w:hint="default"/>
      </w:rPr>
    </w:lvl>
    <w:lvl w:ilvl="3" w:tplc="18090001" w:tentative="1">
      <w:start w:val="1"/>
      <w:numFmt w:val="bullet"/>
      <w:lvlText w:val=""/>
      <w:lvlJc w:val="left"/>
      <w:pPr>
        <w:ind w:left="3370" w:hanging="360"/>
      </w:pPr>
      <w:rPr>
        <w:rFonts w:ascii="Symbol" w:hAnsi="Symbol" w:hint="default"/>
      </w:rPr>
    </w:lvl>
    <w:lvl w:ilvl="4" w:tplc="18090003" w:tentative="1">
      <w:start w:val="1"/>
      <w:numFmt w:val="bullet"/>
      <w:lvlText w:val="o"/>
      <w:lvlJc w:val="left"/>
      <w:pPr>
        <w:ind w:left="4090" w:hanging="360"/>
      </w:pPr>
      <w:rPr>
        <w:rFonts w:ascii="Courier New" w:hAnsi="Courier New" w:cs="Courier New" w:hint="default"/>
      </w:rPr>
    </w:lvl>
    <w:lvl w:ilvl="5" w:tplc="18090005" w:tentative="1">
      <w:start w:val="1"/>
      <w:numFmt w:val="bullet"/>
      <w:lvlText w:val=""/>
      <w:lvlJc w:val="left"/>
      <w:pPr>
        <w:ind w:left="4810" w:hanging="360"/>
      </w:pPr>
      <w:rPr>
        <w:rFonts w:ascii="Wingdings" w:hAnsi="Wingdings" w:hint="default"/>
      </w:rPr>
    </w:lvl>
    <w:lvl w:ilvl="6" w:tplc="18090001" w:tentative="1">
      <w:start w:val="1"/>
      <w:numFmt w:val="bullet"/>
      <w:lvlText w:val=""/>
      <w:lvlJc w:val="left"/>
      <w:pPr>
        <w:ind w:left="5530" w:hanging="360"/>
      </w:pPr>
      <w:rPr>
        <w:rFonts w:ascii="Symbol" w:hAnsi="Symbol" w:hint="default"/>
      </w:rPr>
    </w:lvl>
    <w:lvl w:ilvl="7" w:tplc="18090003" w:tentative="1">
      <w:start w:val="1"/>
      <w:numFmt w:val="bullet"/>
      <w:lvlText w:val="o"/>
      <w:lvlJc w:val="left"/>
      <w:pPr>
        <w:ind w:left="6250" w:hanging="360"/>
      </w:pPr>
      <w:rPr>
        <w:rFonts w:ascii="Courier New" w:hAnsi="Courier New" w:cs="Courier New" w:hint="default"/>
      </w:rPr>
    </w:lvl>
    <w:lvl w:ilvl="8" w:tplc="18090005" w:tentative="1">
      <w:start w:val="1"/>
      <w:numFmt w:val="bullet"/>
      <w:lvlText w:val=""/>
      <w:lvlJc w:val="left"/>
      <w:pPr>
        <w:ind w:left="6970" w:hanging="360"/>
      </w:pPr>
      <w:rPr>
        <w:rFonts w:ascii="Wingdings" w:hAnsi="Wingdings"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8"/>
  </w:num>
  <w:num w:numId="5">
    <w:abstractNumId w:val="16"/>
  </w:num>
  <w:num w:numId="6">
    <w:abstractNumId w:val="28"/>
  </w:num>
  <w:num w:numId="7">
    <w:abstractNumId w:val="25"/>
  </w:num>
  <w:num w:numId="8">
    <w:abstractNumId w:val="29"/>
  </w:num>
  <w:num w:numId="9">
    <w:abstractNumId w:val="30"/>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17"/>
  </w:num>
  <w:num w:numId="18">
    <w:abstractNumId w:val="31"/>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num>
  <w:num w:numId="31">
    <w:abstractNumId w:val="32"/>
    <w:lvlOverride w:ilvl="0">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startOverride w:val="1"/>
    </w:lvlOverride>
  </w:num>
  <w:num w:numId="35">
    <w:abstractNumId w:val="24"/>
  </w:num>
  <w:num w:numId="36">
    <w:abstractNumId w:val="12"/>
  </w:num>
  <w:num w:numId="37">
    <w:abstractNumId w:val="27"/>
  </w:num>
  <w:num w:numId="38">
    <w:abstractNumId w:val="6"/>
  </w:num>
  <w:num w:numId="39">
    <w:abstractNumId w:val="13"/>
  </w:num>
  <w:num w:numId="40">
    <w:abstractNumId w:val="14"/>
  </w:num>
  <w:num w:numId="41">
    <w:abstractNumId w:val="4"/>
  </w:num>
  <w:num w:numId="42">
    <w:abstractNumId w:val="26"/>
  </w:num>
  <w:num w:numId="43">
    <w:abstractNumId w:val="3"/>
  </w:num>
  <w:num w:numId="44">
    <w:abstractNumId w:val="15"/>
  </w:num>
  <w:num w:numId="45">
    <w:abstractNumId w:val="22"/>
  </w:num>
  <w:num w:numId="46">
    <w:abstractNumId w:val="23"/>
  </w:num>
  <w:num w:numId="47">
    <w:abstractNumId w:val="5"/>
  </w:num>
  <w:num w:numId="48">
    <w:abstractNumId w:val="20"/>
  </w:num>
  <w:num w:numId="4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5 21:44:08"/>
    <w:docVar w:name="DQCResult_Distribution" w:val="-1"/>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5538031D-FFE9-4C51-BACA-44BD6055B7FF"/>
    <w:docVar w:name="LW_COVERPAGE_TYPE" w:val="1"/>
    <w:docVar w:name="LW_CreatedUtc" w:val="2026-03-26T09:46:36.4477689Z"/>
    <w:docVar w:name="LW_CROSSREFERENCE" w:val="{SWD(2026) 600 final}"/>
    <w:docVar w:name="LW_DocType" w:val="COM"/>
    <w:docVar w:name="LW_EMISSION" w:val="17.7.2026"/>
    <w:docVar w:name="LW_EMISSION_ISODATE" w:val="2026-07-1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03"/>
    <w:docVar w:name="LW_REF.II.NEW.CP_YEAR" w:val="2026"/>
    <w:docVar w:name="LW_REF.INST.NEW" w:val="COM"/>
    <w:docVar w:name="LW_REF.INST.NEW_ADOPTED" w:val="final"/>
    <w:docVar w:name="LW_REF.INST.NEW_TEXT" w:val="(2026) 6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9/943, as regards future-proofing electricity bills in the Union, through reducing system costs and fostering electrification and digitalisation"/>
    <w:docVar w:name="LW_TYPE.DOC.CP" w:val="REGULATION OF THE EUROPEAN PARLIAMENT AND OF THE COUNCIL"/>
    <w:docVar w:name="LwApiVersions" w:val="LW4CoDe 1.24.5.0; LW 9.2, Build 20251112"/>
  </w:docVars>
  <w:rsids>
    <w:rsidRoot w:val="00443040"/>
    <w:rsid w:val="0000095E"/>
    <w:rsid w:val="0000116C"/>
    <w:rsid w:val="00001529"/>
    <w:rsid w:val="000021C5"/>
    <w:rsid w:val="00002203"/>
    <w:rsid w:val="00002531"/>
    <w:rsid w:val="000028C6"/>
    <w:rsid w:val="00002AD9"/>
    <w:rsid w:val="00002DDA"/>
    <w:rsid w:val="0000317A"/>
    <w:rsid w:val="000033C8"/>
    <w:rsid w:val="000035F1"/>
    <w:rsid w:val="000037C8"/>
    <w:rsid w:val="000039E5"/>
    <w:rsid w:val="00003A17"/>
    <w:rsid w:val="00003BCC"/>
    <w:rsid w:val="00003E29"/>
    <w:rsid w:val="00003E3B"/>
    <w:rsid w:val="0000414E"/>
    <w:rsid w:val="00004193"/>
    <w:rsid w:val="00004D4C"/>
    <w:rsid w:val="00004F11"/>
    <w:rsid w:val="00004F42"/>
    <w:rsid w:val="0000507F"/>
    <w:rsid w:val="000051AC"/>
    <w:rsid w:val="0000555E"/>
    <w:rsid w:val="000058AE"/>
    <w:rsid w:val="000060FB"/>
    <w:rsid w:val="000063D6"/>
    <w:rsid w:val="000065DD"/>
    <w:rsid w:val="00006994"/>
    <w:rsid w:val="00006A1D"/>
    <w:rsid w:val="00006CDD"/>
    <w:rsid w:val="00007392"/>
    <w:rsid w:val="000073EB"/>
    <w:rsid w:val="0000750D"/>
    <w:rsid w:val="0000753E"/>
    <w:rsid w:val="00007A70"/>
    <w:rsid w:val="000102F0"/>
    <w:rsid w:val="00010661"/>
    <w:rsid w:val="000108BF"/>
    <w:rsid w:val="00010CC7"/>
    <w:rsid w:val="00011016"/>
    <w:rsid w:val="00011441"/>
    <w:rsid w:val="000115CB"/>
    <w:rsid w:val="000118B5"/>
    <w:rsid w:val="00011D06"/>
    <w:rsid w:val="0001290A"/>
    <w:rsid w:val="0001303A"/>
    <w:rsid w:val="0001390F"/>
    <w:rsid w:val="0001431A"/>
    <w:rsid w:val="00014B19"/>
    <w:rsid w:val="00014EE0"/>
    <w:rsid w:val="000157CA"/>
    <w:rsid w:val="000158C7"/>
    <w:rsid w:val="00015BC0"/>
    <w:rsid w:val="00016422"/>
    <w:rsid w:val="00016516"/>
    <w:rsid w:val="0001698F"/>
    <w:rsid w:val="00016B99"/>
    <w:rsid w:val="00016EDB"/>
    <w:rsid w:val="00017204"/>
    <w:rsid w:val="000176EF"/>
    <w:rsid w:val="000178EB"/>
    <w:rsid w:val="0002018D"/>
    <w:rsid w:val="000201D1"/>
    <w:rsid w:val="000202DA"/>
    <w:rsid w:val="000206C4"/>
    <w:rsid w:val="00020736"/>
    <w:rsid w:val="000217DE"/>
    <w:rsid w:val="00022F07"/>
    <w:rsid w:val="00023257"/>
    <w:rsid w:val="000232EE"/>
    <w:rsid w:val="000233A3"/>
    <w:rsid w:val="000234CF"/>
    <w:rsid w:val="0002369E"/>
    <w:rsid w:val="0002395D"/>
    <w:rsid w:val="00023BD9"/>
    <w:rsid w:val="00023D9F"/>
    <w:rsid w:val="00024372"/>
    <w:rsid w:val="00024407"/>
    <w:rsid w:val="00024820"/>
    <w:rsid w:val="00025563"/>
    <w:rsid w:val="0002574E"/>
    <w:rsid w:val="00025B8B"/>
    <w:rsid w:val="00025DE4"/>
    <w:rsid w:val="00026730"/>
    <w:rsid w:val="00026870"/>
    <w:rsid w:val="000269B8"/>
    <w:rsid w:val="00030233"/>
    <w:rsid w:val="00030F17"/>
    <w:rsid w:val="0003100D"/>
    <w:rsid w:val="00031D13"/>
    <w:rsid w:val="00031E4B"/>
    <w:rsid w:val="00031EE7"/>
    <w:rsid w:val="00032499"/>
    <w:rsid w:val="000324F9"/>
    <w:rsid w:val="000327D3"/>
    <w:rsid w:val="00032B05"/>
    <w:rsid w:val="00032D44"/>
    <w:rsid w:val="00033A71"/>
    <w:rsid w:val="000348CA"/>
    <w:rsid w:val="00034B92"/>
    <w:rsid w:val="000350A9"/>
    <w:rsid w:val="00035119"/>
    <w:rsid w:val="000353AD"/>
    <w:rsid w:val="0003642A"/>
    <w:rsid w:val="00036DC7"/>
    <w:rsid w:val="0003705A"/>
    <w:rsid w:val="00037464"/>
    <w:rsid w:val="0003750D"/>
    <w:rsid w:val="00037855"/>
    <w:rsid w:val="0003786E"/>
    <w:rsid w:val="00037CAB"/>
    <w:rsid w:val="0004049D"/>
    <w:rsid w:val="0004079B"/>
    <w:rsid w:val="000409AD"/>
    <w:rsid w:val="00040A4E"/>
    <w:rsid w:val="00040A8F"/>
    <w:rsid w:val="00040AC9"/>
    <w:rsid w:val="00040CF1"/>
    <w:rsid w:val="00040EB0"/>
    <w:rsid w:val="000410E8"/>
    <w:rsid w:val="000412B8"/>
    <w:rsid w:val="000412FB"/>
    <w:rsid w:val="00041D46"/>
    <w:rsid w:val="00041E25"/>
    <w:rsid w:val="00042425"/>
    <w:rsid w:val="000426D0"/>
    <w:rsid w:val="000428BE"/>
    <w:rsid w:val="000430B8"/>
    <w:rsid w:val="00043387"/>
    <w:rsid w:val="000436C4"/>
    <w:rsid w:val="000437A7"/>
    <w:rsid w:val="00043E53"/>
    <w:rsid w:val="000447AC"/>
    <w:rsid w:val="00044C80"/>
    <w:rsid w:val="00044DEA"/>
    <w:rsid w:val="00044ED6"/>
    <w:rsid w:val="000454CD"/>
    <w:rsid w:val="00045519"/>
    <w:rsid w:val="00045A6B"/>
    <w:rsid w:val="00045D68"/>
    <w:rsid w:val="0004627B"/>
    <w:rsid w:val="00046E4E"/>
    <w:rsid w:val="00047097"/>
    <w:rsid w:val="00047F51"/>
    <w:rsid w:val="0005015B"/>
    <w:rsid w:val="000503F9"/>
    <w:rsid w:val="0005075A"/>
    <w:rsid w:val="0005080D"/>
    <w:rsid w:val="00050A14"/>
    <w:rsid w:val="00050B90"/>
    <w:rsid w:val="00050D67"/>
    <w:rsid w:val="00050D90"/>
    <w:rsid w:val="00050F86"/>
    <w:rsid w:val="0005127B"/>
    <w:rsid w:val="000512DB"/>
    <w:rsid w:val="0005145F"/>
    <w:rsid w:val="00051540"/>
    <w:rsid w:val="00051D8B"/>
    <w:rsid w:val="00051FCC"/>
    <w:rsid w:val="000525F1"/>
    <w:rsid w:val="00052C08"/>
    <w:rsid w:val="00053079"/>
    <w:rsid w:val="0005315F"/>
    <w:rsid w:val="000537D2"/>
    <w:rsid w:val="0005385B"/>
    <w:rsid w:val="0005405D"/>
    <w:rsid w:val="000546E6"/>
    <w:rsid w:val="000547A5"/>
    <w:rsid w:val="00054B59"/>
    <w:rsid w:val="000556A7"/>
    <w:rsid w:val="00055E03"/>
    <w:rsid w:val="00055FAA"/>
    <w:rsid w:val="00056060"/>
    <w:rsid w:val="00056489"/>
    <w:rsid w:val="00056DBA"/>
    <w:rsid w:val="0005761E"/>
    <w:rsid w:val="000576D8"/>
    <w:rsid w:val="00057A08"/>
    <w:rsid w:val="00057B0A"/>
    <w:rsid w:val="00057C79"/>
    <w:rsid w:val="00060353"/>
    <w:rsid w:val="000604F9"/>
    <w:rsid w:val="00060FEF"/>
    <w:rsid w:val="00061406"/>
    <w:rsid w:val="00061616"/>
    <w:rsid w:val="00061963"/>
    <w:rsid w:val="00061AAD"/>
    <w:rsid w:val="00061DDE"/>
    <w:rsid w:val="00061E89"/>
    <w:rsid w:val="000621B3"/>
    <w:rsid w:val="000624AB"/>
    <w:rsid w:val="000628EC"/>
    <w:rsid w:val="00062A1B"/>
    <w:rsid w:val="000633AA"/>
    <w:rsid w:val="0006367C"/>
    <w:rsid w:val="000637A6"/>
    <w:rsid w:val="000639BA"/>
    <w:rsid w:val="00063C92"/>
    <w:rsid w:val="00063F67"/>
    <w:rsid w:val="000642F4"/>
    <w:rsid w:val="00064BA2"/>
    <w:rsid w:val="00064C9C"/>
    <w:rsid w:val="00065469"/>
    <w:rsid w:val="00065D8F"/>
    <w:rsid w:val="00065E46"/>
    <w:rsid w:val="00066052"/>
    <w:rsid w:val="00066136"/>
    <w:rsid w:val="000664F2"/>
    <w:rsid w:val="0006663A"/>
    <w:rsid w:val="000668DF"/>
    <w:rsid w:val="00067019"/>
    <w:rsid w:val="0006703D"/>
    <w:rsid w:val="000671AD"/>
    <w:rsid w:val="000672C1"/>
    <w:rsid w:val="00067351"/>
    <w:rsid w:val="0007000C"/>
    <w:rsid w:val="000702C9"/>
    <w:rsid w:val="00070771"/>
    <w:rsid w:val="00070CBD"/>
    <w:rsid w:val="00070F9D"/>
    <w:rsid w:val="0007174A"/>
    <w:rsid w:val="00071832"/>
    <w:rsid w:val="00071C5D"/>
    <w:rsid w:val="00071E3E"/>
    <w:rsid w:val="00071F96"/>
    <w:rsid w:val="000723A3"/>
    <w:rsid w:val="00072E39"/>
    <w:rsid w:val="000735E7"/>
    <w:rsid w:val="000741B3"/>
    <w:rsid w:val="000743FD"/>
    <w:rsid w:val="000748A1"/>
    <w:rsid w:val="000748EA"/>
    <w:rsid w:val="000748F6"/>
    <w:rsid w:val="000750A2"/>
    <w:rsid w:val="0007532E"/>
    <w:rsid w:val="00075461"/>
    <w:rsid w:val="00075D96"/>
    <w:rsid w:val="00075F6B"/>
    <w:rsid w:val="00076138"/>
    <w:rsid w:val="00076CDD"/>
    <w:rsid w:val="00077106"/>
    <w:rsid w:val="0008024E"/>
    <w:rsid w:val="00080417"/>
    <w:rsid w:val="00080584"/>
    <w:rsid w:val="000805E0"/>
    <w:rsid w:val="00080682"/>
    <w:rsid w:val="0008079D"/>
    <w:rsid w:val="0008088C"/>
    <w:rsid w:val="00080992"/>
    <w:rsid w:val="00080B85"/>
    <w:rsid w:val="00080E9A"/>
    <w:rsid w:val="00081BC5"/>
    <w:rsid w:val="000822F1"/>
    <w:rsid w:val="00082A1E"/>
    <w:rsid w:val="00082F6D"/>
    <w:rsid w:val="00083147"/>
    <w:rsid w:val="000835D6"/>
    <w:rsid w:val="00083608"/>
    <w:rsid w:val="0008365E"/>
    <w:rsid w:val="000836CB"/>
    <w:rsid w:val="00083837"/>
    <w:rsid w:val="00083D76"/>
    <w:rsid w:val="00083E39"/>
    <w:rsid w:val="00083F08"/>
    <w:rsid w:val="00084F90"/>
    <w:rsid w:val="00084FD7"/>
    <w:rsid w:val="0008503A"/>
    <w:rsid w:val="000853EF"/>
    <w:rsid w:val="000854CE"/>
    <w:rsid w:val="00085DE5"/>
    <w:rsid w:val="000863FD"/>
    <w:rsid w:val="0008683B"/>
    <w:rsid w:val="00086F5D"/>
    <w:rsid w:val="00087C15"/>
    <w:rsid w:val="0009018A"/>
    <w:rsid w:val="000901CA"/>
    <w:rsid w:val="000903CA"/>
    <w:rsid w:val="000905CF"/>
    <w:rsid w:val="000908FC"/>
    <w:rsid w:val="00090A4E"/>
    <w:rsid w:val="00090F9A"/>
    <w:rsid w:val="000917E2"/>
    <w:rsid w:val="000919A4"/>
    <w:rsid w:val="00091BF1"/>
    <w:rsid w:val="00092143"/>
    <w:rsid w:val="00092BE1"/>
    <w:rsid w:val="00092CD0"/>
    <w:rsid w:val="00093D02"/>
    <w:rsid w:val="00094139"/>
    <w:rsid w:val="00094258"/>
    <w:rsid w:val="00094FBE"/>
    <w:rsid w:val="0009507E"/>
    <w:rsid w:val="0009534B"/>
    <w:rsid w:val="00095451"/>
    <w:rsid w:val="000955A4"/>
    <w:rsid w:val="00095653"/>
    <w:rsid w:val="0009686B"/>
    <w:rsid w:val="00096934"/>
    <w:rsid w:val="0009702E"/>
    <w:rsid w:val="00097190"/>
    <w:rsid w:val="000974FA"/>
    <w:rsid w:val="0009752D"/>
    <w:rsid w:val="000975C3"/>
    <w:rsid w:val="000975D0"/>
    <w:rsid w:val="00097D0D"/>
    <w:rsid w:val="00097EA5"/>
    <w:rsid w:val="000A03D3"/>
    <w:rsid w:val="000A05C0"/>
    <w:rsid w:val="000A0A9F"/>
    <w:rsid w:val="000A0D9E"/>
    <w:rsid w:val="000A0F0B"/>
    <w:rsid w:val="000A1882"/>
    <w:rsid w:val="000A18C7"/>
    <w:rsid w:val="000A1A87"/>
    <w:rsid w:val="000A1AED"/>
    <w:rsid w:val="000A1E75"/>
    <w:rsid w:val="000A2006"/>
    <w:rsid w:val="000A207B"/>
    <w:rsid w:val="000A2B7B"/>
    <w:rsid w:val="000A2FAB"/>
    <w:rsid w:val="000A2FF9"/>
    <w:rsid w:val="000A3036"/>
    <w:rsid w:val="000A3B99"/>
    <w:rsid w:val="000A423E"/>
    <w:rsid w:val="000A428E"/>
    <w:rsid w:val="000A4A40"/>
    <w:rsid w:val="000A4AF8"/>
    <w:rsid w:val="000A52AD"/>
    <w:rsid w:val="000A52D3"/>
    <w:rsid w:val="000A57E4"/>
    <w:rsid w:val="000A589F"/>
    <w:rsid w:val="000A6012"/>
    <w:rsid w:val="000A734C"/>
    <w:rsid w:val="000A7356"/>
    <w:rsid w:val="000A7E33"/>
    <w:rsid w:val="000B0191"/>
    <w:rsid w:val="000B0364"/>
    <w:rsid w:val="000B06BA"/>
    <w:rsid w:val="000B0883"/>
    <w:rsid w:val="000B10D4"/>
    <w:rsid w:val="000B12A1"/>
    <w:rsid w:val="000B1363"/>
    <w:rsid w:val="000B1B6E"/>
    <w:rsid w:val="000B1D56"/>
    <w:rsid w:val="000B23F3"/>
    <w:rsid w:val="000B25BB"/>
    <w:rsid w:val="000B3632"/>
    <w:rsid w:val="000B3CE7"/>
    <w:rsid w:val="000B3D28"/>
    <w:rsid w:val="000B42AB"/>
    <w:rsid w:val="000B4650"/>
    <w:rsid w:val="000B46C3"/>
    <w:rsid w:val="000B4A0F"/>
    <w:rsid w:val="000B5276"/>
    <w:rsid w:val="000B5900"/>
    <w:rsid w:val="000B59B8"/>
    <w:rsid w:val="000B5B06"/>
    <w:rsid w:val="000B5B17"/>
    <w:rsid w:val="000B5CFA"/>
    <w:rsid w:val="000B5F5F"/>
    <w:rsid w:val="000B61AD"/>
    <w:rsid w:val="000B6228"/>
    <w:rsid w:val="000B6842"/>
    <w:rsid w:val="000B6CA7"/>
    <w:rsid w:val="000B6D8E"/>
    <w:rsid w:val="000B76DC"/>
    <w:rsid w:val="000B7917"/>
    <w:rsid w:val="000B7A2F"/>
    <w:rsid w:val="000C0902"/>
    <w:rsid w:val="000C0F84"/>
    <w:rsid w:val="000C10B3"/>
    <w:rsid w:val="000C1214"/>
    <w:rsid w:val="000C1305"/>
    <w:rsid w:val="000C261C"/>
    <w:rsid w:val="000C265E"/>
    <w:rsid w:val="000C26AE"/>
    <w:rsid w:val="000C2F8B"/>
    <w:rsid w:val="000C3BD0"/>
    <w:rsid w:val="000C3E42"/>
    <w:rsid w:val="000C46CD"/>
    <w:rsid w:val="000C46DC"/>
    <w:rsid w:val="000C4E8D"/>
    <w:rsid w:val="000C5186"/>
    <w:rsid w:val="000C525A"/>
    <w:rsid w:val="000C5319"/>
    <w:rsid w:val="000C66DC"/>
    <w:rsid w:val="000C66F2"/>
    <w:rsid w:val="000C67A6"/>
    <w:rsid w:val="000C6939"/>
    <w:rsid w:val="000C6D6F"/>
    <w:rsid w:val="000C71BF"/>
    <w:rsid w:val="000C75C6"/>
    <w:rsid w:val="000C792F"/>
    <w:rsid w:val="000D00D3"/>
    <w:rsid w:val="000D063D"/>
    <w:rsid w:val="000D074E"/>
    <w:rsid w:val="000D0971"/>
    <w:rsid w:val="000D1184"/>
    <w:rsid w:val="000D14F2"/>
    <w:rsid w:val="000D156B"/>
    <w:rsid w:val="000D1746"/>
    <w:rsid w:val="000D1BEB"/>
    <w:rsid w:val="000D2036"/>
    <w:rsid w:val="000D2129"/>
    <w:rsid w:val="000D2343"/>
    <w:rsid w:val="000D2FEC"/>
    <w:rsid w:val="000D3B8F"/>
    <w:rsid w:val="000D3FD2"/>
    <w:rsid w:val="000D4897"/>
    <w:rsid w:val="000D4975"/>
    <w:rsid w:val="000D4A3A"/>
    <w:rsid w:val="000D4BE5"/>
    <w:rsid w:val="000D4C08"/>
    <w:rsid w:val="000D4D5B"/>
    <w:rsid w:val="000D5040"/>
    <w:rsid w:val="000D523C"/>
    <w:rsid w:val="000D52C3"/>
    <w:rsid w:val="000D55C1"/>
    <w:rsid w:val="000D5768"/>
    <w:rsid w:val="000D597D"/>
    <w:rsid w:val="000D5B54"/>
    <w:rsid w:val="000D5C3F"/>
    <w:rsid w:val="000D5C43"/>
    <w:rsid w:val="000D640F"/>
    <w:rsid w:val="000D701E"/>
    <w:rsid w:val="000D72D2"/>
    <w:rsid w:val="000D73BD"/>
    <w:rsid w:val="000D7798"/>
    <w:rsid w:val="000D7BBE"/>
    <w:rsid w:val="000D7BC3"/>
    <w:rsid w:val="000D7CAD"/>
    <w:rsid w:val="000D7FD2"/>
    <w:rsid w:val="000E0347"/>
    <w:rsid w:val="000E06C2"/>
    <w:rsid w:val="000E0E81"/>
    <w:rsid w:val="000E0FFE"/>
    <w:rsid w:val="000E1146"/>
    <w:rsid w:val="000E13A4"/>
    <w:rsid w:val="000E2685"/>
    <w:rsid w:val="000E27DA"/>
    <w:rsid w:val="000E2B82"/>
    <w:rsid w:val="000E3065"/>
    <w:rsid w:val="000E366D"/>
    <w:rsid w:val="000E43C1"/>
    <w:rsid w:val="000E442F"/>
    <w:rsid w:val="000E484C"/>
    <w:rsid w:val="000E4DD0"/>
    <w:rsid w:val="000E5883"/>
    <w:rsid w:val="000E5F7E"/>
    <w:rsid w:val="000E6404"/>
    <w:rsid w:val="000E725E"/>
    <w:rsid w:val="000E73C0"/>
    <w:rsid w:val="000E7840"/>
    <w:rsid w:val="000E7A79"/>
    <w:rsid w:val="000F0386"/>
    <w:rsid w:val="000F0432"/>
    <w:rsid w:val="000F0599"/>
    <w:rsid w:val="000F0757"/>
    <w:rsid w:val="000F0D50"/>
    <w:rsid w:val="000F120F"/>
    <w:rsid w:val="000F1FAE"/>
    <w:rsid w:val="000F22D5"/>
    <w:rsid w:val="000F2755"/>
    <w:rsid w:val="000F2B5E"/>
    <w:rsid w:val="000F2D09"/>
    <w:rsid w:val="000F3193"/>
    <w:rsid w:val="000F3835"/>
    <w:rsid w:val="000F38DC"/>
    <w:rsid w:val="000F423E"/>
    <w:rsid w:val="000F44B9"/>
    <w:rsid w:val="000F4E49"/>
    <w:rsid w:val="000F4E5E"/>
    <w:rsid w:val="000F4EF5"/>
    <w:rsid w:val="000F4FC5"/>
    <w:rsid w:val="000F5090"/>
    <w:rsid w:val="000F50FC"/>
    <w:rsid w:val="000F5754"/>
    <w:rsid w:val="000F587F"/>
    <w:rsid w:val="000F5C93"/>
    <w:rsid w:val="000F5D93"/>
    <w:rsid w:val="000F5FD7"/>
    <w:rsid w:val="000F61D2"/>
    <w:rsid w:val="000F65FB"/>
    <w:rsid w:val="000F6D92"/>
    <w:rsid w:val="000F6E79"/>
    <w:rsid w:val="000F71CF"/>
    <w:rsid w:val="000F7A3B"/>
    <w:rsid w:val="000F7AD2"/>
    <w:rsid w:val="000F7F4E"/>
    <w:rsid w:val="001005F8"/>
    <w:rsid w:val="00100845"/>
    <w:rsid w:val="00100926"/>
    <w:rsid w:val="00101DBB"/>
    <w:rsid w:val="0010249E"/>
    <w:rsid w:val="00102636"/>
    <w:rsid w:val="0010386F"/>
    <w:rsid w:val="00103910"/>
    <w:rsid w:val="00103A9F"/>
    <w:rsid w:val="00103C8E"/>
    <w:rsid w:val="00104A43"/>
    <w:rsid w:val="00104C15"/>
    <w:rsid w:val="00104F2C"/>
    <w:rsid w:val="00105248"/>
    <w:rsid w:val="001054A4"/>
    <w:rsid w:val="00105573"/>
    <w:rsid w:val="00105A8A"/>
    <w:rsid w:val="00106261"/>
    <w:rsid w:val="001065F5"/>
    <w:rsid w:val="00106658"/>
    <w:rsid w:val="00106DD4"/>
    <w:rsid w:val="001070B8"/>
    <w:rsid w:val="00107184"/>
    <w:rsid w:val="001078C7"/>
    <w:rsid w:val="001100E6"/>
    <w:rsid w:val="001103A4"/>
    <w:rsid w:val="0011079F"/>
    <w:rsid w:val="001108EA"/>
    <w:rsid w:val="00110B9A"/>
    <w:rsid w:val="00111153"/>
    <w:rsid w:val="0011194C"/>
    <w:rsid w:val="00111ED1"/>
    <w:rsid w:val="001125FA"/>
    <w:rsid w:val="001127A1"/>
    <w:rsid w:val="00113224"/>
    <w:rsid w:val="001132E0"/>
    <w:rsid w:val="001135A4"/>
    <w:rsid w:val="00113650"/>
    <w:rsid w:val="0011368C"/>
    <w:rsid w:val="00113B3E"/>
    <w:rsid w:val="00113F5C"/>
    <w:rsid w:val="00114154"/>
    <w:rsid w:val="0011463D"/>
    <w:rsid w:val="00114A76"/>
    <w:rsid w:val="00114AC2"/>
    <w:rsid w:val="00114C1F"/>
    <w:rsid w:val="00115479"/>
    <w:rsid w:val="001160CD"/>
    <w:rsid w:val="00116620"/>
    <w:rsid w:val="00116B90"/>
    <w:rsid w:val="00116C34"/>
    <w:rsid w:val="0011734C"/>
    <w:rsid w:val="0011794A"/>
    <w:rsid w:val="0011797F"/>
    <w:rsid w:val="00117C81"/>
    <w:rsid w:val="00117F9A"/>
    <w:rsid w:val="0012079E"/>
    <w:rsid w:val="00120CFD"/>
    <w:rsid w:val="00121610"/>
    <w:rsid w:val="001218A9"/>
    <w:rsid w:val="00122254"/>
    <w:rsid w:val="0012231C"/>
    <w:rsid w:val="00122682"/>
    <w:rsid w:val="0012285C"/>
    <w:rsid w:val="0012364A"/>
    <w:rsid w:val="001238A2"/>
    <w:rsid w:val="001238EF"/>
    <w:rsid w:val="00123D75"/>
    <w:rsid w:val="00123E59"/>
    <w:rsid w:val="0012435D"/>
    <w:rsid w:val="0012473C"/>
    <w:rsid w:val="00124C26"/>
    <w:rsid w:val="00124EC1"/>
    <w:rsid w:val="0012503B"/>
    <w:rsid w:val="0012526F"/>
    <w:rsid w:val="001253A9"/>
    <w:rsid w:val="001254E4"/>
    <w:rsid w:val="00125735"/>
    <w:rsid w:val="001257DB"/>
    <w:rsid w:val="00125812"/>
    <w:rsid w:val="00125886"/>
    <w:rsid w:val="00125EDE"/>
    <w:rsid w:val="0012640D"/>
    <w:rsid w:val="001264D0"/>
    <w:rsid w:val="00126532"/>
    <w:rsid w:val="00126AE8"/>
    <w:rsid w:val="00126B3B"/>
    <w:rsid w:val="0012725C"/>
    <w:rsid w:val="00127F19"/>
    <w:rsid w:val="00130080"/>
    <w:rsid w:val="0013017E"/>
    <w:rsid w:val="00130363"/>
    <w:rsid w:val="00130BC5"/>
    <w:rsid w:val="00130CD3"/>
    <w:rsid w:val="001315E8"/>
    <w:rsid w:val="001315F3"/>
    <w:rsid w:val="0013193A"/>
    <w:rsid w:val="001319EB"/>
    <w:rsid w:val="0013202B"/>
    <w:rsid w:val="00132714"/>
    <w:rsid w:val="0013298B"/>
    <w:rsid w:val="00133033"/>
    <w:rsid w:val="0013315C"/>
    <w:rsid w:val="001334E2"/>
    <w:rsid w:val="00133665"/>
    <w:rsid w:val="00133683"/>
    <w:rsid w:val="00133A67"/>
    <w:rsid w:val="00133B58"/>
    <w:rsid w:val="00134642"/>
    <w:rsid w:val="001346EE"/>
    <w:rsid w:val="00134B48"/>
    <w:rsid w:val="00134B7B"/>
    <w:rsid w:val="001353BD"/>
    <w:rsid w:val="00135689"/>
    <w:rsid w:val="001357D2"/>
    <w:rsid w:val="00135C8B"/>
    <w:rsid w:val="001362BA"/>
    <w:rsid w:val="0013692D"/>
    <w:rsid w:val="00136EDF"/>
    <w:rsid w:val="001375A0"/>
    <w:rsid w:val="001402B2"/>
    <w:rsid w:val="00140403"/>
    <w:rsid w:val="0014083F"/>
    <w:rsid w:val="001410CE"/>
    <w:rsid w:val="00141186"/>
    <w:rsid w:val="001419D5"/>
    <w:rsid w:val="00141F4B"/>
    <w:rsid w:val="0014207A"/>
    <w:rsid w:val="0014254A"/>
    <w:rsid w:val="0014260F"/>
    <w:rsid w:val="00142955"/>
    <w:rsid w:val="00142998"/>
    <w:rsid w:val="00142AA8"/>
    <w:rsid w:val="00142B8F"/>
    <w:rsid w:val="0014305D"/>
    <w:rsid w:val="001436A6"/>
    <w:rsid w:val="00143BF4"/>
    <w:rsid w:val="001447B4"/>
    <w:rsid w:val="001448BB"/>
    <w:rsid w:val="00144B39"/>
    <w:rsid w:val="001451CA"/>
    <w:rsid w:val="001453FA"/>
    <w:rsid w:val="00145404"/>
    <w:rsid w:val="00145645"/>
    <w:rsid w:val="00145802"/>
    <w:rsid w:val="00145808"/>
    <w:rsid w:val="00145CD8"/>
    <w:rsid w:val="001461A8"/>
    <w:rsid w:val="001471DC"/>
    <w:rsid w:val="001473EB"/>
    <w:rsid w:val="00147B2A"/>
    <w:rsid w:val="00150280"/>
    <w:rsid w:val="0015049C"/>
    <w:rsid w:val="00150B03"/>
    <w:rsid w:val="00151215"/>
    <w:rsid w:val="001524BE"/>
    <w:rsid w:val="001528B0"/>
    <w:rsid w:val="001528FC"/>
    <w:rsid w:val="00152E57"/>
    <w:rsid w:val="0015374B"/>
    <w:rsid w:val="00153B8F"/>
    <w:rsid w:val="00154137"/>
    <w:rsid w:val="001543B0"/>
    <w:rsid w:val="001543CD"/>
    <w:rsid w:val="00154410"/>
    <w:rsid w:val="00154841"/>
    <w:rsid w:val="001549B2"/>
    <w:rsid w:val="00154A34"/>
    <w:rsid w:val="00155010"/>
    <w:rsid w:val="00155377"/>
    <w:rsid w:val="00156013"/>
    <w:rsid w:val="001560F5"/>
    <w:rsid w:val="00156A9A"/>
    <w:rsid w:val="00157090"/>
    <w:rsid w:val="001570B0"/>
    <w:rsid w:val="001572D7"/>
    <w:rsid w:val="00160702"/>
    <w:rsid w:val="00160A7A"/>
    <w:rsid w:val="00160E3F"/>
    <w:rsid w:val="00161022"/>
    <w:rsid w:val="001613F8"/>
    <w:rsid w:val="00161D74"/>
    <w:rsid w:val="001626E4"/>
    <w:rsid w:val="00162D1E"/>
    <w:rsid w:val="001632B3"/>
    <w:rsid w:val="0016333D"/>
    <w:rsid w:val="0016334C"/>
    <w:rsid w:val="00163547"/>
    <w:rsid w:val="00163906"/>
    <w:rsid w:val="00163AEE"/>
    <w:rsid w:val="00163F0D"/>
    <w:rsid w:val="00163FA3"/>
    <w:rsid w:val="001641B3"/>
    <w:rsid w:val="00164268"/>
    <w:rsid w:val="001642B8"/>
    <w:rsid w:val="00164328"/>
    <w:rsid w:val="00164756"/>
    <w:rsid w:val="00164783"/>
    <w:rsid w:val="00165247"/>
    <w:rsid w:val="00165E94"/>
    <w:rsid w:val="00165F25"/>
    <w:rsid w:val="0016663A"/>
    <w:rsid w:val="001668F4"/>
    <w:rsid w:val="00166F07"/>
    <w:rsid w:val="0016700C"/>
    <w:rsid w:val="00167B66"/>
    <w:rsid w:val="00167D60"/>
    <w:rsid w:val="00170173"/>
    <w:rsid w:val="00170996"/>
    <w:rsid w:val="00170C17"/>
    <w:rsid w:val="00170F45"/>
    <w:rsid w:val="00171067"/>
    <w:rsid w:val="001713DC"/>
    <w:rsid w:val="001714F3"/>
    <w:rsid w:val="00171AE4"/>
    <w:rsid w:val="00171B9C"/>
    <w:rsid w:val="0017287D"/>
    <w:rsid w:val="001728AD"/>
    <w:rsid w:val="00172F06"/>
    <w:rsid w:val="0017328A"/>
    <w:rsid w:val="00173437"/>
    <w:rsid w:val="0017397E"/>
    <w:rsid w:val="00173B06"/>
    <w:rsid w:val="0017423A"/>
    <w:rsid w:val="00174280"/>
    <w:rsid w:val="001744E4"/>
    <w:rsid w:val="00174697"/>
    <w:rsid w:val="00174A43"/>
    <w:rsid w:val="00174D79"/>
    <w:rsid w:val="00174EF6"/>
    <w:rsid w:val="00174F9B"/>
    <w:rsid w:val="00175958"/>
    <w:rsid w:val="0017598D"/>
    <w:rsid w:val="00175CF6"/>
    <w:rsid w:val="00176AC9"/>
    <w:rsid w:val="001771A3"/>
    <w:rsid w:val="001774D7"/>
    <w:rsid w:val="0017750D"/>
    <w:rsid w:val="00177C99"/>
    <w:rsid w:val="00177EC3"/>
    <w:rsid w:val="00180784"/>
    <w:rsid w:val="00181FF6"/>
    <w:rsid w:val="00181FFF"/>
    <w:rsid w:val="0018258D"/>
    <w:rsid w:val="0018298D"/>
    <w:rsid w:val="0018332F"/>
    <w:rsid w:val="00183697"/>
    <w:rsid w:val="0018399E"/>
    <w:rsid w:val="00183A06"/>
    <w:rsid w:val="001844A4"/>
    <w:rsid w:val="00184FD8"/>
    <w:rsid w:val="00185312"/>
    <w:rsid w:val="00185446"/>
    <w:rsid w:val="0018560C"/>
    <w:rsid w:val="001857B3"/>
    <w:rsid w:val="001866B3"/>
    <w:rsid w:val="00186A14"/>
    <w:rsid w:val="001873FC"/>
    <w:rsid w:val="00187E04"/>
    <w:rsid w:val="0019044B"/>
    <w:rsid w:val="00190DF4"/>
    <w:rsid w:val="001914E7"/>
    <w:rsid w:val="0019169D"/>
    <w:rsid w:val="00191D8E"/>
    <w:rsid w:val="0019240A"/>
    <w:rsid w:val="00193387"/>
    <w:rsid w:val="00193790"/>
    <w:rsid w:val="00193A3A"/>
    <w:rsid w:val="00193BB3"/>
    <w:rsid w:val="00193F39"/>
    <w:rsid w:val="001946CE"/>
    <w:rsid w:val="00194825"/>
    <w:rsid w:val="00194EA6"/>
    <w:rsid w:val="0019546B"/>
    <w:rsid w:val="001957D1"/>
    <w:rsid w:val="00195CB6"/>
    <w:rsid w:val="0019612E"/>
    <w:rsid w:val="00196D75"/>
    <w:rsid w:val="0019729D"/>
    <w:rsid w:val="00197613"/>
    <w:rsid w:val="0019780D"/>
    <w:rsid w:val="001979C6"/>
    <w:rsid w:val="001A00FA"/>
    <w:rsid w:val="001A0474"/>
    <w:rsid w:val="001A0615"/>
    <w:rsid w:val="001A07AC"/>
    <w:rsid w:val="001A0D5B"/>
    <w:rsid w:val="001A13FE"/>
    <w:rsid w:val="001A144E"/>
    <w:rsid w:val="001A1648"/>
    <w:rsid w:val="001A181B"/>
    <w:rsid w:val="001A27CC"/>
    <w:rsid w:val="001A2914"/>
    <w:rsid w:val="001A2A58"/>
    <w:rsid w:val="001A2AE6"/>
    <w:rsid w:val="001A2BB4"/>
    <w:rsid w:val="001A2CF1"/>
    <w:rsid w:val="001A3A49"/>
    <w:rsid w:val="001A47CA"/>
    <w:rsid w:val="001A4FE6"/>
    <w:rsid w:val="001A52A4"/>
    <w:rsid w:val="001A540D"/>
    <w:rsid w:val="001A5482"/>
    <w:rsid w:val="001A60BB"/>
    <w:rsid w:val="001A6730"/>
    <w:rsid w:val="001A6D6A"/>
    <w:rsid w:val="001A73EC"/>
    <w:rsid w:val="001A76BC"/>
    <w:rsid w:val="001B0282"/>
    <w:rsid w:val="001B0555"/>
    <w:rsid w:val="001B0886"/>
    <w:rsid w:val="001B089E"/>
    <w:rsid w:val="001B0D1E"/>
    <w:rsid w:val="001B0DC0"/>
    <w:rsid w:val="001B0DCF"/>
    <w:rsid w:val="001B0F45"/>
    <w:rsid w:val="001B176B"/>
    <w:rsid w:val="001B19D7"/>
    <w:rsid w:val="001B2358"/>
    <w:rsid w:val="001B28CA"/>
    <w:rsid w:val="001B4204"/>
    <w:rsid w:val="001B4360"/>
    <w:rsid w:val="001B4B87"/>
    <w:rsid w:val="001B4DA5"/>
    <w:rsid w:val="001B519B"/>
    <w:rsid w:val="001B549B"/>
    <w:rsid w:val="001B571D"/>
    <w:rsid w:val="001B5F11"/>
    <w:rsid w:val="001B6E82"/>
    <w:rsid w:val="001B7B69"/>
    <w:rsid w:val="001C0228"/>
    <w:rsid w:val="001C0A99"/>
    <w:rsid w:val="001C0D54"/>
    <w:rsid w:val="001C0EFA"/>
    <w:rsid w:val="001C10C6"/>
    <w:rsid w:val="001C11C0"/>
    <w:rsid w:val="001C12F3"/>
    <w:rsid w:val="001C1311"/>
    <w:rsid w:val="001C148E"/>
    <w:rsid w:val="001C16AE"/>
    <w:rsid w:val="001C181D"/>
    <w:rsid w:val="001C1D30"/>
    <w:rsid w:val="001C2FB8"/>
    <w:rsid w:val="001C31EB"/>
    <w:rsid w:val="001C3612"/>
    <w:rsid w:val="001C3DEF"/>
    <w:rsid w:val="001C3E90"/>
    <w:rsid w:val="001C3FF3"/>
    <w:rsid w:val="001C407C"/>
    <w:rsid w:val="001C4109"/>
    <w:rsid w:val="001C4470"/>
    <w:rsid w:val="001C475E"/>
    <w:rsid w:val="001C492B"/>
    <w:rsid w:val="001C503E"/>
    <w:rsid w:val="001C5662"/>
    <w:rsid w:val="001C5B07"/>
    <w:rsid w:val="001C6249"/>
    <w:rsid w:val="001C64AD"/>
    <w:rsid w:val="001C6532"/>
    <w:rsid w:val="001C65F8"/>
    <w:rsid w:val="001C671E"/>
    <w:rsid w:val="001C7379"/>
    <w:rsid w:val="001C7D5B"/>
    <w:rsid w:val="001D0A37"/>
    <w:rsid w:val="001D1186"/>
    <w:rsid w:val="001D11AC"/>
    <w:rsid w:val="001D1477"/>
    <w:rsid w:val="001D188C"/>
    <w:rsid w:val="001D1966"/>
    <w:rsid w:val="001D1A3E"/>
    <w:rsid w:val="001D1CC8"/>
    <w:rsid w:val="001D1D3B"/>
    <w:rsid w:val="001D1DDA"/>
    <w:rsid w:val="001D1EBE"/>
    <w:rsid w:val="001D2086"/>
    <w:rsid w:val="001D2227"/>
    <w:rsid w:val="001D2618"/>
    <w:rsid w:val="001D28EC"/>
    <w:rsid w:val="001D29A0"/>
    <w:rsid w:val="001D29D6"/>
    <w:rsid w:val="001D3524"/>
    <w:rsid w:val="001D3858"/>
    <w:rsid w:val="001D3DBD"/>
    <w:rsid w:val="001D414C"/>
    <w:rsid w:val="001D42DF"/>
    <w:rsid w:val="001D4844"/>
    <w:rsid w:val="001D48DA"/>
    <w:rsid w:val="001D4DE9"/>
    <w:rsid w:val="001D5BA3"/>
    <w:rsid w:val="001D5C6E"/>
    <w:rsid w:val="001D5DD1"/>
    <w:rsid w:val="001D6419"/>
    <w:rsid w:val="001D6918"/>
    <w:rsid w:val="001D6A82"/>
    <w:rsid w:val="001D6C4E"/>
    <w:rsid w:val="001D7649"/>
    <w:rsid w:val="001D7958"/>
    <w:rsid w:val="001D7A64"/>
    <w:rsid w:val="001E0BAE"/>
    <w:rsid w:val="001E0C8B"/>
    <w:rsid w:val="001E1380"/>
    <w:rsid w:val="001E1713"/>
    <w:rsid w:val="001E1DD6"/>
    <w:rsid w:val="001E254B"/>
    <w:rsid w:val="001E29E2"/>
    <w:rsid w:val="001E2DBB"/>
    <w:rsid w:val="001E37D6"/>
    <w:rsid w:val="001E4AA2"/>
    <w:rsid w:val="001E4BAE"/>
    <w:rsid w:val="001E5E27"/>
    <w:rsid w:val="001E601A"/>
    <w:rsid w:val="001E6184"/>
    <w:rsid w:val="001E63D2"/>
    <w:rsid w:val="001E66A7"/>
    <w:rsid w:val="001E6AEB"/>
    <w:rsid w:val="001E6AF9"/>
    <w:rsid w:val="001E6BC5"/>
    <w:rsid w:val="001E6FA6"/>
    <w:rsid w:val="001E7028"/>
    <w:rsid w:val="001E73F5"/>
    <w:rsid w:val="001E7844"/>
    <w:rsid w:val="001E79A8"/>
    <w:rsid w:val="001F02F6"/>
    <w:rsid w:val="001F060D"/>
    <w:rsid w:val="001F06A2"/>
    <w:rsid w:val="001F1165"/>
    <w:rsid w:val="001F123B"/>
    <w:rsid w:val="001F1617"/>
    <w:rsid w:val="001F1782"/>
    <w:rsid w:val="001F18DB"/>
    <w:rsid w:val="001F1A85"/>
    <w:rsid w:val="001F2852"/>
    <w:rsid w:val="001F2DBD"/>
    <w:rsid w:val="001F33C0"/>
    <w:rsid w:val="001F3987"/>
    <w:rsid w:val="001F3FF7"/>
    <w:rsid w:val="001F43AE"/>
    <w:rsid w:val="001F44ED"/>
    <w:rsid w:val="001F45D6"/>
    <w:rsid w:val="001F4CD6"/>
    <w:rsid w:val="001F50CA"/>
    <w:rsid w:val="001F5221"/>
    <w:rsid w:val="001F5691"/>
    <w:rsid w:val="001F569A"/>
    <w:rsid w:val="001F59BD"/>
    <w:rsid w:val="001F5F01"/>
    <w:rsid w:val="001F6245"/>
    <w:rsid w:val="001F64A9"/>
    <w:rsid w:val="001F680A"/>
    <w:rsid w:val="001F711F"/>
    <w:rsid w:val="001F7223"/>
    <w:rsid w:val="001F763A"/>
    <w:rsid w:val="00200231"/>
    <w:rsid w:val="00200316"/>
    <w:rsid w:val="002004F7"/>
    <w:rsid w:val="00200F53"/>
    <w:rsid w:val="00200FB3"/>
    <w:rsid w:val="002014B1"/>
    <w:rsid w:val="00202015"/>
    <w:rsid w:val="00202042"/>
    <w:rsid w:val="002020A7"/>
    <w:rsid w:val="002020B7"/>
    <w:rsid w:val="00202F27"/>
    <w:rsid w:val="002036D9"/>
    <w:rsid w:val="00203CC8"/>
    <w:rsid w:val="002041EE"/>
    <w:rsid w:val="0020470E"/>
    <w:rsid w:val="00204762"/>
    <w:rsid w:val="00204A56"/>
    <w:rsid w:val="00205291"/>
    <w:rsid w:val="0020536D"/>
    <w:rsid w:val="002054DD"/>
    <w:rsid w:val="0020592F"/>
    <w:rsid w:val="00205C79"/>
    <w:rsid w:val="00205CF4"/>
    <w:rsid w:val="002067CC"/>
    <w:rsid w:val="00206B0C"/>
    <w:rsid w:val="00206DCF"/>
    <w:rsid w:val="00206F67"/>
    <w:rsid w:val="00207322"/>
    <w:rsid w:val="002073B7"/>
    <w:rsid w:val="00207500"/>
    <w:rsid w:val="002075AE"/>
    <w:rsid w:val="00210346"/>
    <w:rsid w:val="002107C0"/>
    <w:rsid w:val="00210B6D"/>
    <w:rsid w:val="00210CA1"/>
    <w:rsid w:val="00211070"/>
    <w:rsid w:val="00211140"/>
    <w:rsid w:val="00211C64"/>
    <w:rsid w:val="00212D87"/>
    <w:rsid w:val="002133AA"/>
    <w:rsid w:val="002138FD"/>
    <w:rsid w:val="00213D93"/>
    <w:rsid w:val="00213DEB"/>
    <w:rsid w:val="00214138"/>
    <w:rsid w:val="002141E0"/>
    <w:rsid w:val="002142D7"/>
    <w:rsid w:val="0021456B"/>
    <w:rsid w:val="00214573"/>
    <w:rsid w:val="0021475D"/>
    <w:rsid w:val="002154E7"/>
    <w:rsid w:val="00215B9E"/>
    <w:rsid w:val="00215E19"/>
    <w:rsid w:val="00216525"/>
    <w:rsid w:val="00216BAA"/>
    <w:rsid w:val="00216CE2"/>
    <w:rsid w:val="00216EEE"/>
    <w:rsid w:val="002170C0"/>
    <w:rsid w:val="002171CE"/>
    <w:rsid w:val="00217D7D"/>
    <w:rsid w:val="00221991"/>
    <w:rsid w:val="002219D9"/>
    <w:rsid w:val="00221A14"/>
    <w:rsid w:val="00222277"/>
    <w:rsid w:val="002223D8"/>
    <w:rsid w:val="0022284B"/>
    <w:rsid w:val="00222AA7"/>
    <w:rsid w:val="00222B86"/>
    <w:rsid w:val="00223125"/>
    <w:rsid w:val="002232E0"/>
    <w:rsid w:val="0022367E"/>
    <w:rsid w:val="00223AC1"/>
    <w:rsid w:val="00223B6B"/>
    <w:rsid w:val="0022410C"/>
    <w:rsid w:val="00224161"/>
    <w:rsid w:val="002244FD"/>
    <w:rsid w:val="00224733"/>
    <w:rsid w:val="00225ADB"/>
    <w:rsid w:val="00225CBD"/>
    <w:rsid w:val="0022605E"/>
    <w:rsid w:val="00226102"/>
    <w:rsid w:val="0022641A"/>
    <w:rsid w:val="0022645D"/>
    <w:rsid w:val="002266D2"/>
    <w:rsid w:val="0022758B"/>
    <w:rsid w:val="002278F2"/>
    <w:rsid w:val="00227994"/>
    <w:rsid w:val="002279A8"/>
    <w:rsid w:val="00227D04"/>
    <w:rsid w:val="0023020B"/>
    <w:rsid w:val="0023045A"/>
    <w:rsid w:val="002308E0"/>
    <w:rsid w:val="002310B0"/>
    <w:rsid w:val="002313D8"/>
    <w:rsid w:val="002315AC"/>
    <w:rsid w:val="00231B4B"/>
    <w:rsid w:val="00231B6B"/>
    <w:rsid w:val="00231D0E"/>
    <w:rsid w:val="00232016"/>
    <w:rsid w:val="002324DD"/>
    <w:rsid w:val="00233338"/>
    <w:rsid w:val="002333C9"/>
    <w:rsid w:val="00233DC7"/>
    <w:rsid w:val="0023404B"/>
    <w:rsid w:val="002350F3"/>
    <w:rsid w:val="00235944"/>
    <w:rsid w:val="00235AB9"/>
    <w:rsid w:val="00235C47"/>
    <w:rsid w:val="00236658"/>
    <w:rsid w:val="0023679A"/>
    <w:rsid w:val="002369DA"/>
    <w:rsid w:val="00236A94"/>
    <w:rsid w:val="00236F54"/>
    <w:rsid w:val="00237C42"/>
    <w:rsid w:val="00237CB6"/>
    <w:rsid w:val="00237DF2"/>
    <w:rsid w:val="002408EE"/>
    <w:rsid w:val="00240967"/>
    <w:rsid w:val="00240EAE"/>
    <w:rsid w:val="002416A8"/>
    <w:rsid w:val="00242894"/>
    <w:rsid w:val="00243602"/>
    <w:rsid w:val="00243697"/>
    <w:rsid w:val="0024378D"/>
    <w:rsid w:val="00243D93"/>
    <w:rsid w:val="00243FAF"/>
    <w:rsid w:val="0024405D"/>
    <w:rsid w:val="002444E9"/>
    <w:rsid w:val="0024479D"/>
    <w:rsid w:val="002450AC"/>
    <w:rsid w:val="002451BA"/>
    <w:rsid w:val="00245EB1"/>
    <w:rsid w:val="0024615E"/>
    <w:rsid w:val="00246258"/>
    <w:rsid w:val="00246289"/>
    <w:rsid w:val="00246531"/>
    <w:rsid w:val="002468F2"/>
    <w:rsid w:val="00246BE6"/>
    <w:rsid w:val="002475B4"/>
    <w:rsid w:val="002475D2"/>
    <w:rsid w:val="00247779"/>
    <w:rsid w:val="00247948"/>
    <w:rsid w:val="00247EE9"/>
    <w:rsid w:val="00250888"/>
    <w:rsid w:val="002509B6"/>
    <w:rsid w:val="00250EDD"/>
    <w:rsid w:val="00250FFA"/>
    <w:rsid w:val="0025111D"/>
    <w:rsid w:val="002514E6"/>
    <w:rsid w:val="00251679"/>
    <w:rsid w:val="0025253C"/>
    <w:rsid w:val="0025264D"/>
    <w:rsid w:val="00252FEF"/>
    <w:rsid w:val="0025323D"/>
    <w:rsid w:val="002532E7"/>
    <w:rsid w:val="00253548"/>
    <w:rsid w:val="0025376B"/>
    <w:rsid w:val="00253A45"/>
    <w:rsid w:val="00254786"/>
    <w:rsid w:val="00254AFB"/>
    <w:rsid w:val="00254F44"/>
    <w:rsid w:val="002570F3"/>
    <w:rsid w:val="002575E4"/>
    <w:rsid w:val="00257946"/>
    <w:rsid w:val="00257958"/>
    <w:rsid w:val="00257BB3"/>
    <w:rsid w:val="00257CF5"/>
    <w:rsid w:val="00260326"/>
    <w:rsid w:val="00260E4A"/>
    <w:rsid w:val="00260E93"/>
    <w:rsid w:val="00261B19"/>
    <w:rsid w:val="00261C5C"/>
    <w:rsid w:val="00261E5D"/>
    <w:rsid w:val="002628BA"/>
    <w:rsid w:val="00262F05"/>
    <w:rsid w:val="00263335"/>
    <w:rsid w:val="002638F2"/>
    <w:rsid w:val="00263AE0"/>
    <w:rsid w:val="00263E8B"/>
    <w:rsid w:val="002641A4"/>
    <w:rsid w:val="00264297"/>
    <w:rsid w:val="00264E36"/>
    <w:rsid w:val="0026505C"/>
    <w:rsid w:val="0026528D"/>
    <w:rsid w:val="00265DC6"/>
    <w:rsid w:val="00265E09"/>
    <w:rsid w:val="00265E98"/>
    <w:rsid w:val="00266263"/>
    <w:rsid w:val="00266366"/>
    <w:rsid w:val="002663EE"/>
    <w:rsid w:val="002665F3"/>
    <w:rsid w:val="00266765"/>
    <w:rsid w:val="00266890"/>
    <w:rsid w:val="00266E1C"/>
    <w:rsid w:val="0026703A"/>
    <w:rsid w:val="00267373"/>
    <w:rsid w:val="002673C2"/>
    <w:rsid w:val="0026781B"/>
    <w:rsid w:val="002703AA"/>
    <w:rsid w:val="00270457"/>
    <w:rsid w:val="002704A4"/>
    <w:rsid w:val="0027095B"/>
    <w:rsid w:val="00270C6A"/>
    <w:rsid w:val="002719EE"/>
    <w:rsid w:val="00271AAD"/>
    <w:rsid w:val="00273181"/>
    <w:rsid w:val="00273372"/>
    <w:rsid w:val="002734AF"/>
    <w:rsid w:val="0027359C"/>
    <w:rsid w:val="00273B65"/>
    <w:rsid w:val="002743CE"/>
    <w:rsid w:val="0027450E"/>
    <w:rsid w:val="00275105"/>
    <w:rsid w:val="00275F86"/>
    <w:rsid w:val="00276FAE"/>
    <w:rsid w:val="00277361"/>
    <w:rsid w:val="00277D2F"/>
    <w:rsid w:val="00280215"/>
    <w:rsid w:val="002802CA"/>
    <w:rsid w:val="00280D8D"/>
    <w:rsid w:val="00281169"/>
    <w:rsid w:val="002813E8"/>
    <w:rsid w:val="00281678"/>
    <w:rsid w:val="00281758"/>
    <w:rsid w:val="002818BE"/>
    <w:rsid w:val="00282199"/>
    <w:rsid w:val="002826EC"/>
    <w:rsid w:val="0028348F"/>
    <w:rsid w:val="002834C0"/>
    <w:rsid w:val="00283E79"/>
    <w:rsid w:val="00283F2B"/>
    <w:rsid w:val="00283F5B"/>
    <w:rsid w:val="00284351"/>
    <w:rsid w:val="00284456"/>
    <w:rsid w:val="002845B3"/>
    <w:rsid w:val="00284A5D"/>
    <w:rsid w:val="00285BEE"/>
    <w:rsid w:val="00285D6B"/>
    <w:rsid w:val="00285D87"/>
    <w:rsid w:val="0028613C"/>
    <w:rsid w:val="00286E48"/>
    <w:rsid w:val="0028736C"/>
    <w:rsid w:val="00287625"/>
    <w:rsid w:val="00287BF6"/>
    <w:rsid w:val="002908F2"/>
    <w:rsid w:val="00290AFF"/>
    <w:rsid w:val="00291011"/>
    <w:rsid w:val="0029112B"/>
    <w:rsid w:val="0029120B"/>
    <w:rsid w:val="002912A7"/>
    <w:rsid w:val="0029137C"/>
    <w:rsid w:val="00291F85"/>
    <w:rsid w:val="00291FAE"/>
    <w:rsid w:val="00292170"/>
    <w:rsid w:val="00292334"/>
    <w:rsid w:val="00292A25"/>
    <w:rsid w:val="00292ADB"/>
    <w:rsid w:val="00292BB0"/>
    <w:rsid w:val="00292ECC"/>
    <w:rsid w:val="00292FDA"/>
    <w:rsid w:val="002930DF"/>
    <w:rsid w:val="00293233"/>
    <w:rsid w:val="00293634"/>
    <w:rsid w:val="00293DAF"/>
    <w:rsid w:val="00293EFF"/>
    <w:rsid w:val="0029417A"/>
    <w:rsid w:val="0029488D"/>
    <w:rsid w:val="002949C9"/>
    <w:rsid w:val="00294A85"/>
    <w:rsid w:val="00294F57"/>
    <w:rsid w:val="0029508B"/>
    <w:rsid w:val="0029533F"/>
    <w:rsid w:val="00295426"/>
    <w:rsid w:val="002954AD"/>
    <w:rsid w:val="0029564E"/>
    <w:rsid w:val="00295B19"/>
    <w:rsid w:val="00296375"/>
    <w:rsid w:val="002963A8"/>
    <w:rsid w:val="002963CD"/>
    <w:rsid w:val="00296AAB"/>
    <w:rsid w:val="00296B79"/>
    <w:rsid w:val="00297844"/>
    <w:rsid w:val="00297A29"/>
    <w:rsid w:val="00297F38"/>
    <w:rsid w:val="002A00EE"/>
    <w:rsid w:val="002A0152"/>
    <w:rsid w:val="002A015E"/>
    <w:rsid w:val="002A0270"/>
    <w:rsid w:val="002A1CBB"/>
    <w:rsid w:val="002A1CD6"/>
    <w:rsid w:val="002A1DC1"/>
    <w:rsid w:val="002A289F"/>
    <w:rsid w:val="002A29E5"/>
    <w:rsid w:val="002A2ED0"/>
    <w:rsid w:val="002A325F"/>
    <w:rsid w:val="002A34A6"/>
    <w:rsid w:val="002A3726"/>
    <w:rsid w:val="002A3DA4"/>
    <w:rsid w:val="002A3F95"/>
    <w:rsid w:val="002A40A2"/>
    <w:rsid w:val="002A437F"/>
    <w:rsid w:val="002A466B"/>
    <w:rsid w:val="002A46A6"/>
    <w:rsid w:val="002A47F8"/>
    <w:rsid w:val="002A4BFC"/>
    <w:rsid w:val="002A4D45"/>
    <w:rsid w:val="002A54B0"/>
    <w:rsid w:val="002A5632"/>
    <w:rsid w:val="002A5BA9"/>
    <w:rsid w:val="002A609F"/>
    <w:rsid w:val="002A6566"/>
    <w:rsid w:val="002A6582"/>
    <w:rsid w:val="002A66DA"/>
    <w:rsid w:val="002A6734"/>
    <w:rsid w:val="002A6902"/>
    <w:rsid w:val="002A6BCD"/>
    <w:rsid w:val="002A6CB9"/>
    <w:rsid w:val="002A6F2D"/>
    <w:rsid w:val="002A70B4"/>
    <w:rsid w:val="002A778A"/>
    <w:rsid w:val="002A7ADA"/>
    <w:rsid w:val="002A7E7B"/>
    <w:rsid w:val="002B029A"/>
    <w:rsid w:val="002B0ADB"/>
    <w:rsid w:val="002B0B8B"/>
    <w:rsid w:val="002B123F"/>
    <w:rsid w:val="002B12DD"/>
    <w:rsid w:val="002B1463"/>
    <w:rsid w:val="002B1784"/>
    <w:rsid w:val="002B1B67"/>
    <w:rsid w:val="002B1F1F"/>
    <w:rsid w:val="002B2333"/>
    <w:rsid w:val="002B23AF"/>
    <w:rsid w:val="002B2A24"/>
    <w:rsid w:val="002B2DF7"/>
    <w:rsid w:val="002B30AF"/>
    <w:rsid w:val="002B3712"/>
    <w:rsid w:val="002B37CA"/>
    <w:rsid w:val="002B38C5"/>
    <w:rsid w:val="002B395B"/>
    <w:rsid w:val="002B43BC"/>
    <w:rsid w:val="002B48DE"/>
    <w:rsid w:val="002B558A"/>
    <w:rsid w:val="002B57CB"/>
    <w:rsid w:val="002B613B"/>
    <w:rsid w:val="002B6241"/>
    <w:rsid w:val="002B6D0D"/>
    <w:rsid w:val="002B6E4F"/>
    <w:rsid w:val="002B6F19"/>
    <w:rsid w:val="002B6F80"/>
    <w:rsid w:val="002B7B1E"/>
    <w:rsid w:val="002B7E26"/>
    <w:rsid w:val="002B7EAC"/>
    <w:rsid w:val="002C00AB"/>
    <w:rsid w:val="002C039A"/>
    <w:rsid w:val="002C06EB"/>
    <w:rsid w:val="002C0BD2"/>
    <w:rsid w:val="002C0CDF"/>
    <w:rsid w:val="002C27A8"/>
    <w:rsid w:val="002C2E46"/>
    <w:rsid w:val="002C2F50"/>
    <w:rsid w:val="002C2F9B"/>
    <w:rsid w:val="002C3654"/>
    <w:rsid w:val="002C36DD"/>
    <w:rsid w:val="002C393B"/>
    <w:rsid w:val="002C4002"/>
    <w:rsid w:val="002C423A"/>
    <w:rsid w:val="002C431F"/>
    <w:rsid w:val="002C50DB"/>
    <w:rsid w:val="002C63AD"/>
    <w:rsid w:val="002C67C7"/>
    <w:rsid w:val="002C6BAF"/>
    <w:rsid w:val="002C7815"/>
    <w:rsid w:val="002C7B53"/>
    <w:rsid w:val="002C7BC7"/>
    <w:rsid w:val="002C7BFA"/>
    <w:rsid w:val="002D00A8"/>
    <w:rsid w:val="002D03EF"/>
    <w:rsid w:val="002D0BF8"/>
    <w:rsid w:val="002D1295"/>
    <w:rsid w:val="002D14EA"/>
    <w:rsid w:val="002D1B52"/>
    <w:rsid w:val="002D2040"/>
    <w:rsid w:val="002D2A0D"/>
    <w:rsid w:val="002D2FCB"/>
    <w:rsid w:val="002D2FE6"/>
    <w:rsid w:val="002D31DC"/>
    <w:rsid w:val="002D34C9"/>
    <w:rsid w:val="002D355C"/>
    <w:rsid w:val="002D3639"/>
    <w:rsid w:val="002D382B"/>
    <w:rsid w:val="002D3AB9"/>
    <w:rsid w:val="002D3B09"/>
    <w:rsid w:val="002D3B40"/>
    <w:rsid w:val="002D3F46"/>
    <w:rsid w:val="002D41BA"/>
    <w:rsid w:val="002D459B"/>
    <w:rsid w:val="002D4FD1"/>
    <w:rsid w:val="002D593E"/>
    <w:rsid w:val="002D7043"/>
    <w:rsid w:val="002D774D"/>
    <w:rsid w:val="002E03B0"/>
    <w:rsid w:val="002E0640"/>
    <w:rsid w:val="002E0962"/>
    <w:rsid w:val="002E0D07"/>
    <w:rsid w:val="002E1178"/>
    <w:rsid w:val="002E1562"/>
    <w:rsid w:val="002E1BAA"/>
    <w:rsid w:val="002E1FA3"/>
    <w:rsid w:val="002E2446"/>
    <w:rsid w:val="002E2541"/>
    <w:rsid w:val="002E290A"/>
    <w:rsid w:val="002E2A63"/>
    <w:rsid w:val="002E3001"/>
    <w:rsid w:val="002E363D"/>
    <w:rsid w:val="002E3C1C"/>
    <w:rsid w:val="002E45B5"/>
    <w:rsid w:val="002E4620"/>
    <w:rsid w:val="002E46B7"/>
    <w:rsid w:val="002E4764"/>
    <w:rsid w:val="002E47D8"/>
    <w:rsid w:val="002E4AEE"/>
    <w:rsid w:val="002E4B69"/>
    <w:rsid w:val="002E4B94"/>
    <w:rsid w:val="002E4EE3"/>
    <w:rsid w:val="002E52FA"/>
    <w:rsid w:val="002E5439"/>
    <w:rsid w:val="002E5854"/>
    <w:rsid w:val="002E5915"/>
    <w:rsid w:val="002E5C72"/>
    <w:rsid w:val="002E5D9C"/>
    <w:rsid w:val="002E6295"/>
    <w:rsid w:val="002E653F"/>
    <w:rsid w:val="002E672D"/>
    <w:rsid w:val="002E68A5"/>
    <w:rsid w:val="002E6A94"/>
    <w:rsid w:val="002E6B08"/>
    <w:rsid w:val="002E6DBC"/>
    <w:rsid w:val="002E6DBE"/>
    <w:rsid w:val="002E7476"/>
    <w:rsid w:val="002E752E"/>
    <w:rsid w:val="002E77AC"/>
    <w:rsid w:val="002E786C"/>
    <w:rsid w:val="002F0961"/>
    <w:rsid w:val="002F0BFE"/>
    <w:rsid w:val="002F0C62"/>
    <w:rsid w:val="002F0FF2"/>
    <w:rsid w:val="002F1321"/>
    <w:rsid w:val="002F14FC"/>
    <w:rsid w:val="002F1660"/>
    <w:rsid w:val="002F18DC"/>
    <w:rsid w:val="002F1987"/>
    <w:rsid w:val="002F1B03"/>
    <w:rsid w:val="002F1C2B"/>
    <w:rsid w:val="002F1DD9"/>
    <w:rsid w:val="002F2100"/>
    <w:rsid w:val="002F22A4"/>
    <w:rsid w:val="002F2DA0"/>
    <w:rsid w:val="002F39BF"/>
    <w:rsid w:val="002F4128"/>
    <w:rsid w:val="002F42F3"/>
    <w:rsid w:val="002F4890"/>
    <w:rsid w:val="002F5451"/>
    <w:rsid w:val="002F574E"/>
    <w:rsid w:val="002F5751"/>
    <w:rsid w:val="002F63C4"/>
    <w:rsid w:val="002F6B7B"/>
    <w:rsid w:val="002F6D2C"/>
    <w:rsid w:val="002F74EC"/>
    <w:rsid w:val="002F7905"/>
    <w:rsid w:val="002F7B34"/>
    <w:rsid w:val="00300647"/>
    <w:rsid w:val="003006DA"/>
    <w:rsid w:val="00301A66"/>
    <w:rsid w:val="00301B66"/>
    <w:rsid w:val="00302188"/>
    <w:rsid w:val="003021CA"/>
    <w:rsid w:val="003022C9"/>
    <w:rsid w:val="003024A3"/>
    <w:rsid w:val="0030259E"/>
    <w:rsid w:val="00302897"/>
    <w:rsid w:val="003030F4"/>
    <w:rsid w:val="003031A7"/>
    <w:rsid w:val="0030348A"/>
    <w:rsid w:val="003034CE"/>
    <w:rsid w:val="00303BAE"/>
    <w:rsid w:val="00303D34"/>
    <w:rsid w:val="00303EC0"/>
    <w:rsid w:val="003049AF"/>
    <w:rsid w:val="00304B6E"/>
    <w:rsid w:val="00304E85"/>
    <w:rsid w:val="00304EF3"/>
    <w:rsid w:val="0030511D"/>
    <w:rsid w:val="0030576C"/>
    <w:rsid w:val="0030597E"/>
    <w:rsid w:val="003059A7"/>
    <w:rsid w:val="00305EDF"/>
    <w:rsid w:val="003062F5"/>
    <w:rsid w:val="00306C89"/>
    <w:rsid w:val="00306DBD"/>
    <w:rsid w:val="003072E5"/>
    <w:rsid w:val="0030758E"/>
    <w:rsid w:val="00307605"/>
    <w:rsid w:val="00307BCF"/>
    <w:rsid w:val="00307E2F"/>
    <w:rsid w:val="00310419"/>
    <w:rsid w:val="003105A7"/>
    <w:rsid w:val="003106FE"/>
    <w:rsid w:val="00310B91"/>
    <w:rsid w:val="003110B5"/>
    <w:rsid w:val="0031165B"/>
    <w:rsid w:val="00311CA0"/>
    <w:rsid w:val="00311F0C"/>
    <w:rsid w:val="0031236B"/>
    <w:rsid w:val="003123C9"/>
    <w:rsid w:val="00312449"/>
    <w:rsid w:val="003125C9"/>
    <w:rsid w:val="00312E2F"/>
    <w:rsid w:val="003132A5"/>
    <w:rsid w:val="00313431"/>
    <w:rsid w:val="003137C0"/>
    <w:rsid w:val="00313C01"/>
    <w:rsid w:val="00313EB6"/>
    <w:rsid w:val="00314936"/>
    <w:rsid w:val="00314DE3"/>
    <w:rsid w:val="00314FDB"/>
    <w:rsid w:val="003150E7"/>
    <w:rsid w:val="00315710"/>
    <w:rsid w:val="0031571C"/>
    <w:rsid w:val="003161AF"/>
    <w:rsid w:val="0031640A"/>
    <w:rsid w:val="00316849"/>
    <w:rsid w:val="00316E98"/>
    <w:rsid w:val="0031769D"/>
    <w:rsid w:val="003178A7"/>
    <w:rsid w:val="00317A46"/>
    <w:rsid w:val="00317C78"/>
    <w:rsid w:val="00317D90"/>
    <w:rsid w:val="00317DAD"/>
    <w:rsid w:val="00317E4E"/>
    <w:rsid w:val="00317F0D"/>
    <w:rsid w:val="00320DA4"/>
    <w:rsid w:val="00320F21"/>
    <w:rsid w:val="00321827"/>
    <w:rsid w:val="00321C3B"/>
    <w:rsid w:val="003220D5"/>
    <w:rsid w:val="003221A1"/>
    <w:rsid w:val="003221CB"/>
    <w:rsid w:val="003228C9"/>
    <w:rsid w:val="0032295F"/>
    <w:rsid w:val="003237C0"/>
    <w:rsid w:val="0032456B"/>
    <w:rsid w:val="0032482D"/>
    <w:rsid w:val="003249CE"/>
    <w:rsid w:val="00324C03"/>
    <w:rsid w:val="0032525C"/>
    <w:rsid w:val="003252AD"/>
    <w:rsid w:val="00325454"/>
    <w:rsid w:val="0032548F"/>
    <w:rsid w:val="00325761"/>
    <w:rsid w:val="00325B6D"/>
    <w:rsid w:val="00325E0A"/>
    <w:rsid w:val="00325E82"/>
    <w:rsid w:val="00326293"/>
    <w:rsid w:val="003265D0"/>
    <w:rsid w:val="00326980"/>
    <w:rsid w:val="00326B49"/>
    <w:rsid w:val="00326E7B"/>
    <w:rsid w:val="0032788A"/>
    <w:rsid w:val="003278BE"/>
    <w:rsid w:val="00327D90"/>
    <w:rsid w:val="00327EB4"/>
    <w:rsid w:val="0033075B"/>
    <w:rsid w:val="00331471"/>
    <w:rsid w:val="003315CC"/>
    <w:rsid w:val="0033165B"/>
    <w:rsid w:val="0033173C"/>
    <w:rsid w:val="003323CA"/>
    <w:rsid w:val="003325C8"/>
    <w:rsid w:val="0033266A"/>
    <w:rsid w:val="00332D0A"/>
    <w:rsid w:val="003332CD"/>
    <w:rsid w:val="0033344A"/>
    <w:rsid w:val="00333D5D"/>
    <w:rsid w:val="00333D60"/>
    <w:rsid w:val="00334400"/>
    <w:rsid w:val="0033484D"/>
    <w:rsid w:val="00335134"/>
    <w:rsid w:val="0033566A"/>
    <w:rsid w:val="00335786"/>
    <w:rsid w:val="00335E0F"/>
    <w:rsid w:val="003360C6"/>
    <w:rsid w:val="003368FD"/>
    <w:rsid w:val="00336D3B"/>
    <w:rsid w:val="00336ED4"/>
    <w:rsid w:val="003372E5"/>
    <w:rsid w:val="003376D9"/>
    <w:rsid w:val="00337E53"/>
    <w:rsid w:val="00340137"/>
    <w:rsid w:val="00340583"/>
    <w:rsid w:val="00340CAB"/>
    <w:rsid w:val="00341481"/>
    <w:rsid w:val="00341673"/>
    <w:rsid w:val="003421E2"/>
    <w:rsid w:val="003426AA"/>
    <w:rsid w:val="00342E0E"/>
    <w:rsid w:val="0034357D"/>
    <w:rsid w:val="003435D5"/>
    <w:rsid w:val="003436AA"/>
    <w:rsid w:val="00343793"/>
    <w:rsid w:val="00343B39"/>
    <w:rsid w:val="00343E15"/>
    <w:rsid w:val="0034400E"/>
    <w:rsid w:val="003440A8"/>
    <w:rsid w:val="00344114"/>
    <w:rsid w:val="0034447A"/>
    <w:rsid w:val="003449DA"/>
    <w:rsid w:val="00344AD0"/>
    <w:rsid w:val="00344C74"/>
    <w:rsid w:val="00344F69"/>
    <w:rsid w:val="003451BC"/>
    <w:rsid w:val="00345F3A"/>
    <w:rsid w:val="00345F77"/>
    <w:rsid w:val="003461E9"/>
    <w:rsid w:val="0034648A"/>
    <w:rsid w:val="003467E0"/>
    <w:rsid w:val="00346CED"/>
    <w:rsid w:val="00346E92"/>
    <w:rsid w:val="00347126"/>
    <w:rsid w:val="0034746E"/>
    <w:rsid w:val="0034782A"/>
    <w:rsid w:val="00347EDC"/>
    <w:rsid w:val="00350528"/>
    <w:rsid w:val="00350550"/>
    <w:rsid w:val="00350B7C"/>
    <w:rsid w:val="00350D4E"/>
    <w:rsid w:val="00350EA6"/>
    <w:rsid w:val="00351276"/>
    <w:rsid w:val="0035134A"/>
    <w:rsid w:val="00351584"/>
    <w:rsid w:val="0035165B"/>
    <w:rsid w:val="00351991"/>
    <w:rsid w:val="00352B3A"/>
    <w:rsid w:val="00352DC2"/>
    <w:rsid w:val="0035343C"/>
    <w:rsid w:val="003535BB"/>
    <w:rsid w:val="003535E1"/>
    <w:rsid w:val="00353602"/>
    <w:rsid w:val="00353F17"/>
    <w:rsid w:val="00354029"/>
    <w:rsid w:val="00354700"/>
    <w:rsid w:val="00354A76"/>
    <w:rsid w:val="00354C8F"/>
    <w:rsid w:val="00354E9B"/>
    <w:rsid w:val="00355203"/>
    <w:rsid w:val="003554D7"/>
    <w:rsid w:val="00355535"/>
    <w:rsid w:val="00356101"/>
    <w:rsid w:val="003563C0"/>
    <w:rsid w:val="003567DF"/>
    <w:rsid w:val="00356AAD"/>
    <w:rsid w:val="00356B97"/>
    <w:rsid w:val="00357301"/>
    <w:rsid w:val="00357458"/>
    <w:rsid w:val="003579CE"/>
    <w:rsid w:val="003600FE"/>
    <w:rsid w:val="00360550"/>
    <w:rsid w:val="0036078D"/>
    <w:rsid w:val="0036084C"/>
    <w:rsid w:val="003609FA"/>
    <w:rsid w:val="00360A3E"/>
    <w:rsid w:val="00360C92"/>
    <w:rsid w:val="00360FAD"/>
    <w:rsid w:val="0036133A"/>
    <w:rsid w:val="00361635"/>
    <w:rsid w:val="003617FF"/>
    <w:rsid w:val="0036183D"/>
    <w:rsid w:val="003628BC"/>
    <w:rsid w:val="00362AA6"/>
    <w:rsid w:val="00363EAB"/>
    <w:rsid w:val="00364072"/>
    <w:rsid w:val="003654EF"/>
    <w:rsid w:val="003665E1"/>
    <w:rsid w:val="003669AB"/>
    <w:rsid w:val="00367644"/>
    <w:rsid w:val="00367A88"/>
    <w:rsid w:val="00367D86"/>
    <w:rsid w:val="00367E9B"/>
    <w:rsid w:val="00370058"/>
    <w:rsid w:val="00370949"/>
    <w:rsid w:val="00370ADE"/>
    <w:rsid w:val="00370C8A"/>
    <w:rsid w:val="0037158E"/>
    <w:rsid w:val="00372133"/>
    <w:rsid w:val="00372457"/>
    <w:rsid w:val="00373909"/>
    <w:rsid w:val="00373E1B"/>
    <w:rsid w:val="00373E9E"/>
    <w:rsid w:val="003740FF"/>
    <w:rsid w:val="00374A5D"/>
    <w:rsid w:val="00374CF1"/>
    <w:rsid w:val="003755B1"/>
    <w:rsid w:val="003756B3"/>
    <w:rsid w:val="00375964"/>
    <w:rsid w:val="00375E47"/>
    <w:rsid w:val="003760AC"/>
    <w:rsid w:val="00376F50"/>
    <w:rsid w:val="00377554"/>
    <w:rsid w:val="003777C4"/>
    <w:rsid w:val="00377AD9"/>
    <w:rsid w:val="00377D1C"/>
    <w:rsid w:val="00380707"/>
    <w:rsid w:val="00380E68"/>
    <w:rsid w:val="00380ED6"/>
    <w:rsid w:val="00381023"/>
    <w:rsid w:val="00381708"/>
    <w:rsid w:val="00381A16"/>
    <w:rsid w:val="00382405"/>
    <w:rsid w:val="0038272B"/>
    <w:rsid w:val="003829E8"/>
    <w:rsid w:val="00382BE5"/>
    <w:rsid w:val="003830D9"/>
    <w:rsid w:val="003831F9"/>
    <w:rsid w:val="00383870"/>
    <w:rsid w:val="00384101"/>
    <w:rsid w:val="0038455F"/>
    <w:rsid w:val="00384DEB"/>
    <w:rsid w:val="00384F64"/>
    <w:rsid w:val="003852A6"/>
    <w:rsid w:val="003852AA"/>
    <w:rsid w:val="003854C5"/>
    <w:rsid w:val="003859FB"/>
    <w:rsid w:val="00385B51"/>
    <w:rsid w:val="00385D2E"/>
    <w:rsid w:val="00386632"/>
    <w:rsid w:val="00386995"/>
    <w:rsid w:val="00386B80"/>
    <w:rsid w:val="00386BAA"/>
    <w:rsid w:val="0038700F"/>
    <w:rsid w:val="0038755C"/>
    <w:rsid w:val="00387D1E"/>
    <w:rsid w:val="0039004D"/>
    <w:rsid w:val="003907FB"/>
    <w:rsid w:val="003908F4"/>
    <w:rsid w:val="003909DD"/>
    <w:rsid w:val="00390E66"/>
    <w:rsid w:val="00391058"/>
    <w:rsid w:val="0039113F"/>
    <w:rsid w:val="00391233"/>
    <w:rsid w:val="00391500"/>
    <w:rsid w:val="00391C50"/>
    <w:rsid w:val="00391F42"/>
    <w:rsid w:val="003924DA"/>
    <w:rsid w:val="00392689"/>
    <w:rsid w:val="00392770"/>
    <w:rsid w:val="00392A4F"/>
    <w:rsid w:val="00392EA2"/>
    <w:rsid w:val="0039304B"/>
    <w:rsid w:val="003934B8"/>
    <w:rsid w:val="00393960"/>
    <w:rsid w:val="00393E56"/>
    <w:rsid w:val="00393EA7"/>
    <w:rsid w:val="00393F35"/>
    <w:rsid w:val="003944AC"/>
    <w:rsid w:val="00395CED"/>
    <w:rsid w:val="00396B4E"/>
    <w:rsid w:val="00396F89"/>
    <w:rsid w:val="003976AB"/>
    <w:rsid w:val="003977D9"/>
    <w:rsid w:val="00397916"/>
    <w:rsid w:val="00397FF9"/>
    <w:rsid w:val="003A0A91"/>
    <w:rsid w:val="003A0B0E"/>
    <w:rsid w:val="003A17E4"/>
    <w:rsid w:val="003A2347"/>
    <w:rsid w:val="003A2DC5"/>
    <w:rsid w:val="003A3095"/>
    <w:rsid w:val="003A37B3"/>
    <w:rsid w:val="003A3E48"/>
    <w:rsid w:val="003A3EE7"/>
    <w:rsid w:val="003A406D"/>
    <w:rsid w:val="003A429F"/>
    <w:rsid w:val="003A48BC"/>
    <w:rsid w:val="003A499D"/>
    <w:rsid w:val="003A4D68"/>
    <w:rsid w:val="003A52E8"/>
    <w:rsid w:val="003A5F41"/>
    <w:rsid w:val="003A6210"/>
    <w:rsid w:val="003A65AC"/>
    <w:rsid w:val="003A68A6"/>
    <w:rsid w:val="003A6B3A"/>
    <w:rsid w:val="003A6F2E"/>
    <w:rsid w:val="003A6FC6"/>
    <w:rsid w:val="003A70A8"/>
    <w:rsid w:val="003A7482"/>
    <w:rsid w:val="003B024E"/>
    <w:rsid w:val="003B0770"/>
    <w:rsid w:val="003B13C5"/>
    <w:rsid w:val="003B1763"/>
    <w:rsid w:val="003B2659"/>
    <w:rsid w:val="003B2D02"/>
    <w:rsid w:val="003B2E41"/>
    <w:rsid w:val="003B32A1"/>
    <w:rsid w:val="003B43E8"/>
    <w:rsid w:val="003B4585"/>
    <w:rsid w:val="003B45AC"/>
    <w:rsid w:val="003B4793"/>
    <w:rsid w:val="003B49C6"/>
    <w:rsid w:val="003B4D7A"/>
    <w:rsid w:val="003B54AF"/>
    <w:rsid w:val="003B6B4E"/>
    <w:rsid w:val="003B6D4E"/>
    <w:rsid w:val="003B7524"/>
    <w:rsid w:val="003C0091"/>
    <w:rsid w:val="003C038F"/>
    <w:rsid w:val="003C03D0"/>
    <w:rsid w:val="003C0499"/>
    <w:rsid w:val="003C19D2"/>
    <w:rsid w:val="003C1B7A"/>
    <w:rsid w:val="003C1C4E"/>
    <w:rsid w:val="003C1D84"/>
    <w:rsid w:val="003C1E7C"/>
    <w:rsid w:val="003C1EB4"/>
    <w:rsid w:val="003C22BE"/>
    <w:rsid w:val="003C266D"/>
    <w:rsid w:val="003C28D1"/>
    <w:rsid w:val="003C2E2E"/>
    <w:rsid w:val="003C35A7"/>
    <w:rsid w:val="003C36E0"/>
    <w:rsid w:val="003C3F0B"/>
    <w:rsid w:val="003C4995"/>
    <w:rsid w:val="003C4A01"/>
    <w:rsid w:val="003C4B34"/>
    <w:rsid w:val="003C4CDC"/>
    <w:rsid w:val="003C4DF7"/>
    <w:rsid w:val="003C50A8"/>
    <w:rsid w:val="003C590E"/>
    <w:rsid w:val="003C648D"/>
    <w:rsid w:val="003C6778"/>
    <w:rsid w:val="003C7730"/>
    <w:rsid w:val="003C777C"/>
    <w:rsid w:val="003C7809"/>
    <w:rsid w:val="003D00E3"/>
    <w:rsid w:val="003D0172"/>
    <w:rsid w:val="003D0C96"/>
    <w:rsid w:val="003D0DDF"/>
    <w:rsid w:val="003D119B"/>
    <w:rsid w:val="003D166E"/>
    <w:rsid w:val="003D1974"/>
    <w:rsid w:val="003D3570"/>
    <w:rsid w:val="003D3743"/>
    <w:rsid w:val="003D399A"/>
    <w:rsid w:val="003D45AC"/>
    <w:rsid w:val="003D4730"/>
    <w:rsid w:val="003D5676"/>
    <w:rsid w:val="003D5914"/>
    <w:rsid w:val="003D5BB3"/>
    <w:rsid w:val="003D5BE2"/>
    <w:rsid w:val="003D5D25"/>
    <w:rsid w:val="003D5E12"/>
    <w:rsid w:val="003D6328"/>
    <w:rsid w:val="003D6DD9"/>
    <w:rsid w:val="003D6F92"/>
    <w:rsid w:val="003D75C4"/>
    <w:rsid w:val="003D79B5"/>
    <w:rsid w:val="003E00A5"/>
    <w:rsid w:val="003E01FF"/>
    <w:rsid w:val="003E07EE"/>
    <w:rsid w:val="003E0BB5"/>
    <w:rsid w:val="003E0D6A"/>
    <w:rsid w:val="003E0EC0"/>
    <w:rsid w:val="003E1956"/>
    <w:rsid w:val="003E1C81"/>
    <w:rsid w:val="003E2436"/>
    <w:rsid w:val="003E2875"/>
    <w:rsid w:val="003E2DF5"/>
    <w:rsid w:val="003E2E63"/>
    <w:rsid w:val="003E2FCD"/>
    <w:rsid w:val="003E368C"/>
    <w:rsid w:val="003E41FF"/>
    <w:rsid w:val="003E424B"/>
    <w:rsid w:val="003E4491"/>
    <w:rsid w:val="003E4D87"/>
    <w:rsid w:val="003E4DCC"/>
    <w:rsid w:val="003E4E3A"/>
    <w:rsid w:val="003E5507"/>
    <w:rsid w:val="003E566D"/>
    <w:rsid w:val="003E650B"/>
    <w:rsid w:val="003E6550"/>
    <w:rsid w:val="003E66D4"/>
    <w:rsid w:val="003E6A2D"/>
    <w:rsid w:val="003E6F0D"/>
    <w:rsid w:val="003E7191"/>
    <w:rsid w:val="003E72A3"/>
    <w:rsid w:val="003E7621"/>
    <w:rsid w:val="003E785F"/>
    <w:rsid w:val="003E7860"/>
    <w:rsid w:val="003E7E67"/>
    <w:rsid w:val="003F1136"/>
    <w:rsid w:val="003F1AB4"/>
    <w:rsid w:val="003F1CB6"/>
    <w:rsid w:val="003F24CA"/>
    <w:rsid w:val="003F2585"/>
    <w:rsid w:val="003F29ED"/>
    <w:rsid w:val="003F3292"/>
    <w:rsid w:val="003F4D4C"/>
    <w:rsid w:val="003F5120"/>
    <w:rsid w:val="003F524E"/>
    <w:rsid w:val="003F538F"/>
    <w:rsid w:val="003F59FD"/>
    <w:rsid w:val="003F6142"/>
    <w:rsid w:val="003F62C5"/>
    <w:rsid w:val="003F6432"/>
    <w:rsid w:val="003F6764"/>
    <w:rsid w:val="003F67EE"/>
    <w:rsid w:val="003F6DE9"/>
    <w:rsid w:val="003F7D27"/>
    <w:rsid w:val="0040094B"/>
    <w:rsid w:val="00400EEE"/>
    <w:rsid w:val="00401156"/>
    <w:rsid w:val="00401268"/>
    <w:rsid w:val="00401E49"/>
    <w:rsid w:val="004028D4"/>
    <w:rsid w:val="004029DC"/>
    <w:rsid w:val="004043F3"/>
    <w:rsid w:val="00404645"/>
    <w:rsid w:val="004047A2"/>
    <w:rsid w:val="00404838"/>
    <w:rsid w:val="00404B64"/>
    <w:rsid w:val="00404C38"/>
    <w:rsid w:val="00404DBF"/>
    <w:rsid w:val="00405131"/>
    <w:rsid w:val="00405241"/>
    <w:rsid w:val="004059FF"/>
    <w:rsid w:val="00405F74"/>
    <w:rsid w:val="00406660"/>
    <w:rsid w:val="00406ACF"/>
    <w:rsid w:val="00406E60"/>
    <w:rsid w:val="0040720D"/>
    <w:rsid w:val="0040722C"/>
    <w:rsid w:val="00407AB5"/>
    <w:rsid w:val="00407CCC"/>
    <w:rsid w:val="00407D4D"/>
    <w:rsid w:val="004113ED"/>
    <w:rsid w:val="0041178F"/>
    <w:rsid w:val="0041207F"/>
    <w:rsid w:val="00412125"/>
    <w:rsid w:val="00412281"/>
    <w:rsid w:val="004125A1"/>
    <w:rsid w:val="004125FB"/>
    <w:rsid w:val="00412946"/>
    <w:rsid w:val="00412EFB"/>
    <w:rsid w:val="00413EAF"/>
    <w:rsid w:val="0041447C"/>
    <w:rsid w:val="00414DE0"/>
    <w:rsid w:val="00414EA7"/>
    <w:rsid w:val="00415EEE"/>
    <w:rsid w:val="004160AB"/>
    <w:rsid w:val="0041625B"/>
    <w:rsid w:val="00416B7E"/>
    <w:rsid w:val="00416C69"/>
    <w:rsid w:val="00416FD7"/>
    <w:rsid w:val="0041701E"/>
    <w:rsid w:val="00417440"/>
    <w:rsid w:val="004176D4"/>
    <w:rsid w:val="00417CF5"/>
    <w:rsid w:val="00417D5E"/>
    <w:rsid w:val="004206BD"/>
    <w:rsid w:val="00420713"/>
    <w:rsid w:val="00421C5D"/>
    <w:rsid w:val="00421CBA"/>
    <w:rsid w:val="00421CCB"/>
    <w:rsid w:val="00421E6C"/>
    <w:rsid w:val="0042320B"/>
    <w:rsid w:val="00423B1F"/>
    <w:rsid w:val="00423DBB"/>
    <w:rsid w:val="0042414B"/>
    <w:rsid w:val="004246B0"/>
    <w:rsid w:val="00424942"/>
    <w:rsid w:val="00424CF5"/>
    <w:rsid w:val="0042523E"/>
    <w:rsid w:val="004252CF"/>
    <w:rsid w:val="00425BC2"/>
    <w:rsid w:val="0042648E"/>
    <w:rsid w:val="0042682A"/>
    <w:rsid w:val="00426998"/>
    <w:rsid w:val="00426DE0"/>
    <w:rsid w:val="004278A4"/>
    <w:rsid w:val="00427A4C"/>
    <w:rsid w:val="00427E17"/>
    <w:rsid w:val="00427E83"/>
    <w:rsid w:val="00427F34"/>
    <w:rsid w:val="00430239"/>
    <w:rsid w:val="004303C0"/>
    <w:rsid w:val="00430650"/>
    <w:rsid w:val="004308DC"/>
    <w:rsid w:val="00430D74"/>
    <w:rsid w:val="00431177"/>
    <w:rsid w:val="00431B18"/>
    <w:rsid w:val="00431DBD"/>
    <w:rsid w:val="00431E2A"/>
    <w:rsid w:val="004322D7"/>
    <w:rsid w:val="00432775"/>
    <w:rsid w:val="004329AB"/>
    <w:rsid w:val="00432E99"/>
    <w:rsid w:val="00433437"/>
    <w:rsid w:val="004334D5"/>
    <w:rsid w:val="00433726"/>
    <w:rsid w:val="00433E12"/>
    <w:rsid w:val="00433F4E"/>
    <w:rsid w:val="00434345"/>
    <w:rsid w:val="004344E8"/>
    <w:rsid w:val="0043476B"/>
    <w:rsid w:val="00434AC3"/>
    <w:rsid w:val="00434C2B"/>
    <w:rsid w:val="00434E6E"/>
    <w:rsid w:val="0043504C"/>
    <w:rsid w:val="0043570D"/>
    <w:rsid w:val="00435771"/>
    <w:rsid w:val="0043588E"/>
    <w:rsid w:val="00435BDF"/>
    <w:rsid w:val="00435DBA"/>
    <w:rsid w:val="004360A1"/>
    <w:rsid w:val="0043685C"/>
    <w:rsid w:val="004372B9"/>
    <w:rsid w:val="004375CA"/>
    <w:rsid w:val="00437D29"/>
    <w:rsid w:val="00437DEB"/>
    <w:rsid w:val="00437DF1"/>
    <w:rsid w:val="00440443"/>
    <w:rsid w:val="00440891"/>
    <w:rsid w:val="00441134"/>
    <w:rsid w:val="0044129F"/>
    <w:rsid w:val="0044168C"/>
    <w:rsid w:val="00441E01"/>
    <w:rsid w:val="00441E75"/>
    <w:rsid w:val="0044206D"/>
    <w:rsid w:val="00442347"/>
    <w:rsid w:val="00442757"/>
    <w:rsid w:val="004427AA"/>
    <w:rsid w:val="00443040"/>
    <w:rsid w:val="004430EB"/>
    <w:rsid w:val="00443290"/>
    <w:rsid w:val="00443651"/>
    <w:rsid w:val="00443BC8"/>
    <w:rsid w:val="0044402F"/>
    <w:rsid w:val="00444105"/>
    <w:rsid w:val="00444335"/>
    <w:rsid w:val="0044498A"/>
    <w:rsid w:val="00444DC8"/>
    <w:rsid w:val="00445471"/>
    <w:rsid w:val="00445D2B"/>
    <w:rsid w:val="0044602E"/>
    <w:rsid w:val="00446A71"/>
    <w:rsid w:val="00446C44"/>
    <w:rsid w:val="00446DFA"/>
    <w:rsid w:val="004470E8"/>
    <w:rsid w:val="00447C47"/>
    <w:rsid w:val="00447C8B"/>
    <w:rsid w:val="00450052"/>
    <w:rsid w:val="004500B3"/>
    <w:rsid w:val="0045010B"/>
    <w:rsid w:val="00450750"/>
    <w:rsid w:val="00450916"/>
    <w:rsid w:val="004509F8"/>
    <w:rsid w:val="00450C33"/>
    <w:rsid w:val="00450CF9"/>
    <w:rsid w:val="00451245"/>
    <w:rsid w:val="00451520"/>
    <w:rsid w:val="004519DA"/>
    <w:rsid w:val="00451A49"/>
    <w:rsid w:val="00451CC8"/>
    <w:rsid w:val="00451CE2"/>
    <w:rsid w:val="00452492"/>
    <w:rsid w:val="004531E6"/>
    <w:rsid w:val="004535C3"/>
    <w:rsid w:val="00453708"/>
    <w:rsid w:val="00454076"/>
    <w:rsid w:val="00454255"/>
    <w:rsid w:val="00454336"/>
    <w:rsid w:val="004547AC"/>
    <w:rsid w:val="00454947"/>
    <w:rsid w:val="00454BE4"/>
    <w:rsid w:val="00454BF4"/>
    <w:rsid w:val="00454EBE"/>
    <w:rsid w:val="004551CA"/>
    <w:rsid w:val="00455246"/>
    <w:rsid w:val="004553C5"/>
    <w:rsid w:val="0045593A"/>
    <w:rsid w:val="00456BBE"/>
    <w:rsid w:val="0045700D"/>
    <w:rsid w:val="0045712D"/>
    <w:rsid w:val="00457729"/>
    <w:rsid w:val="004577DE"/>
    <w:rsid w:val="004602B0"/>
    <w:rsid w:val="00460704"/>
    <w:rsid w:val="00460B52"/>
    <w:rsid w:val="00460EAE"/>
    <w:rsid w:val="00461240"/>
    <w:rsid w:val="00461670"/>
    <w:rsid w:val="00461C29"/>
    <w:rsid w:val="00461FF6"/>
    <w:rsid w:val="004621DB"/>
    <w:rsid w:val="00462A9C"/>
    <w:rsid w:val="00462E32"/>
    <w:rsid w:val="0046378D"/>
    <w:rsid w:val="00463BC4"/>
    <w:rsid w:val="00463E96"/>
    <w:rsid w:val="0046429C"/>
    <w:rsid w:val="004656D2"/>
    <w:rsid w:val="0046571D"/>
    <w:rsid w:val="00465B65"/>
    <w:rsid w:val="00465B7D"/>
    <w:rsid w:val="00465EFD"/>
    <w:rsid w:val="0046637F"/>
    <w:rsid w:val="004664B2"/>
    <w:rsid w:val="00466B9B"/>
    <w:rsid w:val="00466D2D"/>
    <w:rsid w:val="00467338"/>
    <w:rsid w:val="00467775"/>
    <w:rsid w:val="0047031A"/>
    <w:rsid w:val="0047046D"/>
    <w:rsid w:val="004708BC"/>
    <w:rsid w:val="00470E9E"/>
    <w:rsid w:val="004716B7"/>
    <w:rsid w:val="004716F2"/>
    <w:rsid w:val="00472AB3"/>
    <w:rsid w:val="00472BC2"/>
    <w:rsid w:val="00473248"/>
    <w:rsid w:val="0047333B"/>
    <w:rsid w:val="004733D0"/>
    <w:rsid w:val="00473EA0"/>
    <w:rsid w:val="00473F60"/>
    <w:rsid w:val="00474D2D"/>
    <w:rsid w:val="00474D95"/>
    <w:rsid w:val="004756A7"/>
    <w:rsid w:val="0047649E"/>
    <w:rsid w:val="004766C7"/>
    <w:rsid w:val="00476A49"/>
    <w:rsid w:val="004770E3"/>
    <w:rsid w:val="00477166"/>
    <w:rsid w:val="00477A15"/>
    <w:rsid w:val="00477BB6"/>
    <w:rsid w:val="00477C43"/>
    <w:rsid w:val="00477E86"/>
    <w:rsid w:val="00480136"/>
    <w:rsid w:val="004806ED"/>
    <w:rsid w:val="00480D6C"/>
    <w:rsid w:val="00480E9C"/>
    <w:rsid w:val="00481249"/>
    <w:rsid w:val="00481E55"/>
    <w:rsid w:val="004821B1"/>
    <w:rsid w:val="004828B9"/>
    <w:rsid w:val="00482E02"/>
    <w:rsid w:val="004833DE"/>
    <w:rsid w:val="004835AD"/>
    <w:rsid w:val="00483D63"/>
    <w:rsid w:val="00483EBD"/>
    <w:rsid w:val="004841E1"/>
    <w:rsid w:val="00484250"/>
    <w:rsid w:val="00484660"/>
    <w:rsid w:val="00485358"/>
    <w:rsid w:val="004853F5"/>
    <w:rsid w:val="004857AD"/>
    <w:rsid w:val="00485DC8"/>
    <w:rsid w:val="004860BC"/>
    <w:rsid w:val="00486B32"/>
    <w:rsid w:val="00487462"/>
    <w:rsid w:val="00487911"/>
    <w:rsid w:val="00487BE2"/>
    <w:rsid w:val="00490C2F"/>
    <w:rsid w:val="004913AA"/>
    <w:rsid w:val="004914FB"/>
    <w:rsid w:val="00491A83"/>
    <w:rsid w:val="004920DC"/>
    <w:rsid w:val="00492253"/>
    <w:rsid w:val="00492985"/>
    <w:rsid w:val="00492AFB"/>
    <w:rsid w:val="00493266"/>
    <w:rsid w:val="00493552"/>
    <w:rsid w:val="004936B9"/>
    <w:rsid w:val="004936D2"/>
    <w:rsid w:val="00494855"/>
    <w:rsid w:val="004958FF"/>
    <w:rsid w:val="00495AD6"/>
    <w:rsid w:val="00495B23"/>
    <w:rsid w:val="00495ED5"/>
    <w:rsid w:val="0049641C"/>
    <w:rsid w:val="004964FE"/>
    <w:rsid w:val="004967B2"/>
    <w:rsid w:val="0049691F"/>
    <w:rsid w:val="00497001"/>
    <w:rsid w:val="004978C4"/>
    <w:rsid w:val="00497EE8"/>
    <w:rsid w:val="004A0092"/>
    <w:rsid w:val="004A00F6"/>
    <w:rsid w:val="004A086D"/>
    <w:rsid w:val="004A0D08"/>
    <w:rsid w:val="004A1180"/>
    <w:rsid w:val="004A11A6"/>
    <w:rsid w:val="004A11BD"/>
    <w:rsid w:val="004A18B3"/>
    <w:rsid w:val="004A1CE1"/>
    <w:rsid w:val="004A2037"/>
    <w:rsid w:val="004A23E3"/>
    <w:rsid w:val="004A2646"/>
    <w:rsid w:val="004A265B"/>
    <w:rsid w:val="004A276B"/>
    <w:rsid w:val="004A2C2D"/>
    <w:rsid w:val="004A3022"/>
    <w:rsid w:val="004A3358"/>
    <w:rsid w:val="004A341B"/>
    <w:rsid w:val="004A36F5"/>
    <w:rsid w:val="004A3BC2"/>
    <w:rsid w:val="004A3C4D"/>
    <w:rsid w:val="004A3EE6"/>
    <w:rsid w:val="004A3F47"/>
    <w:rsid w:val="004A41DC"/>
    <w:rsid w:val="004A4944"/>
    <w:rsid w:val="004A540F"/>
    <w:rsid w:val="004A5501"/>
    <w:rsid w:val="004A570D"/>
    <w:rsid w:val="004A5C08"/>
    <w:rsid w:val="004A5FB2"/>
    <w:rsid w:val="004A6521"/>
    <w:rsid w:val="004A6B5B"/>
    <w:rsid w:val="004A6B6A"/>
    <w:rsid w:val="004A6DBC"/>
    <w:rsid w:val="004A73A0"/>
    <w:rsid w:val="004A7514"/>
    <w:rsid w:val="004A7F29"/>
    <w:rsid w:val="004B0216"/>
    <w:rsid w:val="004B036F"/>
    <w:rsid w:val="004B11A2"/>
    <w:rsid w:val="004B25FD"/>
    <w:rsid w:val="004B32E5"/>
    <w:rsid w:val="004B3424"/>
    <w:rsid w:val="004B36C8"/>
    <w:rsid w:val="004B4282"/>
    <w:rsid w:val="004B4370"/>
    <w:rsid w:val="004B4720"/>
    <w:rsid w:val="004B49FD"/>
    <w:rsid w:val="004B4C02"/>
    <w:rsid w:val="004B4DC1"/>
    <w:rsid w:val="004B4F8B"/>
    <w:rsid w:val="004B555C"/>
    <w:rsid w:val="004B5571"/>
    <w:rsid w:val="004B573C"/>
    <w:rsid w:val="004B589A"/>
    <w:rsid w:val="004B59DC"/>
    <w:rsid w:val="004B5A8F"/>
    <w:rsid w:val="004B5BA0"/>
    <w:rsid w:val="004B5DD9"/>
    <w:rsid w:val="004B634E"/>
    <w:rsid w:val="004B63D3"/>
    <w:rsid w:val="004B6725"/>
    <w:rsid w:val="004B6EF3"/>
    <w:rsid w:val="004B7507"/>
    <w:rsid w:val="004C0A97"/>
    <w:rsid w:val="004C0CDD"/>
    <w:rsid w:val="004C10EE"/>
    <w:rsid w:val="004C138C"/>
    <w:rsid w:val="004C14C4"/>
    <w:rsid w:val="004C188A"/>
    <w:rsid w:val="004C1BE6"/>
    <w:rsid w:val="004C2236"/>
    <w:rsid w:val="004C2854"/>
    <w:rsid w:val="004C2DE4"/>
    <w:rsid w:val="004C3664"/>
    <w:rsid w:val="004C3F40"/>
    <w:rsid w:val="004C400B"/>
    <w:rsid w:val="004C4029"/>
    <w:rsid w:val="004C44B6"/>
    <w:rsid w:val="004C489B"/>
    <w:rsid w:val="004C4CFA"/>
    <w:rsid w:val="004C5117"/>
    <w:rsid w:val="004C53B5"/>
    <w:rsid w:val="004C5DB9"/>
    <w:rsid w:val="004C5E0B"/>
    <w:rsid w:val="004C621F"/>
    <w:rsid w:val="004C6375"/>
    <w:rsid w:val="004C63FE"/>
    <w:rsid w:val="004C6AFC"/>
    <w:rsid w:val="004C6C89"/>
    <w:rsid w:val="004C7242"/>
    <w:rsid w:val="004C7786"/>
    <w:rsid w:val="004C7F22"/>
    <w:rsid w:val="004D026A"/>
    <w:rsid w:val="004D0294"/>
    <w:rsid w:val="004D07C8"/>
    <w:rsid w:val="004D07D8"/>
    <w:rsid w:val="004D091B"/>
    <w:rsid w:val="004D0B8F"/>
    <w:rsid w:val="004D104A"/>
    <w:rsid w:val="004D10F8"/>
    <w:rsid w:val="004D2091"/>
    <w:rsid w:val="004D21CC"/>
    <w:rsid w:val="004D223C"/>
    <w:rsid w:val="004D24DC"/>
    <w:rsid w:val="004D290E"/>
    <w:rsid w:val="004D2BD7"/>
    <w:rsid w:val="004D2F54"/>
    <w:rsid w:val="004D3595"/>
    <w:rsid w:val="004D3740"/>
    <w:rsid w:val="004D3E58"/>
    <w:rsid w:val="004D4946"/>
    <w:rsid w:val="004D4B33"/>
    <w:rsid w:val="004D4C01"/>
    <w:rsid w:val="004D4D42"/>
    <w:rsid w:val="004D51E5"/>
    <w:rsid w:val="004D578A"/>
    <w:rsid w:val="004D734A"/>
    <w:rsid w:val="004D73E5"/>
    <w:rsid w:val="004D7B40"/>
    <w:rsid w:val="004E13F9"/>
    <w:rsid w:val="004E2021"/>
    <w:rsid w:val="004E2A70"/>
    <w:rsid w:val="004E30F2"/>
    <w:rsid w:val="004E34F7"/>
    <w:rsid w:val="004E3593"/>
    <w:rsid w:val="004E38E4"/>
    <w:rsid w:val="004E3C6E"/>
    <w:rsid w:val="004E4390"/>
    <w:rsid w:val="004E5058"/>
    <w:rsid w:val="004E5251"/>
    <w:rsid w:val="004E5946"/>
    <w:rsid w:val="004E59B2"/>
    <w:rsid w:val="004E5AC6"/>
    <w:rsid w:val="004E5E09"/>
    <w:rsid w:val="004E61A0"/>
    <w:rsid w:val="004E634D"/>
    <w:rsid w:val="004E7CBE"/>
    <w:rsid w:val="004E7D92"/>
    <w:rsid w:val="004E7E2B"/>
    <w:rsid w:val="004F0266"/>
    <w:rsid w:val="004F0574"/>
    <w:rsid w:val="004F08F6"/>
    <w:rsid w:val="004F0A66"/>
    <w:rsid w:val="004F138C"/>
    <w:rsid w:val="004F1595"/>
    <w:rsid w:val="004F17E1"/>
    <w:rsid w:val="004F292E"/>
    <w:rsid w:val="004F2F5E"/>
    <w:rsid w:val="004F3224"/>
    <w:rsid w:val="004F3D5E"/>
    <w:rsid w:val="004F41F8"/>
    <w:rsid w:val="004F4289"/>
    <w:rsid w:val="004F50AB"/>
    <w:rsid w:val="004F510C"/>
    <w:rsid w:val="004F55A0"/>
    <w:rsid w:val="004F5D67"/>
    <w:rsid w:val="004F5FC3"/>
    <w:rsid w:val="004F606E"/>
    <w:rsid w:val="004F60E6"/>
    <w:rsid w:val="004F666F"/>
    <w:rsid w:val="004F6797"/>
    <w:rsid w:val="004F69B6"/>
    <w:rsid w:val="004F6FA8"/>
    <w:rsid w:val="004F75AD"/>
    <w:rsid w:val="004F7A23"/>
    <w:rsid w:val="004F7DA1"/>
    <w:rsid w:val="005004B5"/>
    <w:rsid w:val="005005B1"/>
    <w:rsid w:val="005005F0"/>
    <w:rsid w:val="005007A4"/>
    <w:rsid w:val="00500D08"/>
    <w:rsid w:val="00500D90"/>
    <w:rsid w:val="00501A22"/>
    <w:rsid w:val="00501B77"/>
    <w:rsid w:val="00501E1B"/>
    <w:rsid w:val="005024F7"/>
    <w:rsid w:val="00502579"/>
    <w:rsid w:val="00502A8D"/>
    <w:rsid w:val="00502ED1"/>
    <w:rsid w:val="00503F73"/>
    <w:rsid w:val="00504B30"/>
    <w:rsid w:val="00504CB9"/>
    <w:rsid w:val="0050500F"/>
    <w:rsid w:val="005052D2"/>
    <w:rsid w:val="0050533C"/>
    <w:rsid w:val="00505C5E"/>
    <w:rsid w:val="00505DEB"/>
    <w:rsid w:val="00506223"/>
    <w:rsid w:val="00506562"/>
    <w:rsid w:val="00506924"/>
    <w:rsid w:val="00510791"/>
    <w:rsid w:val="0051099F"/>
    <w:rsid w:val="00510CD2"/>
    <w:rsid w:val="00510CFC"/>
    <w:rsid w:val="005114DB"/>
    <w:rsid w:val="00511A96"/>
    <w:rsid w:val="00511C7D"/>
    <w:rsid w:val="00511D2E"/>
    <w:rsid w:val="00512111"/>
    <w:rsid w:val="00512255"/>
    <w:rsid w:val="0051259B"/>
    <w:rsid w:val="00512A08"/>
    <w:rsid w:val="00512F48"/>
    <w:rsid w:val="00513003"/>
    <w:rsid w:val="00513303"/>
    <w:rsid w:val="00513630"/>
    <w:rsid w:val="0051370B"/>
    <w:rsid w:val="005137A4"/>
    <w:rsid w:val="0051385A"/>
    <w:rsid w:val="00513C07"/>
    <w:rsid w:val="00513C0A"/>
    <w:rsid w:val="00513C39"/>
    <w:rsid w:val="0051435C"/>
    <w:rsid w:val="00515805"/>
    <w:rsid w:val="00515B3E"/>
    <w:rsid w:val="00515F0C"/>
    <w:rsid w:val="005160A2"/>
    <w:rsid w:val="005160AA"/>
    <w:rsid w:val="005165FF"/>
    <w:rsid w:val="00516699"/>
    <w:rsid w:val="00516731"/>
    <w:rsid w:val="00517199"/>
    <w:rsid w:val="00517657"/>
    <w:rsid w:val="005176A2"/>
    <w:rsid w:val="00517FA6"/>
    <w:rsid w:val="0052022E"/>
    <w:rsid w:val="0052088C"/>
    <w:rsid w:val="00520B23"/>
    <w:rsid w:val="00520E0C"/>
    <w:rsid w:val="00521309"/>
    <w:rsid w:val="0052143D"/>
    <w:rsid w:val="0052177F"/>
    <w:rsid w:val="00521A12"/>
    <w:rsid w:val="005220DF"/>
    <w:rsid w:val="005224A1"/>
    <w:rsid w:val="00522A90"/>
    <w:rsid w:val="00522B2F"/>
    <w:rsid w:val="00522C01"/>
    <w:rsid w:val="00523064"/>
    <w:rsid w:val="00523240"/>
    <w:rsid w:val="00523904"/>
    <w:rsid w:val="00523CCC"/>
    <w:rsid w:val="005242CE"/>
    <w:rsid w:val="0052457B"/>
    <w:rsid w:val="00524A51"/>
    <w:rsid w:val="0052532C"/>
    <w:rsid w:val="0052536F"/>
    <w:rsid w:val="00525A67"/>
    <w:rsid w:val="00525B37"/>
    <w:rsid w:val="00526155"/>
    <w:rsid w:val="00526643"/>
    <w:rsid w:val="005266FA"/>
    <w:rsid w:val="00526950"/>
    <w:rsid w:val="00526A8B"/>
    <w:rsid w:val="005273BB"/>
    <w:rsid w:val="00527650"/>
    <w:rsid w:val="005277D4"/>
    <w:rsid w:val="00530B13"/>
    <w:rsid w:val="00530B78"/>
    <w:rsid w:val="00530E8E"/>
    <w:rsid w:val="0053114C"/>
    <w:rsid w:val="00531DE0"/>
    <w:rsid w:val="005320EA"/>
    <w:rsid w:val="005323DA"/>
    <w:rsid w:val="005326E8"/>
    <w:rsid w:val="0053270E"/>
    <w:rsid w:val="00532910"/>
    <w:rsid w:val="00532CED"/>
    <w:rsid w:val="00532F66"/>
    <w:rsid w:val="00532F69"/>
    <w:rsid w:val="00533DF4"/>
    <w:rsid w:val="00533FF1"/>
    <w:rsid w:val="005349A9"/>
    <w:rsid w:val="00534D5A"/>
    <w:rsid w:val="00535305"/>
    <w:rsid w:val="005353BD"/>
    <w:rsid w:val="00535882"/>
    <w:rsid w:val="00535C71"/>
    <w:rsid w:val="0053602D"/>
    <w:rsid w:val="00536D18"/>
    <w:rsid w:val="00536D65"/>
    <w:rsid w:val="005371B8"/>
    <w:rsid w:val="00537881"/>
    <w:rsid w:val="00537A5F"/>
    <w:rsid w:val="005407B3"/>
    <w:rsid w:val="00540A2E"/>
    <w:rsid w:val="00540AD4"/>
    <w:rsid w:val="00540C87"/>
    <w:rsid w:val="0054178D"/>
    <w:rsid w:val="00542290"/>
    <w:rsid w:val="005422E3"/>
    <w:rsid w:val="00542374"/>
    <w:rsid w:val="00542589"/>
    <w:rsid w:val="00543685"/>
    <w:rsid w:val="00543B47"/>
    <w:rsid w:val="00544125"/>
    <w:rsid w:val="0054456E"/>
    <w:rsid w:val="00544743"/>
    <w:rsid w:val="00544D94"/>
    <w:rsid w:val="005451C7"/>
    <w:rsid w:val="0054556C"/>
    <w:rsid w:val="0054563F"/>
    <w:rsid w:val="00545663"/>
    <w:rsid w:val="00545B26"/>
    <w:rsid w:val="00545DAE"/>
    <w:rsid w:val="00545F78"/>
    <w:rsid w:val="005466C9"/>
    <w:rsid w:val="00546CF7"/>
    <w:rsid w:val="00547701"/>
    <w:rsid w:val="00547907"/>
    <w:rsid w:val="00547A40"/>
    <w:rsid w:val="0055019C"/>
    <w:rsid w:val="00550818"/>
    <w:rsid w:val="00550848"/>
    <w:rsid w:val="00550B21"/>
    <w:rsid w:val="00551064"/>
    <w:rsid w:val="005511C7"/>
    <w:rsid w:val="0055220C"/>
    <w:rsid w:val="00552211"/>
    <w:rsid w:val="005522B4"/>
    <w:rsid w:val="0055240D"/>
    <w:rsid w:val="0055244A"/>
    <w:rsid w:val="005527FB"/>
    <w:rsid w:val="00552FEB"/>
    <w:rsid w:val="0055301A"/>
    <w:rsid w:val="0055441B"/>
    <w:rsid w:val="00554611"/>
    <w:rsid w:val="00555236"/>
    <w:rsid w:val="00555318"/>
    <w:rsid w:val="00555728"/>
    <w:rsid w:val="0055573A"/>
    <w:rsid w:val="00555FE9"/>
    <w:rsid w:val="005564B4"/>
    <w:rsid w:val="00556944"/>
    <w:rsid w:val="0055776A"/>
    <w:rsid w:val="00557D83"/>
    <w:rsid w:val="00560532"/>
    <w:rsid w:val="005609BB"/>
    <w:rsid w:val="0056135F"/>
    <w:rsid w:val="005613E1"/>
    <w:rsid w:val="0056150E"/>
    <w:rsid w:val="00561563"/>
    <w:rsid w:val="005618DA"/>
    <w:rsid w:val="00561B18"/>
    <w:rsid w:val="00561FA9"/>
    <w:rsid w:val="0056208A"/>
    <w:rsid w:val="005623AC"/>
    <w:rsid w:val="00563098"/>
    <w:rsid w:val="005633F0"/>
    <w:rsid w:val="00563455"/>
    <w:rsid w:val="00563A43"/>
    <w:rsid w:val="00563E51"/>
    <w:rsid w:val="005642EB"/>
    <w:rsid w:val="00564A81"/>
    <w:rsid w:val="00564E31"/>
    <w:rsid w:val="00564E4E"/>
    <w:rsid w:val="00565696"/>
    <w:rsid w:val="00565994"/>
    <w:rsid w:val="00566C4D"/>
    <w:rsid w:val="00566C6D"/>
    <w:rsid w:val="00566F62"/>
    <w:rsid w:val="00567792"/>
    <w:rsid w:val="00567FDE"/>
    <w:rsid w:val="00570740"/>
    <w:rsid w:val="00571378"/>
    <w:rsid w:val="00571571"/>
    <w:rsid w:val="005716C4"/>
    <w:rsid w:val="005719D7"/>
    <w:rsid w:val="00571A2B"/>
    <w:rsid w:val="0057253A"/>
    <w:rsid w:val="005726F6"/>
    <w:rsid w:val="005727E0"/>
    <w:rsid w:val="00572BDB"/>
    <w:rsid w:val="00572C06"/>
    <w:rsid w:val="0057325A"/>
    <w:rsid w:val="0057336A"/>
    <w:rsid w:val="005733B0"/>
    <w:rsid w:val="005734A3"/>
    <w:rsid w:val="0057376D"/>
    <w:rsid w:val="0057390F"/>
    <w:rsid w:val="00573A63"/>
    <w:rsid w:val="00573C2D"/>
    <w:rsid w:val="00573C67"/>
    <w:rsid w:val="00573CFA"/>
    <w:rsid w:val="005740E0"/>
    <w:rsid w:val="005748E0"/>
    <w:rsid w:val="00574B7F"/>
    <w:rsid w:val="005752AC"/>
    <w:rsid w:val="0057571F"/>
    <w:rsid w:val="00575785"/>
    <w:rsid w:val="00575A56"/>
    <w:rsid w:val="005765F8"/>
    <w:rsid w:val="00576D1A"/>
    <w:rsid w:val="0057756C"/>
    <w:rsid w:val="005775DB"/>
    <w:rsid w:val="00577773"/>
    <w:rsid w:val="00577797"/>
    <w:rsid w:val="00577E4B"/>
    <w:rsid w:val="005803EB"/>
    <w:rsid w:val="00580E78"/>
    <w:rsid w:val="00581F39"/>
    <w:rsid w:val="0058272A"/>
    <w:rsid w:val="005827E6"/>
    <w:rsid w:val="005829B8"/>
    <w:rsid w:val="00582A72"/>
    <w:rsid w:val="0058378E"/>
    <w:rsid w:val="0058431D"/>
    <w:rsid w:val="00584C54"/>
    <w:rsid w:val="00584FA0"/>
    <w:rsid w:val="005855DC"/>
    <w:rsid w:val="005858E6"/>
    <w:rsid w:val="00586264"/>
    <w:rsid w:val="00586A64"/>
    <w:rsid w:val="005870A3"/>
    <w:rsid w:val="005874EA"/>
    <w:rsid w:val="005876E1"/>
    <w:rsid w:val="00587800"/>
    <w:rsid w:val="0058781E"/>
    <w:rsid w:val="00587BB2"/>
    <w:rsid w:val="00587EB5"/>
    <w:rsid w:val="00590D9A"/>
    <w:rsid w:val="0059114F"/>
    <w:rsid w:val="00591248"/>
    <w:rsid w:val="00591402"/>
    <w:rsid w:val="005914B3"/>
    <w:rsid w:val="0059162A"/>
    <w:rsid w:val="00591FBD"/>
    <w:rsid w:val="00592A99"/>
    <w:rsid w:val="00592E5B"/>
    <w:rsid w:val="005930E3"/>
    <w:rsid w:val="00593368"/>
    <w:rsid w:val="00593A38"/>
    <w:rsid w:val="00593B4C"/>
    <w:rsid w:val="00594667"/>
    <w:rsid w:val="005948B1"/>
    <w:rsid w:val="00594FB2"/>
    <w:rsid w:val="0059509C"/>
    <w:rsid w:val="00595CC5"/>
    <w:rsid w:val="00595E5C"/>
    <w:rsid w:val="005961D9"/>
    <w:rsid w:val="00596400"/>
    <w:rsid w:val="005964D9"/>
    <w:rsid w:val="005970E8"/>
    <w:rsid w:val="0059777B"/>
    <w:rsid w:val="00597AD8"/>
    <w:rsid w:val="00597DD3"/>
    <w:rsid w:val="005A05F8"/>
    <w:rsid w:val="005A0AF0"/>
    <w:rsid w:val="005A0F0B"/>
    <w:rsid w:val="005A0FA0"/>
    <w:rsid w:val="005A146C"/>
    <w:rsid w:val="005A19ED"/>
    <w:rsid w:val="005A204A"/>
    <w:rsid w:val="005A2908"/>
    <w:rsid w:val="005A2976"/>
    <w:rsid w:val="005A298A"/>
    <w:rsid w:val="005A29BE"/>
    <w:rsid w:val="005A2E24"/>
    <w:rsid w:val="005A2FF0"/>
    <w:rsid w:val="005A337E"/>
    <w:rsid w:val="005A3AFC"/>
    <w:rsid w:val="005A409A"/>
    <w:rsid w:val="005A4422"/>
    <w:rsid w:val="005A4638"/>
    <w:rsid w:val="005A48CF"/>
    <w:rsid w:val="005A4B08"/>
    <w:rsid w:val="005A4C9B"/>
    <w:rsid w:val="005A4FA1"/>
    <w:rsid w:val="005A6328"/>
    <w:rsid w:val="005A6722"/>
    <w:rsid w:val="005A6C61"/>
    <w:rsid w:val="005A6D46"/>
    <w:rsid w:val="005A71C1"/>
    <w:rsid w:val="005A746E"/>
    <w:rsid w:val="005A7525"/>
    <w:rsid w:val="005A76FB"/>
    <w:rsid w:val="005A7DA8"/>
    <w:rsid w:val="005A7EF9"/>
    <w:rsid w:val="005B0145"/>
    <w:rsid w:val="005B01B2"/>
    <w:rsid w:val="005B050A"/>
    <w:rsid w:val="005B080D"/>
    <w:rsid w:val="005B0BE8"/>
    <w:rsid w:val="005B1B24"/>
    <w:rsid w:val="005B1BEE"/>
    <w:rsid w:val="005B1EB6"/>
    <w:rsid w:val="005B2006"/>
    <w:rsid w:val="005B23C9"/>
    <w:rsid w:val="005B248B"/>
    <w:rsid w:val="005B255B"/>
    <w:rsid w:val="005B2BE6"/>
    <w:rsid w:val="005B2D83"/>
    <w:rsid w:val="005B2DC9"/>
    <w:rsid w:val="005B2DFF"/>
    <w:rsid w:val="005B2F3B"/>
    <w:rsid w:val="005B2FF0"/>
    <w:rsid w:val="005B336F"/>
    <w:rsid w:val="005B348A"/>
    <w:rsid w:val="005B3A7E"/>
    <w:rsid w:val="005B3CEF"/>
    <w:rsid w:val="005B4BD6"/>
    <w:rsid w:val="005B5092"/>
    <w:rsid w:val="005B65BA"/>
    <w:rsid w:val="005B65CB"/>
    <w:rsid w:val="005B699B"/>
    <w:rsid w:val="005B6F6B"/>
    <w:rsid w:val="005B76CA"/>
    <w:rsid w:val="005B7C9A"/>
    <w:rsid w:val="005B7FC0"/>
    <w:rsid w:val="005C0385"/>
    <w:rsid w:val="005C03C0"/>
    <w:rsid w:val="005C0B53"/>
    <w:rsid w:val="005C0B56"/>
    <w:rsid w:val="005C0F7C"/>
    <w:rsid w:val="005C1B84"/>
    <w:rsid w:val="005C24F6"/>
    <w:rsid w:val="005C2DC8"/>
    <w:rsid w:val="005C2E4E"/>
    <w:rsid w:val="005C2F46"/>
    <w:rsid w:val="005C33CA"/>
    <w:rsid w:val="005C3523"/>
    <w:rsid w:val="005C38E6"/>
    <w:rsid w:val="005C3CAF"/>
    <w:rsid w:val="005C4021"/>
    <w:rsid w:val="005C40C1"/>
    <w:rsid w:val="005C4251"/>
    <w:rsid w:val="005C4344"/>
    <w:rsid w:val="005C46A2"/>
    <w:rsid w:val="005C48AD"/>
    <w:rsid w:val="005C5A25"/>
    <w:rsid w:val="005C5ACD"/>
    <w:rsid w:val="005C5D0A"/>
    <w:rsid w:val="005C5E32"/>
    <w:rsid w:val="005C636C"/>
    <w:rsid w:val="005C65B6"/>
    <w:rsid w:val="005C6984"/>
    <w:rsid w:val="005C6A0A"/>
    <w:rsid w:val="005C6D96"/>
    <w:rsid w:val="005C6FE3"/>
    <w:rsid w:val="005C714A"/>
    <w:rsid w:val="005C7426"/>
    <w:rsid w:val="005C7C22"/>
    <w:rsid w:val="005C7DE0"/>
    <w:rsid w:val="005D02DC"/>
    <w:rsid w:val="005D0ABE"/>
    <w:rsid w:val="005D0C25"/>
    <w:rsid w:val="005D0CCA"/>
    <w:rsid w:val="005D0D0C"/>
    <w:rsid w:val="005D1092"/>
    <w:rsid w:val="005D1F90"/>
    <w:rsid w:val="005D2137"/>
    <w:rsid w:val="005D263E"/>
    <w:rsid w:val="005D2A2D"/>
    <w:rsid w:val="005D2EFB"/>
    <w:rsid w:val="005D37E6"/>
    <w:rsid w:val="005D38DA"/>
    <w:rsid w:val="005D42EF"/>
    <w:rsid w:val="005D4469"/>
    <w:rsid w:val="005D47C4"/>
    <w:rsid w:val="005D4876"/>
    <w:rsid w:val="005D511B"/>
    <w:rsid w:val="005D57D5"/>
    <w:rsid w:val="005D5866"/>
    <w:rsid w:val="005D6477"/>
    <w:rsid w:val="005D66C2"/>
    <w:rsid w:val="005D66F6"/>
    <w:rsid w:val="005D6C4B"/>
    <w:rsid w:val="005D749A"/>
    <w:rsid w:val="005D7635"/>
    <w:rsid w:val="005D7A09"/>
    <w:rsid w:val="005E08F6"/>
    <w:rsid w:val="005E0AF1"/>
    <w:rsid w:val="005E0E53"/>
    <w:rsid w:val="005E119F"/>
    <w:rsid w:val="005E16F8"/>
    <w:rsid w:val="005E271C"/>
    <w:rsid w:val="005E28A6"/>
    <w:rsid w:val="005E2CD3"/>
    <w:rsid w:val="005E2DF9"/>
    <w:rsid w:val="005E2F9B"/>
    <w:rsid w:val="005E355C"/>
    <w:rsid w:val="005E38A1"/>
    <w:rsid w:val="005E3A86"/>
    <w:rsid w:val="005E3C14"/>
    <w:rsid w:val="005E4505"/>
    <w:rsid w:val="005E4ACD"/>
    <w:rsid w:val="005E4DB6"/>
    <w:rsid w:val="005E5047"/>
    <w:rsid w:val="005E5260"/>
    <w:rsid w:val="005E5433"/>
    <w:rsid w:val="005E54C2"/>
    <w:rsid w:val="005E568B"/>
    <w:rsid w:val="005E5921"/>
    <w:rsid w:val="005E6916"/>
    <w:rsid w:val="005E7D32"/>
    <w:rsid w:val="005F083F"/>
    <w:rsid w:val="005F0A75"/>
    <w:rsid w:val="005F1AAE"/>
    <w:rsid w:val="005F2698"/>
    <w:rsid w:val="005F2AE3"/>
    <w:rsid w:val="005F3116"/>
    <w:rsid w:val="005F3371"/>
    <w:rsid w:val="005F3513"/>
    <w:rsid w:val="005F3962"/>
    <w:rsid w:val="005F3A0C"/>
    <w:rsid w:val="005F3CD0"/>
    <w:rsid w:val="005F3D6B"/>
    <w:rsid w:val="005F402F"/>
    <w:rsid w:val="005F4176"/>
    <w:rsid w:val="005F42EF"/>
    <w:rsid w:val="005F4547"/>
    <w:rsid w:val="005F5029"/>
    <w:rsid w:val="005F5A14"/>
    <w:rsid w:val="005F6EBE"/>
    <w:rsid w:val="005F6EF8"/>
    <w:rsid w:val="005F728C"/>
    <w:rsid w:val="005F75F8"/>
    <w:rsid w:val="005F796E"/>
    <w:rsid w:val="005F7E5C"/>
    <w:rsid w:val="006008AB"/>
    <w:rsid w:val="00600ECE"/>
    <w:rsid w:val="00600EF1"/>
    <w:rsid w:val="006011BA"/>
    <w:rsid w:val="00601F6D"/>
    <w:rsid w:val="006021CC"/>
    <w:rsid w:val="006033CE"/>
    <w:rsid w:val="006034CC"/>
    <w:rsid w:val="00603DDE"/>
    <w:rsid w:val="006044AA"/>
    <w:rsid w:val="00604711"/>
    <w:rsid w:val="0060479A"/>
    <w:rsid w:val="00605424"/>
    <w:rsid w:val="0060542A"/>
    <w:rsid w:val="006057C9"/>
    <w:rsid w:val="0060587A"/>
    <w:rsid w:val="00605B0A"/>
    <w:rsid w:val="00605D61"/>
    <w:rsid w:val="00605FE3"/>
    <w:rsid w:val="00606165"/>
    <w:rsid w:val="0060656B"/>
    <w:rsid w:val="006066E7"/>
    <w:rsid w:val="00606FB0"/>
    <w:rsid w:val="00607170"/>
    <w:rsid w:val="006076A6"/>
    <w:rsid w:val="00607DD5"/>
    <w:rsid w:val="00607F52"/>
    <w:rsid w:val="00607F74"/>
    <w:rsid w:val="0061079B"/>
    <w:rsid w:val="006109A3"/>
    <w:rsid w:val="00610A42"/>
    <w:rsid w:val="0061105B"/>
    <w:rsid w:val="006111D5"/>
    <w:rsid w:val="006112D7"/>
    <w:rsid w:val="006117DA"/>
    <w:rsid w:val="00611C2C"/>
    <w:rsid w:val="00612936"/>
    <w:rsid w:val="00613686"/>
    <w:rsid w:val="006137A9"/>
    <w:rsid w:val="00613B3A"/>
    <w:rsid w:val="00613B4B"/>
    <w:rsid w:val="00613BAD"/>
    <w:rsid w:val="00613F83"/>
    <w:rsid w:val="006158E7"/>
    <w:rsid w:val="00615B1A"/>
    <w:rsid w:val="00615CB1"/>
    <w:rsid w:val="00615CFC"/>
    <w:rsid w:val="0061640C"/>
    <w:rsid w:val="0061667A"/>
    <w:rsid w:val="00616CA0"/>
    <w:rsid w:val="00616EF3"/>
    <w:rsid w:val="00617724"/>
    <w:rsid w:val="0061797B"/>
    <w:rsid w:val="00617DF3"/>
    <w:rsid w:val="00617F9D"/>
    <w:rsid w:val="00617FAF"/>
    <w:rsid w:val="0062015B"/>
    <w:rsid w:val="006219A4"/>
    <w:rsid w:val="0062278A"/>
    <w:rsid w:val="006227FA"/>
    <w:rsid w:val="00622BA7"/>
    <w:rsid w:val="00622F8B"/>
    <w:rsid w:val="00623BF8"/>
    <w:rsid w:val="00623FEE"/>
    <w:rsid w:val="00624004"/>
    <w:rsid w:val="00624103"/>
    <w:rsid w:val="00624191"/>
    <w:rsid w:val="0062433F"/>
    <w:rsid w:val="0062437B"/>
    <w:rsid w:val="00624648"/>
    <w:rsid w:val="00624849"/>
    <w:rsid w:val="0062486F"/>
    <w:rsid w:val="00624D5C"/>
    <w:rsid w:val="00624E28"/>
    <w:rsid w:val="0062555E"/>
    <w:rsid w:val="006266B6"/>
    <w:rsid w:val="00626B5C"/>
    <w:rsid w:val="00626F63"/>
    <w:rsid w:val="00627774"/>
    <w:rsid w:val="00627D39"/>
    <w:rsid w:val="006300CB"/>
    <w:rsid w:val="00630433"/>
    <w:rsid w:val="00630463"/>
    <w:rsid w:val="006304FD"/>
    <w:rsid w:val="00630AC5"/>
    <w:rsid w:val="00630CF6"/>
    <w:rsid w:val="00631324"/>
    <w:rsid w:val="00631859"/>
    <w:rsid w:val="00632001"/>
    <w:rsid w:val="00632330"/>
    <w:rsid w:val="006329D4"/>
    <w:rsid w:val="00632E4A"/>
    <w:rsid w:val="00633C80"/>
    <w:rsid w:val="00633DFE"/>
    <w:rsid w:val="00633FBB"/>
    <w:rsid w:val="006342C1"/>
    <w:rsid w:val="00634B85"/>
    <w:rsid w:val="00634BA7"/>
    <w:rsid w:val="0063547D"/>
    <w:rsid w:val="00635A0D"/>
    <w:rsid w:val="006363D1"/>
    <w:rsid w:val="0063725B"/>
    <w:rsid w:val="00637691"/>
    <w:rsid w:val="006376A1"/>
    <w:rsid w:val="0063779E"/>
    <w:rsid w:val="006378F0"/>
    <w:rsid w:val="00637B29"/>
    <w:rsid w:val="006400CE"/>
    <w:rsid w:val="006405DA"/>
    <w:rsid w:val="006409CB"/>
    <w:rsid w:val="006409F0"/>
    <w:rsid w:val="00640E04"/>
    <w:rsid w:val="006412F0"/>
    <w:rsid w:val="006416B5"/>
    <w:rsid w:val="006418CF"/>
    <w:rsid w:val="00641921"/>
    <w:rsid w:val="00641B6C"/>
    <w:rsid w:val="006427B3"/>
    <w:rsid w:val="00642B09"/>
    <w:rsid w:val="00642E1C"/>
    <w:rsid w:val="006432F5"/>
    <w:rsid w:val="00643911"/>
    <w:rsid w:val="00643C87"/>
    <w:rsid w:val="00643C90"/>
    <w:rsid w:val="00643E01"/>
    <w:rsid w:val="00645273"/>
    <w:rsid w:val="006453BC"/>
    <w:rsid w:val="006454B6"/>
    <w:rsid w:val="00645E0D"/>
    <w:rsid w:val="00646016"/>
    <w:rsid w:val="006461F8"/>
    <w:rsid w:val="006466E4"/>
    <w:rsid w:val="006467DC"/>
    <w:rsid w:val="006468E4"/>
    <w:rsid w:val="00646907"/>
    <w:rsid w:val="00646D88"/>
    <w:rsid w:val="00646FC7"/>
    <w:rsid w:val="00647967"/>
    <w:rsid w:val="0065023F"/>
    <w:rsid w:val="0065084F"/>
    <w:rsid w:val="006510CF"/>
    <w:rsid w:val="0065125A"/>
    <w:rsid w:val="006514A3"/>
    <w:rsid w:val="006518D7"/>
    <w:rsid w:val="00651B15"/>
    <w:rsid w:val="00651F54"/>
    <w:rsid w:val="00652B43"/>
    <w:rsid w:val="00652D21"/>
    <w:rsid w:val="00652DC8"/>
    <w:rsid w:val="0065326E"/>
    <w:rsid w:val="00653878"/>
    <w:rsid w:val="00653D84"/>
    <w:rsid w:val="00654DF2"/>
    <w:rsid w:val="00654FC9"/>
    <w:rsid w:val="00655E34"/>
    <w:rsid w:val="0065633B"/>
    <w:rsid w:val="0065637A"/>
    <w:rsid w:val="006567D6"/>
    <w:rsid w:val="006568C6"/>
    <w:rsid w:val="00656C4E"/>
    <w:rsid w:val="00656E4E"/>
    <w:rsid w:val="0065700E"/>
    <w:rsid w:val="00657897"/>
    <w:rsid w:val="0065793A"/>
    <w:rsid w:val="006579F1"/>
    <w:rsid w:val="0066063F"/>
    <w:rsid w:val="00660818"/>
    <w:rsid w:val="0066117B"/>
    <w:rsid w:val="00661965"/>
    <w:rsid w:val="00662091"/>
    <w:rsid w:val="006620D6"/>
    <w:rsid w:val="0066238D"/>
    <w:rsid w:val="0066241B"/>
    <w:rsid w:val="006626BE"/>
    <w:rsid w:val="00663B2C"/>
    <w:rsid w:val="00663EB3"/>
    <w:rsid w:val="006642FB"/>
    <w:rsid w:val="0066434B"/>
    <w:rsid w:val="00664354"/>
    <w:rsid w:val="00664522"/>
    <w:rsid w:val="0066463C"/>
    <w:rsid w:val="00664FF4"/>
    <w:rsid w:val="00665965"/>
    <w:rsid w:val="006659AD"/>
    <w:rsid w:val="00665E7D"/>
    <w:rsid w:val="00666330"/>
    <w:rsid w:val="00666D50"/>
    <w:rsid w:val="0066785A"/>
    <w:rsid w:val="00667C2C"/>
    <w:rsid w:val="006706B0"/>
    <w:rsid w:val="00670716"/>
    <w:rsid w:val="00670C0C"/>
    <w:rsid w:val="00670D41"/>
    <w:rsid w:val="00671ACD"/>
    <w:rsid w:val="00672E85"/>
    <w:rsid w:val="00672F0B"/>
    <w:rsid w:val="00673149"/>
    <w:rsid w:val="00673DB8"/>
    <w:rsid w:val="00673DE7"/>
    <w:rsid w:val="00674397"/>
    <w:rsid w:val="006744FB"/>
    <w:rsid w:val="00674933"/>
    <w:rsid w:val="00674981"/>
    <w:rsid w:val="00674BB8"/>
    <w:rsid w:val="00675F9C"/>
    <w:rsid w:val="00676534"/>
    <w:rsid w:val="00676723"/>
    <w:rsid w:val="00676AE6"/>
    <w:rsid w:val="00676C55"/>
    <w:rsid w:val="00676FCC"/>
    <w:rsid w:val="006801DC"/>
    <w:rsid w:val="006809D0"/>
    <w:rsid w:val="006809E5"/>
    <w:rsid w:val="00680E97"/>
    <w:rsid w:val="00680FC7"/>
    <w:rsid w:val="0068108C"/>
    <w:rsid w:val="0068130D"/>
    <w:rsid w:val="0068131F"/>
    <w:rsid w:val="0068134E"/>
    <w:rsid w:val="00681EEA"/>
    <w:rsid w:val="00681FAC"/>
    <w:rsid w:val="006825AE"/>
    <w:rsid w:val="0068285E"/>
    <w:rsid w:val="00682930"/>
    <w:rsid w:val="00682BCC"/>
    <w:rsid w:val="00683588"/>
    <w:rsid w:val="00683BE1"/>
    <w:rsid w:val="00683CF8"/>
    <w:rsid w:val="00683E11"/>
    <w:rsid w:val="00683EC8"/>
    <w:rsid w:val="006840FC"/>
    <w:rsid w:val="006841AA"/>
    <w:rsid w:val="00684512"/>
    <w:rsid w:val="006845EF"/>
    <w:rsid w:val="006847E1"/>
    <w:rsid w:val="0068481B"/>
    <w:rsid w:val="006848EF"/>
    <w:rsid w:val="00684BF1"/>
    <w:rsid w:val="00684D52"/>
    <w:rsid w:val="00684F26"/>
    <w:rsid w:val="00684F60"/>
    <w:rsid w:val="00685145"/>
    <w:rsid w:val="0068585A"/>
    <w:rsid w:val="00685B8D"/>
    <w:rsid w:val="00685E8F"/>
    <w:rsid w:val="00685F41"/>
    <w:rsid w:val="00685F82"/>
    <w:rsid w:val="006860BF"/>
    <w:rsid w:val="006861A4"/>
    <w:rsid w:val="0068667C"/>
    <w:rsid w:val="00686897"/>
    <w:rsid w:val="00686CE7"/>
    <w:rsid w:val="00686DA5"/>
    <w:rsid w:val="00687437"/>
    <w:rsid w:val="00687601"/>
    <w:rsid w:val="00687A01"/>
    <w:rsid w:val="00687BA9"/>
    <w:rsid w:val="00687C08"/>
    <w:rsid w:val="00687CB2"/>
    <w:rsid w:val="00687CB3"/>
    <w:rsid w:val="00687D39"/>
    <w:rsid w:val="00687D49"/>
    <w:rsid w:val="00687EA9"/>
    <w:rsid w:val="00687ECC"/>
    <w:rsid w:val="00687FED"/>
    <w:rsid w:val="0069062F"/>
    <w:rsid w:val="00690723"/>
    <w:rsid w:val="00690BDD"/>
    <w:rsid w:val="00690C0B"/>
    <w:rsid w:val="0069101F"/>
    <w:rsid w:val="00691103"/>
    <w:rsid w:val="00691F41"/>
    <w:rsid w:val="0069212A"/>
    <w:rsid w:val="0069213E"/>
    <w:rsid w:val="00692557"/>
    <w:rsid w:val="006925D2"/>
    <w:rsid w:val="0069314B"/>
    <w:rsid w:val="00693E24"/>
    <w:rsid w:val="00694443"/>
    <w:rsid w:val="00694A0D"/>
    <w:rsid w:val="00694F22"/>
    <w:rsid w:val="006957B5"/>
    <w:rsid w:val="00695AFA"/>
    <w:rsid w:val="00695F5B"/>
    <w:rsid w:val="00695F8A"/>
    <w:rsid w:val="0069647A"/>
    <w:rsid w:val="00696916"/>
    <w:rsid w:val="00696C84"/>
    <w:rsid w:val="00696DB4"/>
    <w:rsid w:val="006977E4"/>
    <w:rsid w:val="00697882"/>
    <w:rsid w:val="006978A8"/>
    <w:rsid w:val="00697A8F"/>
    <w:rsid w:val="00697A9D"/>
    <w:rsid w:val="00697AB7"/>
    <w:rsid w:val="00697BFA"/>
    <w:rsid w:val="006A023D"/>
    <w:rsid w:val="006A16B0"/>
    <w:rsid w:val="006A1793"/>
    <w:rsid w:val="006A1CA8"/>
    <w:rsid w:val="006A2639"/>
    <w:rsid w:val="006A264F"/>
    <w:rsid w:val="006A2BF0"/>
    <w:rsid w:val="006A3DBC"/>
    <w:rsid w:val="006A4AC7"/>
    <w:rsid w:val="006A4EC9"/>
    <w:rsid w:val="006A4FE1"/>
    <w:rsid w:val="006A503B"/>
    <w:rsid w:val="006A521E"/>
    <w:rsid w:val="006A6094"/>
    <w:rsid w:val="006A6526"/>
    <w:rsid w:val="006A6773"/>
    <w:rsid w:val="006A6826"/>
    <w:rsid w:val="006A6C2C"/>
    <w:rsid w:val="006A6E1E"/>
    <w:rsid w:val="006A6F6C"/>
    <w:rsid w:val="006A73AC"/>
    <w:rsid w:val="006A75A7"/>
    <w:rsid w:val="006A763E"/>
    <w:rsid w:val="006A78BC"/>
    <w:rsid w:val="006A7D14"/>
    <w:rsid w:val="006A7DDA"/>
    <w:rsid w:val="006B08D9"/>
    <w:rsid w:val="006B0C9C"/>
    <w:rsid w:val="006B107A"/>
    <w:rsid w:val="006B1153"/>
    <w:rsid w:val="006B145B"/>
    <w:rsid w:val="006B1541"/>
    <w:rsid w:val="006B1659"/>
    <w:rsid w:val="006B1CF9"/>
    <w:rsid w:val="006B2135"/>
    <w:rsid w:val="006B25CD"/>
    <w:rsid w:val="006B2CBF"/>
    <w:rsid w:val="006B310E"/>
    <w:rsid w:val="006B329A"/>
    <w:rsid w:val="006B3326"/>
    <w:rsid w:val="006B36F1"/>
    <w:rsid w:val="006B3718"/>
    <w:rsid w:val="006B48ED"/>
    <w:rsid w:val="006B51F0"/>
    <w:rsid w:val="006B5229"/>
    <w:rsid w:val="006B5C45"/>
    <w:rsid w:val="006B5D2C"/>
    <w:rsid w:val="006B664E"/>
    <w:rsid w:val="006B66AB"/>
    <w:rsid w:val="006B6BBA"/>
    <w:rsid w:val="006B6F46"/>
    <w:rsid w:val="006B7C63"/>
    <w:rsid w:val="006C013B"/>
    <w:rsid w:val="006C08BA"/>
    <w:rsid w:val="006C1415"/>
    <w:rsid w:val="006C194E"/>
    <w:rsid w:val="006C1BB3"/>
    <w:rsid w:val="006C1CF4"/>
    <w:rsid w:val="006C2CD5"/>
    <w:rsid w:val="006C30DD"/>
    <w:rsid w:val="006C31CB"/>
    <w:rsid w:val="006C35E7"/>
    <w:rsid w:val="006C3902"/>
    <w:rsid w:val="006C3B8B"/>
    <w:rsid w:val="006C3F56"/>
    <w:rsid w:val="006C41B1"/>
    <w:rsid w:val="006C507D"/>
    <w:rsid w:val="006C576C"/>
    <w:rsid w:val="006C588E"/>
    <w:rsid w:val="006C5DFE"/>
    <w:rsid w:val="006C63A4"/>
    <w:rsid w:val="006C6F9A"/>
    <w:rsid w:val="006C7B17"/>
    <w:rsid w:val="006C7B31"/>
    <w:rsid w:val="006C7CB4"/>
    <w:rsid w:val="006D01F3"/>
    <w:rsid w:val="006D0332"/>
    <w:rsid w:val="006D0576"/>
    <w:rsid w:val="006D06A4"/>
    <w:rsid w:val="006D0736"/>
    <w:rsid w:val="006D09E3"/>
    <w:rsid w:val="006D0B06"/>
    <w:rsid w:val="006D0B45"/>
    <w:rsid w:val="006D186A"/>
    <w:rsid w:val="006D1E20"/>
    <w:rsid w:val="006D1E8D"/>
    <w:rsid w:val="006D2464"/>
    <w:rsid w:val="006D2922"/>
    <w:rsid w:val="006D2D30"/>
    <w:rsid w:val="006D3661"/>
    <w:rsid w:val="006D3E2A"/>
    <w:rsid w:val="006D3E80"/>
    <w:rsid w:val="006D40E0"/>
    <w:rsid w:val="006D421C"/>
    <w:rsid w:val="006D46C9"/>
    <w:rsid w:val="006D5112"/>
    <w:rsid w:val="006D51D6"/>
    <w:rsid w:val="006D52DF"/>
    <w:rsid w:val="006D5369"/>
    <w:rsid w:val="006D570C"/>
    <w:rsid w:val="006D59F9"/>
    <w:rsid w:val="006D5A0E"/>
    <w:rsid w:val="006D69F5"/>
    <w:rsid w:val="006D72BE"/>
    <w:rsid w:val="006D75AF"/>
    <w:rsid w:val="006E036D"/>
    <w:rsid w:val="006E0EFF"/>
    <w:rsid w:val="006E16CA"/>
    <w:rsid w:val="006E1E92"/>
    <w:rsid w:val="006E2474"/>
    <w:rsid w:val="006E2FF8"/>
    <w:rsid w:val="006E3012"/>
    <w:rsid w:val="006E3624"/>
    <w:rsid w:val="006E3B26"/>
    <w:rsid w:val="006E4023"/>
    <w:rsid w:val="006E442C"/>
    <w:rsid w:val="006E4A04"/>
    <w:rsid w:val="006E4B7E"/>
    <w:rsid w:val="006E5929"/>
    <w:rsid w:val="006E5D0D"/>
    <w:rsid w:val="006E5EC4"/>
    <w:rsid w:val="006E6AC0"/>
    <w:rsid w:val="006E7215"/>
    <w:rsid w:val="006E72E3"/>
    <w:rsid w:val="006F0598"/>
    <w:rsid w:val="006F05B1"/>
    <w:rsid w:val="006F0CA3"/>
    <w:rsid w:val="006F1098"/>
    <w:rsid w:val="006F1864"/>
    <w:rsid w:val="006F1918"/>
    <w:rsid w:val="006F202B"/>
    <w:rsid w:val="006F2462"/>
    <w:rsid w:val="006F27C3"/>
    <w:rsid w:val="006F2E8F"/>
    <w:rsid w:val="006F2F32"/>
    <w:rsid w:val="006F318A"/>
    <w:rsid w:val="006F338E"/>
    <w:rsid w:val="006F352B"/>
    <w:rsid w:val="006F3608"/>
    <w:rsid w:val="006F3BC6"/>
    <w:rsid w:val="006F4180"/>
    <w:rsid w:val="006F4206"/>
    <w:rsid w:val="006F4581"/>
    <w:rsid w:val="006F45BC"/>
    <w:rsid w:val="006F493D"/>
    <w:rsid w:val="006F4944"/>
    <w:rsid w:val="006F4A77"/>
    <w:rsid w:val="006F5ADA"/>
    <w:rsid w:val="006F5E70"/>
    <w:rsid w:val="006F5F1B"/>
    <w:rsid w:val="006F639C"/>
    <w:rsid w:val="006F6463"/>
    <w:rsid w:val="006F6FB0"/>
    <w:rsid w:val="006F7001"/>
    <w:rsid w:val="006F7034"/>
    <w:rsid w:val="006F751A"/>
    <w:rsid w:val="006F760A"/>
    <w:rsid w:val="007000CA"/>
    <w:rsid w:val="007003D2"/>
    <w:rsid w:val="00700872"/>
    <w:rsid w:val="00700987"/>
    <w:rsid w:val="00700CA6"/>
    <w:rsid w:val="00700CFB"/>
    <w:rsid w:val="007011F4"/>
    <w:rsid w:val="00701449"/>
    <w:rsid w:val="007019ED"/>
    <w:rsid w:val="00701F6F"/>
    <w:rsid w:val="00702021"/>
    <w:rsid w:val="0070279D"/>
    <w:rsid w:val="007027B9"/>
    <w:rsid w:val="00702A17"/>
    <w:rsid w:val="00703050"/>
    <w:rsid w:val="00703487"/>
    <w:rsid w:val="007035DA"/>
    <w:rsid w:val="00703D2C"/>
    <w:rsid w:val="007040C5"/>
    <w:rsid w:val="007042AF"/>
    <w:rsid w:val="007045F0"/>
    <w:rsid w:val="00704C3A"/>
    <w:rsid w:val="00705851"/>
    <w:rsid w:val="0070649B"/>
    <w:rsid w:val="00706553"/>
    <w:rsid w:val="0070666D"/>
    <w:rsid w:val="00706687"/>
    <w:rsid w:val="00706E38"/>
    <w:rsid w:val="00706F0C"/>
    <w:rsid w:val="00707098"/>
    <w:rsid w:val="00707691"/>
    <w:rsid w:val="00707786"/>
    <w:rsid w:val="00707816"/>
    <w:rsid w:val="00707CEC"/>
    <w:rsid w:val="00707E4C"/>
    <w:rsid w:val="007102BA"/>
    <w:rsid w:val="00710528"/>
    <w:rsid w:val="00710646"/>
    <w:rsid w:val="00710758"/>
    <w:rsid w:val="007109C3"/>
    <w:rsid w:val="00710B7A"/>
    <w:rsid w:val="00710D02"/>
    <w:rsid w:val="00710D0D"/>
    <w:rsid w:val="00710F01"/>
    <w:rsid w:val="007111B5"/>
    <w:rsid w:val="00711CE5"/>
    <w:rsid w:val="007125C3"/>
    <w:rsid w:val="007129D2"/>
    <w:rsid w:val="00712F4B"/>
    <w:rsid w:val="00712FFD"/>
    <w:rsid w:val="00713AEA"/>
    <w:rsid w:val="00713CFB"/>
    <w:rsid w:val="00713F37"/>
    <w:rsid w:val="00714259"/>
    <w:rsid w:val="0071427B"/>
    <w:rsid w:val="007146A7"/>
    <w:rsid w:val="00714EAD"/>
    <w:rsid w:val="0071516A"/>
    <w:rsid w:val="007156A9"/>
    <w:rsid w:val="00715A4C"/>
    <w:rsid w:val="00715A96"/>
    <w:rsid w:val="00716079"/>
    <w:rsid w:val="007162CA"/>
    <w:rsid w:val="007163DD"/>
    <w:rsid w:val="0071649E"/>
    <w:rsid w:val="00716623"/>
    <w:rsid w:val="00716FED"/>
    <w:rsid w:val="007174A3"/>
    <w:rsid w:val="0071761E"/>
    <w:rsid w:val="00717991"/>
    <w:rsid w:val="00717D74"/>
    <w:rsid w:val="00717EC6"/>
    <w:rsid w:val="00717EE6"/>
    <w:rsid w:val="0072067C"/>
    <w:rsid w:val="00720CC5"/>
    <w:rsid w:val="0072112B"/>
    <w:rsid w:val="0072167B"/>
    <w:rsid w:val="007218BE"/>
    <w:rsid w:val="007219E5"/>
    <w:rsid w:val="00722523"/>
    <w:rsid w:val="007227FE"/>
    <w:rsid w:val="00723589"/>
    <w:rsid w:val="007236E6"/>
    <w:rsid w:val="00723E06"/>
    <w:rsid w:val="0072523E"/>
    <w:rsid w:val="007253C6"/>
    <w:rsid w:val="00725495"/>
    <w:rsid w:val="00725C0B"/>
    <w:rsid w:val="007260CA"/>
    <w:rsid w:val="007261F5"/>
    <w:rsid w:val="00726560"/>
    <w:rsid w:val="007265AD"/>
    <w:rsid w:val="00726632"/>
    <w:rsid w:val="00726797"/>
    <w:rsid w:val="00726E2B"/>
    <w:rsid w:val="00726E80"/>
    <w:rsid w:val="00727386"/>
    <w:rsid w:val="00727899"/>
    <w:rsid w:val="007307EC"/>
    <w:rsid w:val="00730B5D"/>
    <w:rsid w:val="00730CF2"/>
    <w:rsid w:val="00730E4C"/>
    <w:rsid w:val="00730E90"/>
    <w:rsid w:val="00730F75"/>
    <w:rsid w:val="007313C0"/>
    <w:rsid w:val="00731422"/>
    <w:rsid w:val="00731BB9"/>
    <w:rsid w:val="00731DD9"/>
    <w:rsid w:val="007321FD"/>
    <w:rsid w:val="00732243"/>
    <w:rsid w:val="007322E6"/>
    <w:rsid w:val="0073239E"/>
    <w:rsid w:val="007324A8"/>
    <w:rsid w:val="007324B0"/>
    <w:rsid w:val="00732576"/>
    <w:rsid w:val="00732828"/>
    <w:rsid w:val="00732ABF"/>
    <w:rsid w:val="007331DC"/>
    <w:rsid w:val="0073343D"/>
    <w:rsid w:val="0073429A"/>
    <w:rsid w:val="007344E5"/>
    <w:rsid w:val="00734662"/>
    <w:rsid w:val="0073483E"/>
    <w:rsid w:val="007353F6"/>
    <w:rsid w:val="0073585A"/>
    <w:rsid w:val="00735B5B"/>
    <w:rsid w:val="0073601D"/>
    <w:rsid w:val="007367BD"/>
    <w:rsid w:val="00736FAC"/>
    <w:rsid w:val="0073711C"/>
    <w:rsid w:val="00737421"/>
    <w:rsid w:val="007378AA"/>
    <w:rsid w:val="00740C19"/>
    <w:rsid w:val="00740DFE"/>
    <w:rsid w:val="0074191C"/>
    <w:rsid w:val="00741D5C"/>
    <w:rsid w:val="0074218D"/>
    <w:rsid w:val="00742749"/>
    <w:rsid w:val="00742A33"/>
    <w:rsid w:val="00742B9B"/>
    <w:rsid w:val="00742DBA"/>
    <w:rsid w:val="00743140"/>
    <w:rsid w:val="007439D4"/>
    <w:rsid w:val="0074405D"/>
    <w:rsid w:val="00744714"/>
    <w:rsid w:val="00744AE6"/>
    <w:rsid w:val="00744B57"/>
    <w:rsid w:val="00744BB3"/>
    <w:rsid w:val="0074512B"/>
    <w:rsid w:val="0074538C"/>
    <w:rsid w:val="007454D4"/>
    <w:rsid w:val="00745B3E"/>
    <w:rsid w:val="0074602C"/>
    <w:rsid w:val="00746591"/>
    <w:rsid w:val="0074677E"/>
    <w:rsid w:val="007468A2"/>
    <w:rsid w:val="0074699A"/>
    <w:rsid w:val="00746C44"/>
    <w:rsid w:val="00746E51"/>
    <w:rsid w:val="007475E3"/>
    <w:rsid w:val="00747D5C"/>
    <w:rsid w:val="007501C6"/>
    <w:rsid w:val="00750999"/>
    <w:rsid w:val="0075110A"/>
    <w:rsid w:val="00751229"/>
    <w:rsid w:val="0075127B"/>
    <w:rsid w:val="00751925"/>
    <w:rsid w:val="00751A9C"/>
    <w:rsid w:val="00751F2C"/>
    <w:rsid w:val="00752439"/>
    <w:rsid w:val="007528A8"/>
    <w:rsid w:val="00752D5B"/>
    <w:rsid w:val="00752ED2"/>
    <w:rsid w:val="00753217"/>
    <w:rsid w:val="007534AC"/>
    <w:rsid w:val="00753522"/>
    <w:rsid w:val="00753667"/>
    <w:rsid w:val="00753FA6"/>
    <w:rsid w:val="00754563"/>
    <w:rsid w:val="00755096"/>
    <w:rsid w:val="007550C0"/>
    <w:rsid w:val="00755F17"/>
    <w:rsid w:val="00756200"/>
    <w:rsid w:val="0075638F"/>
    <w:rsid w:val="0075654D"/>
    <w:rsid w:val="00756586"/>
    <w:rsid w:val="0075686E"/>
    <w:rsid w:val="007568DA"/>
    <w:rsid w:val="00756CF0"/>
    <w:rsid w:val="00756F00"/>
    <w:rsid w:val="00757CD5"/>
    <w:rsid w:val="00760128"/>
    <w:rsid w:val="0076059C"/>
    <w:rsid w:val="00760CF7"/>
    <w:rsid w:val="007615C6"/>
    <w:rsid w:val="00761E56"/>
    <w:rsid w:val="0076207C"/>
    <w:rsid w:val="0076208B"/>
    <w:rsid w:val="00762AB3"/>
    <w:rsid w:val="00763158"/>
    <w:rsid w:val="00764C39"/>
    <w:rsid w:val="00764C90"/>
    <w:rsid w:val="00764F07"/>
    <w:rsid w:val="0076504E"/>
    <w:rsid w:val="00765216"/>
    <w:rsid w:val="00765DC4"/>
    <w:rsid w:val="0076626E"/>
    <w:rsid w:val="007672E6"/>
    <w:rsid w:val="0076751A"/>
    <w:rsid w:val="00767621"/>
    <w:rsid w:val="00767AA7"/>
    <w:rsid w:val="007700A9"/>
    <w:rsid w:val="0077023F"/>
    <w:rsid w:val="00770555"/>
    <w:rsid w:val="007707E8"/>
    <w:rsid w:val="00770A56"/>
    <w:rsid w:val="00770A9A"/>
    <w:rsid w:val="00771489"/>
    <w:rsid w:val="007719F5"/>
    <w:rsid w:val="00772AD8"/>
    <w:rsid w:val="00772C0D"/>
    <w:rsid w:val="00773331"/>
    <w:rsid w:val="007742A7"/>
    <w:rsid w:val="00775520"/>
    <w:rsid w:val="00775899"/>
    <w:rsid w:val="007758C0"/>
    <w:rsid w:val="00775903"/>
    <w:rsid w:val="00775A93"/>
    <w:rsid w:val="00775CDF"/>
    <w:rsid w:val="00775D54"/>
    <w:rsid w:val="00775E7A"/>
    <w:rsid w:val="00776C78"/>
    <w:rsid w:val="00777141"/>
    <w:rsid w:val="0077716D"/>
    <w:rsid w:val="00777262"/>
    <w:rsid w:val="00777866"/>
    <w:rsid w:val="0077794B"/>
    <w:rsid w:val="00777B08"/>
    <w:rsid w:val="007801E7"/>
    <w:rsid w:val="0078028B"/>
    <w:rsid w:val="00780ADC"/>
    <w:rsid w:val="00780C04"/>
    <w:rsid w:val="007812D7"/>
    <w:rsid w:val="0078171A"/>
    <w:rsid w:val="007818FB"/>
    <w:rsid w:val="00781D89"/>
    <w:rsid w:val="007827F5"/>
    <w:rsid w:val="007829A4"/>
    <w:rsid w:val="00782C1E"/>
    <w:rsid w:val="00782C63"/>
    <w:rsid w:val="0078317E"/>
    <w:rsid w:val="0078354B"/>
    <w:rsid w:val="00783782"/>
    <w:rsid w:val="00783897"/>
    <w:rsid w:val="00783A87"/>
    <w:rsid w:val="00783BE1"/>
    <w:rsid w:val="00783C66"/>
    <w:rsid w:val="00783CAD"/>
    <w:rsid w:val="00784C80"/>
    <w:rsid w:val="007850C0"/>
    <w:rsid w:val="007855D2"/>
    <w:rsid w:val="00785908"/>
    <w:rsid w:val="00785FAB"/>
    <w:rsid w:val="007860A2"/>
    <w:rsid w:val="007860EF"/>
    <w:rsid w:val="00786470"/>
    <w:rsid w:val="00786C5C"/>
    <w:rsid w:val="00786E81"/>
    <w:rsid w:val="00786F5A"/>
    <w:rsid w:val="00790A26"/>
    <w:rsid w:val="00790BC8"/>
    <w:rsid w:val="00790C91"/>
    <w:rsid w:val="00791452"/>
    <w:rsid w:val="007916D8"/>
    <w:rsid w:val="00791C53"/>
    <w:rsid w:val="00791D69"/>
    <w:rsid w:val="0079204C"/>
    <w:rsid w:val="00793283"/>
    <w:rsid w:val="007932EF"/>
    <w:rsid w:val="007935A7"/>
    <w:rsid w:val="00793F5E"/>
    <w:rsid w:val="0079449E"/>
    <w:rsid w:val="00794A65"/>
    <w:rsid w:val="00794B93"/>
    <w:rsid w:val="00794C46"/>
    <w:rsid w:val="00794CF2"/>
    <w:rsid w:val="007952FF"/>
    <w:rsid w:val="007957C9"/>
    <w:rsid w:val="00795BF6"/>
    <w:rsid w:val="007961C5"/>
    <w:rsid w:val="00796569"/>
    <w:rsid w:val="007967B3"/>
    <w:rsid w:val="007969F9"/>
    <w:rsid w:val="00796B8D"/>
    <w:rsid w:val="00796C7E"/>
    <w:rsid w:val="00796F26"/>
    <w:rsid w:val="00797301"/>
    <w:rsid w:val="007973A8"/>
    <w:rsid w:val="0079779B"/>
    <w:rsid w:val="00797BD2"/>
    <w:rsid w:val="007A0620"/>
    <w:rsid w:val="007A14CF"/>
    <w:rsid w:val="007A1802"/>
    <w:rsid w:val="007A1CB1"/>
    <w:rsid w:val="007A1D78"/>
    <w:rsid w:val="007A1F39"/>
    <w:rsid w:val="007A2641"/>
    <w:rsid w:val="007A28CB"/>
    <w:rsid w:val="007A2A69"/>
    <w:rsid w:val="007A2C58"/>
    <w:rsid w:val="007A2C62"/>
    <w:rsid w:val="007A3CFB"/>
    <w:rsid w:val="007A412B"/>
    <w:rsid w:val="007A4A11"/>
    <w:rsid w:val="007A5030"/>
    <w:rsid w:val="007A51DD"/>
    <w:rsid w:val="007A539F"/>
    <w:rsid w:val="007A6215"/>
    <w:rsid w:val="007A668E"/>
    <w:rsid w:val="007B0174"/>
    <w:rsid w:val="007B0824"/>
    <w:rsid w:val="007B0AA0"/>
    <w:rsid w:val="007B0C7C"/>
    <w:rsid w:val="007B0CE3"/>
    <w:rsid w:val="007B0F7A"/>
    <w:rsid w:val="007B14B7"/>
    <w:rsid w:val="007B15E5"/>
    <w:rsid w:val="007B1DBD"/>
    <w:rsid w:val="007B25B4"/>
    <w:rsid w:val="007B26E6"/>
    <w:rsid w:val="007B2847"/>
    <w:rsid w:val="007B2D19"/>
    <w:rsid w:val="007B33BE"/>
    <w:rsid w:val="007B3463"/>
    <w:rsid w:val="007B3691"/>
    <w:rsid w:val="007B393C"/>
    <w:rsid w:val="007B4190"/>
    <w:rsid w:val="007B43D6"/>
    <w:rsid w:val="007B46F5"/>
    <w:rsid w:val="007B48BB"/>
    <w:rsid w:val="007B4B61"/>
    <w:rsid w:val="007B5163"/>
    <w:rsid w:val="007B518C"/>
    <w:rsid w:val="007B5448"/>
    <w:rsid w:val="007B56C4"/>
    <w:rsid w:val="007B58E6"/>
    <w:rsid w:val="007B5B97"/>
    <w:rsid w:val="007B5CCF"/>
    <w:rsid w:val="007B5F1E"/>
    <w:rsid w:val="007B61B7"/>
    <w:rsid w:val="007B6234"/>
    <w:rsid w:val="007B62F7"/>
    <w:rsid w:val="007B6D0A"/>
    <w:rsid w:val="007B6D6D"/>
    <w:rsid w:val="007B6F1D"/>
    <w:rsid w:val="007B73C9"/>
    <w:rsid w:val="007B7477"/>
    <w:rsid w:val="007B7E52"/>
    <w:rsid w:val="007C047D"/>
    <w:rsid w:val="007C27F0"/>
    <w:rsid w:val="007C2BCE"/>
    <w:rsid w:val="007C3B15"/>
    <w:rsid w:val="007C4166"/>
    <w:rsid w:val="007C4172"/>
    <w:rsid w:val="007C417F"/>
    <w:rsid w:val="007C42D5"/>
    <w:rsid w:val="007C4393"/>
    <w:rsid w:val="007C47FA"/>
    <w:rsid w:val="007C4D16"/>
    <w:rsid w:val="007C4D50"/>
    <w:rsid w:val="007C4F89"/>
    <w:rsid w:val="007C57CB"/>
    <w:rsid w:val="007C5BBC"/>
    <w:rsid w:val="007C66EF"/>
    <w:rsid w:val="007C6EDC"/>
    <w:rsid w:val="007C7357"/>
    <w:rsid w:val="007C73B0"/>
    <w:rsid w:val="007C7BAA"/>
    <w:rsid w:val="007D0553"/>
    <w:rsid w:val="007D06A5"/>
    <w:rsid w:val="007D074B"/>
    <w:rsid w:val="007D10D0"/>
    <w:rsid w:val="007D177F"/>
    <w:rsid w:val="007D1B4F"/>
    <w:rsid w:val="007D1C27"/>
    <w:rsid w:val="007D1E31"/>
    <w:rsid w:val="007D218A"/>
    <w:rsid w:val="007D2665"/>
    <w:rsid w:val="007D2ABF"/>
    <w:rsid w:val="007D2D18"/>
    <w:rsid w:val="007D374F"/>
    <w:rsid w:val="007D37F1"/>
    <w:rsid w:val="007D38AF"/>
    <w:rsid w:val="007D39ED"/>
    <w:rsid w:val="007D3A0F"/>
    <w:rsid w:val="007D3B20"/>
    <w:rsid w:val="007D452A"/>
    <w:rsid w:val="007D4888"/>
    <w:rsid w:val="007D49F1"/>
    <w:rsid w:val="007D4D38"/>
    <w:rsid w:val="007D4EDB"/>
    <w:rsid w:val="007D562A"/>
    <w:rsid w:val="007D59CA"/>
    <w:rsid w:val="007D620B"/>
    <w:rsid w:val="007D7044"/>
    <w:rsid w:val="007D730D"/>
    <w:rsid w:val="007D7729"/>
    <w:rsid w:val="007D7F84"/>
    <w:rsid w:val="007E048C"/>
    <w:rsid w:val="007E04EC"/>
    <w:rsid w:val="007E0522"/>
    <w:rsid w:val="007E05B0"/>
    <w:rsid w:val="007E0B04"/>
    <w:rsid w:val="007E0D32"/>
    <w:rsid w:val="007E0E79"/>
    <w:rsid w:val="007E1370"/>
    <w:rsid w:val="007E164D"/>
    <w:rsid w:val="007E1EA0"/>
    <w:rsid w:val="007E2FF1"/>
    <w:rsid w:val="007E30BB"/>
    <w:rsid w:val="007E379E"/>
    <w:rsid w:val="007E3CAD"/>
    <w:rsid w:val="007E3DA3"/>
    <w:rsid w:val="007E3EAD"/>
    <w:rsid w:val="007E3F78"/>
    <w:rsid w:val="007E409B"/>
    <w:rsid w:val="007E4726"/>
    <w:rsid w:val="007E4AAE"/>
    <w:rsid w:val="007E4F2B"/>
    <w:rsid w:val="007E5668"/>
    <w:rsid w:val="007E5713"/>
    <w:rsid w:val="007E5939"/>
    <w:rsid w:val="007E5C5E"/>
    <w:rsid w:val="007E5E4B"/>
    <w:rsid w:val="007E5EC6"/>
    <w:rsid w:val="007E5EEC"/>
    <w:rsid w:val="007E5F29"/>
    <w:rsid w:val="007E6607"/>
    <w:rsid w:val="007E6642"/>
    <w:rsid w:val="007E6A61"/>
    <w:rsid w:val="007E6A98"/>
    <w:rsid w:val="007E6DD1"/>
    <w:rsid w:val="007E6F9E"/>
    <w:rsid w:val="007E6FEB"/>
    <w:rsid w:val="007E7135"/>
    <w:rsid w:val="007E7339"/>
    <w:rsid w:val="007E74AC"/>
    <w:rsid w:val="007E7535"/>
    <w:rsid w:val="007F02EE"/>
    <w:rsid w:val="007F1A91"/>
    <w:rsid w:val="007F2188"/>
    <w:rsid w:val="007F2507"/>
    <w:rsid w:val="007F2682"/>
    <w:rsid w:val="007F2B37"/>
    <w:rsid w:val="007F3832"/>
    <w:rsid w:val="007F3843"/>
    <w:rsid w:val="007F3D3B"/>
    <w:rsid w:val="007F3E49"/>
    <w:rsid w:val="007F3F97"/>
    <w:rsid w:val="007F403B"/>
    <w:rsid w:val="007F4109"/>
    <w:rsid w:val="007F4668"/>
    <w:rsid w:val="007F4808"/>
    <w:rsid w:val="007F5107"/>
    <w:rsid w:val="007F55E6"/>
    <w:rsid w:val="007F5C43"/>
    <w:rsid w:val="007F6188"/>
    <w:rsid w:val="007F6531"/>
    <w:rsid w:val="007F7049"/>
    <w:rsid w:val="007F7301"/>
    <w:rsid w:val="007F78C0"/>
    <w:rsid w:val="007F7BB8"/>
    <w:rsid w:val="007F7C7B"/>
    <w:rsid w:val="007F7D31"/>
    <w:rsid w:val="007F7ED4"/>
    <w:rsid w:val="00800CA8"/>
    <w:rsid w:val="00800F82"/>
    <w:rsid w:val="0080166D"/>
    <w:rsid w:val="0080177A"/>
    <w:rsid w:val="008017B6"/>
    <w:rsid w:val="00801CD3"/>
    <w:rsid w:val="00802ED9"/>
    <w:rsid w:val="00803995"/>
    <w:rsid w:val="0080410C"/>
    <w:rsid w:val="00804692"/>
    <w:rsid w:val="00804ED0"/>
    <w:rsid w:val="0080520F"/>
    <w:rsid w:val="00805507"/>
    <w:rsid w:val="00805559"/>
    <w:rsid w:val="008055D9"/>
    <w:rsid w:val="008056B1"/>
    <w:rsid w:val="00805A2A"/>
    <w:rsid w:val="00805B14"/>
    <w:rsid w:val="00806012"/>
    <w:rsid w:val="008061FE"/>
    <w:rsid w:val="0080692B"/>
    <w:rsid w:val="008075C1"/>
    <w:rsid w:val="00807E2B"/>
    <w:rsid w:val="00807F26"/>
    <w:rsid w:val="008101BD"/>
    <w:rsid w:val="0081032F"/>
    <w:rsid w:val="0081045C"/>
    <w:rsid w:val="008108E7"/>
    <w:rsid w:val="0081151D"/>
    <w:rsid w:val="00811562"/>
    <w:rsid w:val="00811625"/>
    <w:rsid w:val="00811913"/>
    <w:rsid w:val="00811BC1"/>
    <w:rsid w:val="00811DC9"/>
    <w:rsid w:val="00811FD5"/>
    <w:rsid w:val="00812089"/>
    <w:rsid w:val="008122CA"/>
    <w:rsid w:val="00812757"/>
    <w:rsid w:val="00812946"/>
    <w:rsid w:val="00812E2C"/>
    <w:rsid w:val="0081337C"/>
    <w:rsid w:val="00813661"/>
    <w:rsid w:val="00813D03"/>
    <w:rsid w:val="008141C2"/>
    <w:rsid w:val="00814244"/>
    <w:rsid w:val="008149B9"/>
    <w:rsid w:val="00814B6E"/>
    <w:rsid w:val="008153C2"/>
    <w:rsid w:val="00815A6F"/>
    <w:rsid w:val="008169CB"/>
    <w:rsid w:val="00816A92"/>
    <w:rsid w:val="00816C4C"/>
    <w:rsid w:val="00817C33"/>
    <w:rsid w:val="00817D7F"/>
    <w:rsid w:val="008204A0"/>
    <w:rsid w:val="00820815"/>
    <w:rsid w:val="00820A34"/>
    <w:rsid w:val="00820D20"/>
    <w:rsid w:val="00821CE0"/>
    <w:rsid w:val="00822088"/>
    <w:rsid w:val="008222F7"/>
    <w:rsid w:val="00823638"/>
    <w:rsid w:val="00823931"/>
    <w:rsid w:val="008239BE"/>
    <w:rsid w:val="00824161"/>
    <w:rsid w:val="0082417F"/>
    <w:rsid w:val="0082432A"/>
    <w:rsid w:val="0082437B"/>
    <w:rsid w:val="00825230"/>
    <w:rsid w:val="0082538C"/>
    <w:rsid w:val="00825561"/>
    <w:rsid w:val="008256A1"/>
    <w:rsid w:val="00825884"/>
    <w:rsid w:val="0082605D"/>
    <w:rsid w:val="008261A0"/>
    <w:rsid w:val="00826BEA"/>
    <w:rsid w:val="00826E19"/>
    <w:rsid w:val="0082703E"/>
    <w:rsid w:val="00827088"/>
    <w:rsid w:val="00827215"/>
    <w:rsid w:val="00827540"/>
    <w:rsid w:val="00827A49"/>
    <w:rsid w:val="00827D12"/>
    <w:rsid w:val="00827DB8"/>
    <w:rsid w:val="00827EB5"/>
    <w:rsid w:val="00830659"/>
    <w:rsid w:val="00830F27"/>
    <w:rsid w:val="00830F81"/>
    <w:rsid w:val="00831030"/>
    <w:rsid w:val="00831818"/>
    <w:rsid w:val="00831D1A"/>
    <w:rsid w:val="00831E96"/>
    <w:rsid w:val="008325A9"/>
    <w:rsid w:val="008326C2"/>
    <w:rsid w:val="00832A29"/>
    <w:rsid w:val="00832EBD"/>
    <w:rsid w:val="008334C1"/>
    <w:rsid w:val="0083361D"/>
    <w:rsid w:val="008336CF"/>
    <w:rsid w:val="00833F34"/>
    <w:rsid w:val="00834244"/>
    <w:rsid w:val="008352F0"/>
    <w:rsid w:val="00835336"/>
    <w:rsid w:val="008356EE"/>
    <w:rsid w:val="00835809"/>
    <w:rsid w:val="00835E84"/>
    <w:rsid w:val="008361E6"/>
    <w:rsid w:val="008365C5"/>
    <w:rsid w:val="00836958"/>
    <w:rsid w:val="00836D74"/>
    <w:rsid w:val="0083726F"/>
    <w:rsid w:val="00837614"/>
    <w:rsid w:val="008376CC"/>
    <w:rsid w:val="0083789A"/>
    <w:rsid w:val="00837980"/>
    <w:rsid w:val="00840234"/>
    <w:rsid w:val="00840413"/>
    <w:rsid w:val="00840BC1"/>
    <w:rsid w:val="008415B1"/>
    <w:rsid w:val="00841691"/>
    <w:rsid w:val="008418B7"/>
    <w:rsid w:val="0084202F"/>
    <w:rsid w:val="00842485"/>
    <w:rsid w:val="00843028"/>
    <w:rsid w:val="00843561"/>
    <w:rsid w:val="00843839"/>
    <w:rsid w:val="0084391F"/>
    <w:rsid w:val="008440C9"/>
    <w:rsid w:val="0084420C"/>
    <w:rsid w:val="00844428"/>
    <w:rsid w:val="008446CA"/>
    <w:rsid w:val="00844CDD"/>
    <w:rsid w:val="0084536A"/>
    <w:rsid w:val="00845393"/>
    <w:rsid w:val="00845473"/>
    <w:rsid w:val="00845E72"/>
    <w:rsid w:val="00846115"/>
    <w:rsid w:val="00846360"/>
    <w:rsid w:val="00847DB4"/>
    <w:rsid w:val="00847FE5"/>
    <w:rsid w:val="0085025F"/>
    <w:rsid w:val="00850A85"/>
    <w:rsid w:val="0085166B"/>
    <w:rsid w:val="008517B8"/>
    <w:rsid w:val="00851C34"/>
    <w:rsid w:val="00851CE7"/>
    <w:rsid w:val="008522D4"/>
    <w:rsid w:val="00852484"/>
    <w:rsid w:val="00852CE3"/>
    <w:rsid w:val="00853AE5"/>
    <w:rsid w:val="00853AEE"/>
    <w:rsid w:val="00854123"/>
    <w:rsid w:val="00854D04"/>
    <w:rsid w:val="0085500E"/>
    <w:rsid w:val="00855031"/>
    <w:rsid w:val="008550C2"/>
    <w:rsid w:val="008555D5"/>
    <w:rsid w:val="0085584A"/>
    <w:rsid w:val="00855C5A"/>
    <w:rsid w:val="00855FBE"/>
    <w:rsid w:val="00856223"/>
    <w:rsid w:val="008567DA"/>
    <w:rsid w:val="0085737F"/>
    <w:rsid w:val="008576F1"/>
    <w:rsid w:val="0086016E"/>
    <w:rsid w:val="008609B9"/>
    <w:rsid w:val="008611C0"/>
    <w:rsid w:val="00861AEE"/>
    <w:rsid w:val="0086325C"/>
    <w:rsid w:val="00863955"/>
    <w:rsid w:val="00863B91"/>
    <w:rsid w:val="00863DC1"/>
    <w:rsid w:val="00863FEA"/>
    <w:rsid w:val="00865149"/>
    <w:rsid w:val="008651CA"/>
    <w:rsid w:val="0086529E"/>
    <w:rsid w:val="00865968"/>
    <w:rsid w:val="00865FE4"/>
    <w:rsid w:val="00865FE6"/>
    <w:rsid w:val="008661A4"/>
    <w:rsid w:val="008661FA"/>
    <w:rsid w:val="00866BB3"/>
    <w:rsid w:val="00866E0B"/>
    <w:rsid w:val="00867815"/>
    <w:rsid w:val="00867BDD"/>
    <w:rsid w:val="00870AE8"/>
    <w:rsid w:val="0087140F"/>
    <w:rsid w:val="00871731"/>
    <w:rsid w:val="00871ED1"/>
    <w:rsid w:val="008722E6"/>
    <w:rsid w:val="008722F8"/>
    <w:rsid w:val="00872C2B"/>
    <w:rsid w:val="0087322A"/>
    <w:rsid w:val="008735D0"/>
    <w:rsid w:val="0087376B"/>
    <w:rsid w:val="00873D15"/>
    <w:rsid w:val="00873DE2"/>
    <w:rsid w:val="00873F2C"/>
    <w:rsid w:val="00873FDF"/>
    <w:rsid w:val="0087428C"/>
    <w:rsid w:val="00874D22"/>
    <w:rsid w:val="008751F3"/>
    <w:rsid w:val="0087596D"/>
    <w:rsid w:val="00876006"/>
    <w:rsid w:val="008761CA"/>
    <w:rsid w:val="0087671B"/>
    <w:rsid w:val="00876C6E"/>
    <w:rsid w:val="0087753A"/>
    <w:rsid w:val="00877738"/>
    <w:rsid w:val="00877794"/>
    <w:rsid w:val="008777F8"/>
    <w:rsid w:val="00877E95"/>
    <w:rsid w:val="00877EBE"/>
    <w:rsid w:val="00880CAB"/>
    <w:rsid w:val="008814CC"/>
    <w:rsid w:val="00881C7B"/>
    <w:rsid w:val="00881EF4"/>
    <w:rsid w:val="00881F9C"/>
    <w:rsid w:val="00882758"/>
    <w:rsid w:val="00882989"/>
    <w:rsid w:val="00882DA8"/>
    <w:rsid w:val="00882DCC"/>
    <w:rsid w:val="00883149"/>
    <w:rsid w:val="00883C5E"/>
    <w:rsid w:val="00884215"/>
    <w:rsid w:val="00884226"/>
    <w:rsid w:val="008851D1"/>
    <w:rsid w:val="008854BA"/>
    <w:rsid w:val="00885EBF"/>
    <w:rsid w:val="00885F7F"/>
    <w:rsid w:val="0088614F"/>
    <w:rsid w:val="00886568"/>
    <w:rsid w:val="008865B4"/>
    <w:rsid w:val="008869B9"/>
    <w:rsid w:val="00886B13"/>
    <w:rsid w:val="00886BE7"/>
    <w:rsid w:val="00886EE2"/>
    <w:rsid w:val="00887A96"/>
    <w:rsid w:val="00887CD3"/>
    <w:rsid w:val="00887E18"/>
    <w:rsid w:val="00887FDE"/>
    <w:rsid w:val="00890088"/>
    <w:rsid w:val="008902B9"/>
    <w:rsid w:val="008902CB"/>
    <w:rsid w:val="00890312"/>
    <w:rsid w:val="00890429"/>
    <w:rsid w:val="0089071E"/>
    <w:rsid w:val="008909AD"/>
    <w:rsid w:val="00890F61"/>
    <w:rsid w:val="008912DD"/>
    <w:rsid w:val="008913F1"/>
    <w:rsid w:val="0089186F"/>
    <w:rsid w:val="00891931"/>
    <w:rsid w:val="00892241"/>
    <w:rsid w:val="00892380"/>
    <w:rsid w:val="008928CE"/>
    <w:rsid w:val="00892E31"/>
    <w:rsid w:val="00892EBB"/>
    <w:rsid w:val="00892F48"/>
    <w:rsid w:val="0089302E"/>
    <w:rsid w:val="0089304F"/>
    <w:rsid w:val="0089378C"/>
    <w:rsid w:val="00894615"/>
    <w:rsid w:val="00894639"/>
    <w:rsid w:val="00894CA0"/>
    <w:rsid w:val="00895024"/>
    <w:rsid w:val="008953DE"/>
    <w:rsid w:val="00895511"/>
    <w:rsid w:val="00896C4C"/>
    <w:rsid w:val="00896FC7"/>
    <w:rsid w:val="008973AF"/>
    <w:rsid w:val="00897615"/>
    <w:rsid w:val="008976DD"/>
    <w:rsid w:val="00897BD4"/>
    <w:rsid w:val="008A0115"/>
    <w:rsid w:val="008A1239"/>
    <w:rsid w:val="008A1AB9"/>
    <w:rsid w:val="008A20FB"/>
    <w:rsid w:val="008A2910"/>
    <w:rsid w:val="008A2914"/>
    <w:rsid w:val="008A293B"/>
    <w:rsid w:val="008A2E5F"/>
    <w:rsid w:val="008A2FEB"/>
    <w:rsid w:val="008A30D2"/>
    <w:rsid w:val="008A3652"/>
    <w:rsid w:val="008A3CB1"/>
    <w:rsid w:val="008A4005"/>
    <w:rsid w:val="008A41CF"/>
    <w:rsid w:val="008A41FC"/>
    <w:rsid w:val="008A4264"/>
    <w:rsid w:val="008A4746"/>
    <w:rsid w:val="008A488F"/>
    <w:rsid w:val="008A49F7"/>
    <w:rsid w:val="008A4A70"/>
    <w:rsid w:val="008A582B"/>
    <w:rsid w:val="008A5B5A"/>
    <w:rsid w:val="008A5E16"/>
    <w:rsid w:val="008A5F68"/>
    <w:rsid w:val="008A64C8"/>
    <w:rsid w:val="008A65F6"/>
    <w:rsid w:val="008A6887"/>
    <w:rsid w:val="008A6C77"/>
    <w:rsid w:val="008A6CD4"/>
    <w:rsid w:val="008A6E6B"/>
    <w:rsid w:val="008A73A8"/>
    <w:rsid w:val="008A7562"/>
    <w:rsid w:val="008A786D"/>
    <w:rsid w:val="008A79C5"/>
    <w:rsid w:val="008B0A50"/>
    <w:rsid w:val="008B16B3"/>
    <w:rsid w:val="008B1759"/>
    <w:rsid w:val="008B182C"/>
    <w:rsid w:val="008B1D84"/>
    <w:rsid w:val="008B1DD7"/>
    <w:rsid w:val="008B218C"/>
    <w:rsid w:val="008B24BF"/>
    <w:rsid w:val="008B2E88"/>
    <w:rsid w:val="008B3403"/>
    <w:rsid w:val="008B3850"/>
    <w:rsid w:val="008B4120"/>
    <w:rsid w:val="008B41A5"/>
    <w:rsid w:val="008B4679"/>
    <w:rsid w:val="008B4684"/>
    <w:rsid w:val="008B4B72"/>
    <w:rsid w:val="008B4DFC"/>
    <w:rsid w:val="008B4E1C"/>
    <w:rsid w:val="008B4EC5"/>
    <w:rsid w:val="008B521C"/>
    <w:rsid w:val="008B5B7E"/>
    <w:rsid w:val="008B5C5C"/>
    <w:rsid w:val="008B6215"/>
    <w:rsid w:val="008B632A"/>
    <w:rsid w:val="008B6404"/>
    <w:rsid w:val="008B680C"/>
    <w:rsid w:val="008B7367"/>
    <w:rsid w:val="008B7409"/>
    <w:rsid w:val="008C00AD"/>
    <w:rsid w:val="008C117F"/>
    <w:rsid w:val="008C137B"/>
    <w:rsid w:val="008C1C13"/>
    <w:rsid w:val="008C1C35"/>
    <w:rsid w:val="008C1F54"/>
    <w:rsid w:val="008C2203"/>
    <w:rsid w:val="008C270F"/>
    <w:rsid w:val="008C276B"/>
    <w:rsid w:val="008C297C"/>
    <w:rsid w:val="008C2C62"/>
    <w:rsid w:val="008C2DF6"/>
    <w:rsid w:val="008C440F"/>
    <w:rsid w:val="008C444C"/>
    <w:rsid w:val="008C489F"/>
    <w:rsid w:val="008C529F"/>
    <w:rsid w:val="008C5A17"/>
    <w:rsid w:val="008C5DA8"/>
    <w:rsid w:val="008C679F"/>
    <w:rsid w:val="008C6C91"/>
    <w:rsid w:val="008C71F2"/>
    <w:rsid w:val="008C7369"/>
    <w:rsid w:val="008D02F9"/>
    <w:rsid w:val="008D03FC"/>
    <w:rsid w:val="008D04EB"/>
    <w:rsid w:val="008D0A27"/>
    <w:rsid w:val="008D0E0D"/>
    <w:rsid w:val="008D11D3"/>
    <w:rsid w:val="008D1560"/>
    <w:rsid w:val="008D205B"/>
    <w:rsid w:val="008D26B5"/>
    <w:rsid w:val="008D291B"/>
    <w:rsid w:val="008D2F18"/>
    <w:rsid w:val="008D33A3"/>
    <w:rsid w:val="008D3CF6"/>
    <w:rsid w:val="008D4096"/>
    <w:rsid w:val="008D43B1"/>
    <w:rsid w:val="008D43D3"/>
    <w:rsid w:val="008D5043"/>
    <w:rsid w:val="008D56BC"/>
    <w:rsid w:val="008D5AD0"/>
    <w:rsid w:val="008D5BB5"/>
    <w:rsid w:val="008D5EF9"/>
    <w:rsid w:val="008D60F3"/>
    <w:rsid w:val="008D65A6"/>
    <w:rsid w:val="008D6A0F"/>
    <w:rsid w:val="008D6A4A"/>
    <w:rsid w:val="008D6CFE"/>
    <w:rsid w:val="008D6FE5"/>
    <w:rsid w:val="008D78AB"/>
    <w:rsid w:val="008D7FF0"/>
    <w:rsid w:val="008E0946"/>
    <w:rsid w:val="008E0D0F"/>
    <w:rsid w:val="008E11C2"/>
    <w:rsid w:val="008E1A38"/>
    <w:rsid w:val="008E1C07"/>
    <w:rsid w:val="008E2689"/>
    <w:rsid w:val="008E2A74"/>
    <w:rsid w:val="008E2B48"/>
    <w:rsid w:val="008E2C95"/>
    <w:rsid w:val="008E328A"/>
    <w:rsid w:val="008E3628"/>
    <w:rsid w:val="008E38D6"/>
    <w:rsid w:val="008E3EE8"/>
    <w:rsid w:val="008E4420"/>
    <w:rsid w:val="008E498B"/>
    <w:rsid w:val="008E4A3C"/>
    <w:rsid w:val="008E4D8E"/>
    <w:rsid w:val="008E4EE8"/>
    <w:rsid w:val="008E502F"/>
    <w:rsid w:val="008E55AC"/>
    <w:rsid w:val="008E5A70"/>
    <w:rsid w:val="008E5B89"/>
    <w:rsid w:val="008E6D55"/>
    <w:rsid w:val="008E6EF3"/>
    <w:rsid w:val="008E7049"/>
    <w:rsid w:val="008E769E"/>
    <w:rsid w:val="008E7FF4"/>
    <w:rsid w:val="008F0046"/>
    <w:rsid w:val="008F042C"/>
    <w:rsid w:val="008F07AA"/>
    <w:rsid w:val="008F0EC2"/>
    <w:rsid w:val="008F0F07"/>
    <w:rsid w:val="008F142C"/>
    <w:rsid w:val="008F2563"/>
    <w:rsid w:val="008F29DD"/>
    <w:rsid w:val="008F2A37"/>
    <w:rsid w:val="008F2B36"/>
    <w:rsid w:val="008F2F08"/>
    <w:rsid w:val="008F30B5"/>
    <w:rsid w:val="008F33CF"/>
    <w:rsid w:val="008F381E"/>
    <w:rsid w:val="008F4011"/>
    <w:rsid w:val="008F43A0"/>
    <w:rsid w:val="008F4E24"/>
    <w:rsid w:val="008F4EF2"/>
    <w:rsid w:val="008F54A7"/>
    <w:rsid w:val="008F5B4C"/>
    <w:rsid w:val="008F5C5B"/>
    <w:rsid w:val="008F5DB1"/>
    <w:rsid w:val="008F6726"/>
    <w:rsid w:val="008F7294"/>
    <w:rsid w:val="008F72E9"/>
    <w:rsid w:val="008F78F5"/>
    <w:rsid w:val="008F7BC6"/>
    <w:rsid w:val="008F7D5E"/>
    <w:rsid w:val="00900110"/>
    <w:rsid w:val="0090024A"/>
    <w:rsid w:val="0090065A"/>
    <w:rsid w:val="009007C6"/>
    <w:rsid w:val="00900E3F"/>
    <w:rsid w:val="00900E84"/>
    <w:rsid w:val="00900FD7"/>
    <w:rsid w:val="00901255"/>
    <w:rsid w:val="00901B2F"/>
    <w:rsid w:val="00901FCD"/>
    <w:rsid w:val="00902588"/>
    <w:rsid w:val="00902875"/>
    <w:rsid w:val="00902A37"/>
    <w:rsid w:val="00902B4B"/>
    <w:rsid w:val="00902BEA"/>
    <w:rsid w:val="00902FE9"/>
    <w:rsid w:val="00903772"/>
    <w:rsid w:val="0090381B"/>
    <w:rsid w:val="0090397B"/>
    <w:rsid w:val="00903A31"/>
    <w:rsid w:val="00903C00"/>
    <w:rsid w:val="00903EFE"/>
    <w:rsid w:val="009049C1"/>
    <w:rsid w:val="00904C8F"/>
    <w:rsid w:val="00904D5D"/>
    <w:rsid w:val="00904E81"/>
    <w:rsid w:val="00905222"/>
    <w:rsid w:val="00905362"/>
    <w:rsid w:val="0090549F"/>
    <w:rsid w:val="009054F3"/>
    <w:rsid w:val="00906390"/>
    <w:rsid w:val="00906580"/>
    <w:rsid w:val="00906654"/>
    <w:rsid w:val="009068FA"/>
    <w:rsid w:val="009070CC"/>
    <w:rsid w:val="00907334"/>
    <w:rsid w:val="00907425"/>
    <w:rsid w:val="009078DC"/>
    <w:rsid w:val="00910061"/>
    <w:rsid w:val="009103E0"/>
    <w:rsid w:val="0091063E"/>
    <w:rsid w:val="00910787"/>
    <w:rsid w:val="00910D3B"/>
    <w:rsid w:val="00911057"/>
    <w:rsid w:val="00911444"/>
    <w:rsid w:val="0091176A"/>
    <w:rsid w:val="00911799"/>
    <w:rsid w:val="00911C60"/>
    <w:rsid w:val="009121A4"/>
    <w:rsid w:val="00912287"/>
    <w:rsid w:val="00912893"/>
    <w:rsid w:val="00912F61"/>
    <w:rsid w:val="0091327F"/>
    <w:rsid w:val="009133DF"/>
    <w:rsid w:val="009136B8"/>
    <w:rsid w:val="00913942"/>
    <w:rsid w:val="009146B4"/>
    <w:rsid w:val="009148D0"/>
    <w:rsid w:val="00914AF3"/>
    <w:rsid w:val="00914E08"/>
    <w:rsid w:val="00914FA7"/>
    <w:rsid w:val="00915462"/>
    <w:rsid w:val="0091566F"/>
    <w:rsid w:val="0091584B"/>
    <w:rsid w:val="0091609A"/>
    <w:rsid w:val="0091615B"/>
    <w:rsid w:val="009167D0"/>
    <w:rsid w:val="00916A10"/>
    <w:rsid w:val="009174CF"/>
    <w:rsid w:val="00917880"/>
    <w:rsid w:val="009179DE"/>
    <w:rsid w:val="00917DC4"/>
    <w:rsid w:val="009205DE"/>
    <w:rsid w:val="0092064C"/>
    <w:rsid w:val="00920720"/>
    <w:rsid w:val="009210DF"/>
    <w:rsid w:val="009212D0"/>
    <w:rsid w:val="009213D8"/>
    <w:rsid w:val="00921568"/>
    <w:rsid w:val="0092180F"/>
    <w:rsid w:val="00921E4B"/>
    <w:rsid w:val="00921FBE"/>
    <w:rsid w:val="00922564"/>
    <w:rsid w:val="009225D8"/>
    <w:rsid w:val="00922651"/>
    <w:rsid w:val="009228CE"/>
    <w:rsid w:val="00922F7C"/>
    <w:rsid w:val="009230A4"/>
    <w:rsid w:val="0092337C"/>
    <w:rsid w:val="0092364F"/>
    <w:rsid w:val="0092375F"/>
    <w:rsid w:val="00923795"/>
    <w:rsid w:val="009238AC"/>
    <w:rsid w:val="00923F65"/>
    <w:rsid w:val="00923F87"/>
    <w:rsid w:val="0092414B"/>
    <w:rsid w:val="00924532"/>
    <w:rsid w:val="00924780"/>
    <w:rsid w:val="0092484C"/>
    <w:rsid w:val="009249B6"/>
    <w:rsid w:val="00924CAD"/>
    <w:rsid w:val="00925BED"/>
    <w:rsid w:val="00926150"/>
    <w:rsid w:val="009262FA"/>
    <w:rsid w:val="00926337"/>
    <w:rsid w:val="00926369"/>
    <w:rsid w:val="00926CEA"/>
    <w:rsid w:val="00926D60"/>
    <w:rsid w:val="00926E7E"/>
    <w:rsid w:val="00926ECC"/>
    <w:rsid w:val="0092707E"/>
    <w:rsid w:val="00927277"/>
    <w:rsid w:val="00930371"/>
    <w:rsid w:val="009303B3"/>
    <w:rsid w:val="0093065F"/>
    <w:rsid w:val="0093083D"/>
    <w:rsid w:val="00930AD5"/>
    <w:rsid w:val="00930F38"/>
    <w:rsid w:val="00930F6F"/>
    <w:rsid w:val="00931182"/>
    <w:rsid w:val="00931423"/>
    <w:rsid w:val="0093146E"/>
    <w:rsid w:val="00931570"/>
    <w:rsid w:val="0093177F"/>
    <w:rsid w:val="00931808"/>
    <w:rsid w:val="00931B41"/>
    <w:rsid w:val="00931C31"/>
    <w:rsid w:val="0093212A"/>
    <w:rsid w:val="0093228D"/>
    <w:rsid w:val="00932319"/>
    <w:rsid w:val="00932C95"/>
    <w:rsid w:val="00932EDB"/>
    <w:rsid w:val="00933214"/>
    <w:rsid w:val="00933C8F"/>
    <w:rsid w:val="00933D85"/>
    <w:rsid w:val="00933E14"/>
    <w:rsid w:val="00933F28"/>
    <w:rsid w:val="00934420"/>
    <w:rsid w:val="0093471A"/>
    <w:rsid w:val="00934796"/>
    <w:rsid w:val="0093595A"/>
    <w:rsid w:val="0093596D"/>
    <w:rsid w:val="0093598D"/>
    <w:rsid w:val="00935E21"/>
    <w:rsid w:val="00935E6E"/>
    <w:rsid w:val="009360AB"/>
    <w:rsid w:val="00936541"/>
    <w:rsid w:val="009368F6"/>
    <w:rsid w:val="009375B2"/>
    <w:rsid w:val="00937BA2"/>
    <w:rsid w:val="00937F67"/>
    <w:rsid w:val="00940016"/>
    <w:rsid w:val="0094021C"/>
    <w:rsid w:val="00940454"/>
    <w:rsid w:val="009407CF"/>
    <w:rsid w:val="009408AD"/>
    <w:rsid w:val="00941020"/>
    <w:rsid w:val="00941073"/>
    <w:rsid w:val="00941136"/>
    <w:rsid w:val="00941406"/>
    <w:rsid w:val="00941498"/>
    <w:rsid w:val="009415E1"/>
    <w:rsid w:val="00941915"/>
    <w:rsid w:val="0094206C"/>
    <w:rsid w:val="009420DE"/>
    <w:rsid w:val="009424B8"/>
    <w:rsid w:val="00942CCD"/>
    <w:rsid w:val="00942D54"/>
    <w:rsid w:val="00943E17"/>
    <w:rsid w:val="00943E9B"/>
    <w:rsid w:val="00944E5F"/>
    <w:rsid w:val="00945D05"/>
    <w:rsid w:val="0094630B"/>
    <w:rsid w:val="00946534"/>
    <w:rsid w:val="00946852"/>
    <w:rsid w:val="00946E77"/>
    <w:rsid w:val="00946F68"/>
    <w:rsid w:val="00947110"/>
    <w:rsid w:val="009475BB"/>
    <w:rsid w:val="009476B3"/>
    <w:rsid w:val="00950D70"/>
    <w:rsid w:val="00950D92"/>
    <w:rsid w:val="0095169E"/>
    <w:rsid w:val="00951AFB"/>
    <w:rsid w:val="009522B9"/>
    <w:rsid w:val="00953B89"/>
    <w:rsid w:val="00954B4F"/>
    <w:rsid w:val="00954E11"/>
    <w:rsid w:val="009554F5"/>
    <w:rsid w:val="00955A00"/>
    <w:rsid w:val="00955DA6"/>
    <w:rsid w:val="00956714"/>
    <w:rsid w:val="00956815"/>
    <w:rsid w:val="009568D4"/>
    <w:rsid w:val="009568DF"/>
    <w:rsid w:val="00956AE0"/>
    <w:rsid w:val="00956CAC"/>
    <w:rsid w:val="00956D06"/>
    <w:rsid w:val="009570E5"/>
    <w:rsid w:val="009575B9"/>
    <w:rsid w:val="0095769A"/>
    <w:rsid w:val="00957ED4"/>
    <w:rsid w:val="0096176C"/>
    <w:rsid w:val="0096242C"/>
    <w:rsid w:val="00962DF6"/>
    <w:rsid w:val="00962E75"/>
    <w:rsid w:val="0096331C"/>
    <w:rsid w:val="00964005"/>
    <w:rsid w:val="00964A4A"/>
    <w:rsid w:val="009650DF"/>
    <w:rsid w:val="009658C5"/>
    <w:rsid w:val="00965AF0"/>
    <w:rsid w:val="00965D8A"/>
    <w:rsid w:val="0096609A"/>
    <w:rsid w:val="0096618F"/>
    <w:rsid w:val="009665BC"/>
    <w:rsid w:val="00966804"/>
    <w:rsid w:val="00966A06"/>
    <w:rsid w:val="0096708D"/>
    <w:rsid w:val="009672FE"/>
    <w:rsid w:val="009675A8"/>
    <w:rsid w:val="00967E65"/>
    <w:rsid w:val="00967FDA"/>
    <w:rsid w:val="009704CB"/>
    <w:rsid w:val="009706EF"/>
    <w:rsid w:val="00970F48"/>
    <w:rsid w:val="00971673"/>
    <w:rsid w:val="00971747"/>
    <w:rsid w:val="00971A45"/>
    <w:rsid w:val="00971CAC"/>
    <w:rsid w:val="00972024"/>
    <w:rsid w:val="00972333"/>
    <w:rsid w:val="00972899"/>
    <w:rsid w:val="00972906"/>
    <w:rsid w:val="0097395C"/>
    <w:rsid w:val="009743F4"/>
    <w:rsid w:val="00974AD2"/>
    <w:rsid w:val="009750AA"/>
    <w:rsid w:val="00975CAA"/>
    <w:rsid w:val="00975EE4"/>
    <w:rsid w:val="00975F19"/>
    <w:rsid w:val="00976115"/>
    <w:rsid w:val="009764B3"/>
    <w:rsid w:val="00976514"/>
    <w:rsid w:val="009766B6"/>
    <w:rsid w:val="00976704"/>
    <w:rsid w:val="009769C0"/>
    <w:rsid w:val="00976A02"/>
    <w:rsid w:val="00976E46"/>
    <w:rsid w:val="0097709D"/>
    <w:rsid w:val="00977102"/>
    <w:rsid w:val="009774B3"/>
    <w:rsid w:val="00977559"/>
    <w:rsid w:val="009777F5"/>
    <w:rsid w:val="00977A59"/>
    <w:rsid w:val="00980354"/>
    <w:rsid w:val="00980923"/>
    <w:rsid w:val="00980BFE"/>
    <w:rsid w:val="00980E79"/>
    <w:rsid w:val="009812B7"/>
    <w:rsid w:val="0098173A"/>
    <w:rsid w:val="00981BAA"/>
    <w:rsid w:val="00982816"/>
    <w:rsid w:val="00982A25"/>
    <w:rsid w:val="00983099"/>
    <w:rsid w:val="00983472"/>
    <w:rsid w:val="00983717"/>
    <w:rsid w:val="00983A57"/>
    <w:rsid w:val="00983EAC"/>
    <w:rsid w:val="009842D5"/>
    <w:rsid w:val="009848C7"/>
    <w:rsid w:val="00984904"/>
    <w:rsid w:val="00985A16"/>
    <w:rsid w:val="00985CA8"/>
    <w:rsid w:val="00986294"/>
    <w:rsid w:val="009863C6"/>
    <w:rsid w:val="00986807"/>
    <w:rsid w:val="00986A5E"/>
    <w:rsid w:val="00986B28"/>
    <w:rsid w:val="00986C79"/>
    <w:rsid w:val="00986D04"/>
    <w:rsid w:val="009874FB"/>
    <w:rsid w:val="00987636"/>
    <w:rsid w:val="00987909"/>
    <w:rsid w:val="0098793A"/>
    <w:rsid w:val="0099016D"/>
    <w:rsid w:val="009910D5"/>
    <w:rsid w:val="00991C42"/>
    <w:rsid w:val="009929AE"/>
    <w:rsid w:val="00992EEB"/>
    <w:rsid w:val="00992FCE"/>
    <w:rsid w:val="00993727"/>
    <w:rsid w:val="009937EC"/>
    <w:rsid w:val="00995D97"/>
    <w:rsid w:val="00996015"/>
    <w:rsid w:val="009960C7"/>
    <w:rsid w:val="0099646F"/>
    <w:rsid w:val="00996EF4"/>
    <w:rsid w:val="009970A4"/>
    <w:rsid w:val="00997F50"/>
    <w:rsid w:val="00997FAA"/>
    <w:rsid w:val="009A005E"/>
    <w:rsid w:val="009A0259"/>
    <w:rsid w:val="009A079F"/>
    <w:rsid w:val="009A09D9"/>
    <w:rsid w:val="009A15B4"/>
    <w:rsid w:val="009A16CD"/>
    <w:rsid w:val="009A19BE"/>
    <w:rsid w:val="009A1B03"/>
    <w:rsid w:val="009A2066"/>
    <w:rsid w:val="009A252A"/>
    <w:rsid w:val="009A2A9B"/>
    <w:rsid w:val="009A370E"/>
    <w:rsid w:val="009A3E7A"/>
    <w:rsid w:val="009A402E"/>
    <w:rsid w:val="009A418D"/>
    <w:rsid w:val="009A439E"/>
    <w:rsid w:val="009A4AB6"/>
    <w:rsid w:val="009A508C"/>
    <w:rsid w:val="009A5616"/>
    <w:rsid w:val="009A566A"/>
    <w:rsid w:val="009A5811"/>
    <w:rsid w:val="009A5EC8"/>
    <w:rsid w:val="009A6864"/>
    <w:rsid w:val="009A6FEE"/>
    <w:rsid w:val="009A71BA"/>
    <w:rsid w:val="009A7A5B"/>
    <w:rsid w:val="009A7AD2"/>
    <w:rsid w:val="009A7E28"/>
    <w:rsid w:val="009B0AB9"/>
    <w:rsid w:val="009B1024"/>
    <w:rsid w:val="009B17B2"/>
    <w:rsid w:val="009B187E"/>
    <w:rsid w:val="009B1883"/>
    <w:rsid w:val="009B1A84"/>
    <w:rsid w:val="009B1AAB"/>
    <w:rsid w:val="009B1C41"/>
    <w:rsid w:val="009B1E96"/>
    <w:rsid w:val="009B1F95"/>
    <w:rsid w:val="009B242B"/>
    <w:rsid w:val="009B293F"/>
    <w:rsid w:val="009B372D"/>
    <w:rsid w:val="009B430C"/>
    <w:rsid w:val="009B437F"/>
    <w:rsid w:val="009B4494"/>
    <w:rsid w:val="009B532C"/>
    <w:rsid w:val="009B5A0B"/>
    <w:rsid w:val="009B5A98"/>
    <w:rsid w:val="009B63C6"/>
    <w:rsid w:val="009B6571"/>
    <w:rsid w:val="009B70C3"/>
    <w:rsid w:val="009B7737"/>
    <w:rsid w:val="009C0132"/>
    <w:rsid w:val="009C0B12"/>
    <w:rsid w:val="009C0C61"/>
    <w:rsid w:val="009C0D36"/>
    <w:rsid w:val="009C0FFE"/>
    <w:rsid w:val="009C13B3"/>
    <w:rsid w:val="009C1B31"/>
    <w:rsid w:val="009C251C"/>
    <w:rsid w:val="009C3094"/>
    <w:rsid w:val="009C3302"/>
    <w:rsid w:val="009C330E"/>
    <w:rsid w:val="009C3451"/>
    <w:rsid w:val="009C3600"/>
    <w:rsid w:val="009C4378"/>
    <w:rsid w:val="009C476B"/>
    <w:rsid w:val="009C49CC"/>
    <w:rsid w:val="009C4E44"/>
    <w:rsid w:val="009C50A4"/>
    <w:rsid w:val="009C50B1"/>
    <w:rsid w:val="009C53F3"/>
    <w:rsid w:val="009C5498"/>
    <w:rsid w:val="009C5895"/>
    <w:rsid w:val="009C5BE8"/>
    <w:rsid w:val="009C661A"/>
    <w:rsid w:val="009C6948"/>
    <w:rsid w:val="009C6965"/>
    <w:rsid w:val="009C7431"/>
    <w:rsid w:val="009C75C9"/>
    <w:rsid w:val="009C7F3B"/>
    <w:rsid w:val="009D0035"/>
    <w:rsid w:val="009D0342"/>
    <w:rsid w:val="009D04B1"/>
    <w:rsid w:val="009D05E9"/>
    <w:rsid w:val="009D06A4"/>
    <w:rsid w:val="009D0AFB"/>
    <w:rsid w:val="009D105D"/>
    <w:rsid w:val="009D10C9"/>
    <w:rsid w:val="009D1202"/>
    <w:rsid w:val="009D1462"/>
    <w:rsid w:val="009D19FF"/>
    <w:rsid w:val="009D1BB8"/>
    <w:rsid w:val="009D1EA6"/>
    <w:rsid w:val="009D4979"/>
    <w:rsid w:val="009D4988"/>
    <w:rsid w:val="009D4BA3"/>
    <w:rsid w:val="009D4EED"/>
    <w:rsid w:val="009D4F82"/>
    <w:rsid w:val="009D51EA"/>
    <w:rsid w:val="009D525F"/>
    <w:rsid w:val="009D5550"/>
    <w:rsid w:val="009D57A0"/>
    <w:rsid w:val="009D61F4"/>
    <w:rsid w:val="009D6871"/>
    <w:rsid w:val="009D6A08"/>
    <w:rsid w:val="009D6C32"/>
    <w:rsid w:val="009D6F45"/>
    <w:rsid w:val="009D72DB"/>
    <w:rsid w:val="009D7B8B"/>
    <w:rsid w:val="009D7EB3"/>
    <w:rsid w:val="009D7EBA"/>
    <w:rsid w:val="009E00EE"/>
    <w:rsid w:val="009E068E"/>
    <w:rsid w:val="009E082A"/>
    <w:rsid w:val="009E0A15"/>
    <w:rsid w:val="009E0A77"/>
    <w:rsid w:val="009E1755"/>
    <w:rsid w:val="009E1E95"/>
    <w:rsid w:val="009E240C"/>
    <w:rsid w:val="009E24C0"/>
    <w:rsid w:val="009E27A4"/>
    <w:rsid w:val="009E2855"/>
    <w:rsid w:val="009E29BE"/>
    <w:rsid w:val="009E2E7D"/>
    <w:rsid w:val="009E308B"/>
    <w:rsid w:val="009E3201"/>
    <w:rsid w:val="009E339A"/>
    <w:rsid w:val="009E3911"/>
    <w:rsid w:val="009E3B4F"/>
    <w:rsid w:val="009E563E"/>
    <w:rsid w:val="009E5BBC"/>
    <w:rsid w:val="009E5D0A"/>
    <w:rsid w:val="009E5F14"/>
    <w:rsid w:val="009E6618"/>
    <w:rsid w:val="009E6676"/>
    <w:rsid w:val="009E6885"/>
    <w:rsid w:val="009E73CF"/>
    <w:rsid w:val="009E74E6"/>
    <w:rsid w:val="009E7515"/>
    <w:rsid w:val="009E78A6"/>
    <w:rsid w:val="009F0208"/>
    <w:rsid w:val="009F02F6"/>
    <w:rsid w:val="009F0397"/>
    <w:rsid w:val="009F05D3"/>
    <w:rsid w:val="009F0DE9"/>
    <w:rsid w:val="009F1348"/>
    <w:rsid w:val="009F1648"/>
    <w:rsid w:val="009F18C0"/>
    <w:rsid w:val="009F18E3"/>
    <w:rsid w:val="009F1BE9"/>
    <w:rsid w:val="009F1F38"/>
    <w:rsid w:val="009F2179"/>
    <w:rsid w:val="009F23A2"/>
    <w:rsid w:val="009F297E"/>
    <w:rsid w:val="009F2BD3"/>
    <w:rsid w:val="009F2BF6"/>
    <w:rsid w:val="009F2D8C"/>
    <w:rsid w:val="009F3445"/>
    <w:rsid w:val="009F35DB"/>
    <w:rsid w:val="009F366C"/>
    <w:rsid w:val="009F3878"/>
    <w:rsid w:val="009F396A"/>
    <w:rsid w:val="009F4BF9"/>
    <w:rsid w:val="009F5528"/>
    <w:rsid w:val="009F56A3"/>
    <w:rsid w:val="009F5CF8"/>
    <w:rsid w:val="009F5E93"/>
    <w:rsid w:val="009F6794"/>
    <w:rsid w:val="009F67C8"/>
    <w:rsid w:val="009F6FBD"/>
    <w:rsid w:val="009F7262"/>
    <w:rsid w:val="009F78E3"/>
    <w:rsid w:val="009F7D89"/>
    <w:rsid w:val="009F7F7E"/>
    <w:rsid w:val="009F7FB1"/>
    <w:rsid w:val="009F7FC2"/>
    <w:rsid w:val="00A0020C"/>
    <w:rsid w:val="00A005BA"/>
    <w:rsid w:val="00A00620"/>
    <w:rsid w:val="00A00AC6"/>
    <w:rsid w:val="00A00B2E"/>
    <w:rsid w:val="00A00D45"/>
    <w:rsid w:val="00A0146C"/>
    <w:rsid w:val="00A0197A"/>
    <w:rsid w:val="00A01BB9"/>
    <w:rsid w:val="00A01EEC"/>
    <w:rsid w:val="00A02034"/>
    <w:rsid w:val="00A021E4"/>
    <w:rsid w:val="00A02518"/>
    <w:rsid w:val="00A0303E"/>
    <w:rsid w:val="00A03107"/>
    <w:rsid w:val="00A03947"/>
    <w:rsid w:val="00A03F81"/>
    <w:rsid w:val="00A04251"/>
    <w:rsid w:val="00A044E7"/>
    <w:rsid w:val="00A05002"/>
    <w:rsid w:val="00A05432"/>
    <w:rsid w:val="00A056E7"/>
    <w:rsid w:val="00A059DC"/>
    <w:rsid w:val="00A0671D"/>
    <w:rsid w:val="00A07832"/>
    <w:rsid w:val="00A07975"/>
    <w:rsid w:val="00A07B2F"/>
    <w:rsid w:val="00A07C41"/>
    <w:rsid w:val="00A10307"/>
    <w:rsid w:val="00A104FE"/>
    <w:rsid w:val="00A10555"/>
    <w:rsid w:val="00A105F8"/>
    <w:rsid w:val="00A106DB"/>
    <w:rsid w:val="00A10C13"/>
    <w:rsid w:val="00A10EE7"/>
    <w:rsid w:val="00A10F06"/>
    <w:rsid w:val="00A1108F"/>
    <w:rsid w:val="00A116F3"/>
    <w:rsid w:val="00A1184F"/>
    <w:rsid w:val="00A11DFC"/>
    <w:rsid w:val="00A120BE"/>
    <w:rsid w:val="00A126D1"/>
    <w:rsid w:val="00A126D3"/>
    <w:rsid w:val="00A1296A"/>
    <w:rsid w:val="00A12FA7"/>
    <w:rsid w:val="00A13A33"/>
    <w:rsid w:val="00A13D2E"/>
    <w:rsid w:val="00A14BFF"/>
    <w:rsid w:val="00A15E50"/>
    <w:rsid w:val="00A1603D"/>
    <w:rsid w:val="00A16289"/>
    <w:rsid w:val="00A1638E"/>
    <w:rsid w:val="00A16435"/>
    <w:rsid w:val="00A16993"/>
    <w:rsid w:val="00A17187"/>
    <w:rsid w:val="00A1722D"/>
    <w:rsid w:val="00A175CF"/>
    <w:rsid w:val="00A2042C"/>
    <w:rsid w:val="00A20531"/>
    <w:rsid w:val="00A20EDC"/>
    <w:rsid w:val="00A214C3"/>
    <w:rsid w:val="00A215C3"/>
    <w:rsid w:val="00A215D3"/>
    <w:rsid w:val="00A2166E"/>
    <w:rsid w:val="00A217A5"/>
    <w:rsid w:val="00A218E1"/>
    <w:rsid w:val="00A21966"/>
    <w:rsid w:val="00A2217E"/>
    <w:rsid w:val="00A2286F"/>
    <w:rsid w:val="00A22961"/>
    <w:rsid w:val="00A22E1B"/>
    <w:rsid w:val="00A234BE"/>
    <w:rsid w:val="00A235AC"/>
    <w:rsid w:val="00A23767"/>
    <w:rsid w:val="00A2399C"/>
    <w:rsid w:val="00A2404E"/>
    <w:rsid w:val="00A24253"/>
    <w:rsid w:val="00A247A4"/>
    <w:rsid w:val="00A24E0A"/>
    <w:rsid w:val="00A250BF"/>
    <w:rsid w:val="00A253CA"/>
    <w:rsid w:val="00A254AD"/>
    <w:rsid w:val="00A25639"/>
    <w:rsid w:val="00A256AD"/>
    <w:rsid w:val="00A25895"/>
    <w:rsid w:val="00A25D2A"/>
    <w:rsid w:val="00A25D33"/>
    <w:rsid w:val="00A25D3D"/>
    <w:rsid w:val="00A266CF"/>
    <w:rsid w:val="00A26A97"/>
    <w:rsid w:val="00A26CE5"/>
    <w:rsid w:val="00A2717B"/>
    <w:rsid w:val="00A27578"/>
    <w:rsid w:val="00A275EB"/>
    <w:rsid w:val="00A27952"/>
    <w:rsid w:val="00A27A3C"/>
    <w:rsid w:val="00A300B8"/>
    <w:rsid w:val="00A30679"/>
    <w:rsid w:val="00A3073B"/>
    <w:rsid w:val="00A308C6"/>
    <w:rsid w:val="00A30921"/>
    <w:rsid w:val="00A313DA"/>
    <w:rsid w:val="00A32CCB"/>
    <w:rsid w:val="00A32F59"/>
    <w:rsid w:val="00A33031"/>
    <w:rsid w:val="00A33557"/>
    <w:rsid w:val="00A33879"/>
    <w:rsid w:val="00A33A7B"/>
    <w:rsid w:val="00A33EC4"/>
    <w:rsid w:val="00A3451E"/>
    <w:rsid w:val="00A3474A"/>
    <w:rsid w:val="00A348A6"/>
    <w:rsid w:val="00A34A7A"/>
    <w:rsid w:val="00A34D37"/>
    <w:rsid w:val="00A351B7"/>
    <w:rsid w:val="00A35AE6"/>
    <w:rsid w:val="00A35C55"/>
    <w:rsid w:val="00A35DD4"/>
    <w:rsid w:val="00A36467"/>
    <w:rsid w:val="00A369C5"/>
    <w:rsid w:val="00A369F7"/>
    <w:rsid w:val="00A36F32"/>
    <w:rsid w:val="00A3708F"/>
    <w:rsid w:val="00A37100"/>
    <w:rsid w:val="00A371BF"/>
    <w:rsid w:val="00A3787B"/>
    <w:rsid w:val="00A37CA2"/>
    <w:rsid w:val="00A37D7D"/>
    <w:rsid w:val="00A40470"/>
    <w:rsid w:val="00A4079F"/>
    <w:rsid w:val="00A4086E"/>
    <w:rsid w:val="00A40DDF"/>
    <w:rsid w:val="00A40DEF"/>
    <w:rsid w:val="00A40ED1"/>
    <w:rsid w:val="00A410C2"/>
    <w:rsid w:val="00A416DB"/>
    <w:rsid w:val="00A4184F"/>
    <w:rsid w:val="00A41993"/>
    <w:rsid w:val="00A41CFD"/>
    <w:rsid w:val="00A41E2C"/>
    <w:rsid w:val="00A42059"/>
    <w:rsid w:val="00A420FC"/>
    <w:rsid w:val="00A425C3"/>
    <w:rsid w:val="00A42737"/>
    <w:rsid w:val="00A429E9"/>
    <w:rsid w:val="00A42AA8"/>
    <w:rsid w:val="00A42C10"/>
    <w:rsid w:val="00A43266"/>
    <w:rsid w:val="00A43272"/>
    <w:rsid w:val="00A4352C"/>
    <w:rsid w:val="00A444C8"/>
    <w:rsid w:val="00A445B2"/>
    <w:rsid w:val="00A44F18"/>
    <w:rsid w:val="00A455FE"/>
    <w:rsid w:val="00A45A67"/>
    <w:rsid w:val="00A45DD7"/>
    <w:rsid w:val="00A46051"/>
    <w:rsid w:val="00A467DE"/>
    <w:rsid w:val="00A476C8"/>
    <w:rsid w:val="00A47841"/>
    <w:rsid w:val="00A478D5"/>
    <w:rsid w:val="00A5012B"/>
    <w:rsid w:val="00A50266"/>
    <w:rsid w:val="00A50748"/>
    <w:rsid w:val="00A50C91"/>
    <w:rsid w:val="00A50ECD"/>
    <w:rsid w:val="00A510C0"/>
    <w:rsid w:val="00A512DB"/>
    <w:rsid w:val="00A52190"/>
    <w:rsid w:val="00A52471"/>
    <w:rsid w:val="00A52612"/>
    <w:rsid w:val="00A5290A"/>
    <w:rsid w:val="00A52B3E"/>
    <w:rsid w:val="00A52E06"/>
    <w:rsid w:val="00A5338A"/>
    <w:rsid w:val="00A53568"/>
    <w:rsid w:val="00A54372"/>
    <w:rsid w:val="00A54414"/>
    <w:rsid w:val="00A5448B"/>
    <w:rsid w:val="00A54B2D"/>
    <w:rsid w:val="00A54FFD"/>
    <w:rsid w:val="00A55204"/>
    <w:rsid w:val="00A5553E"/>
    <w:rsid w:val="00A5584D"/>
    <w:rsid w:val="00A55FA6"/>
    <w:rsid w:val="00A5646F"/>
    <w:rsid w:val="00A56BCB"/>
    <w:rsid w:val="00A56E28"/>
    <w:rsid w:val="00A57C0F"/>
    <w:rsid w:val="00A57F54"/>
    <w:rsid w:val="00A57FD3"/>
    <w:rsid w:val="00A60502"/>
    <w:rsid w:val="00A613C9"/>
    <w:rsid w:val="00A6161B"/>
    <w:rsid w:val="00A616A5"/>
    <w:rsid w:val="00A624C8"/>
    <w:rsid w:val="00A625B2"/>
    <w:rsid w:val="00A63847"/>
    <w:rsid w:val="00A640DC"/>
    <w:rsid w:val="00A646FA"/>
    <w:rsid w:val="00A65112"/>
    <w:rsid w:val="00A65541"/>
    <w:rsid w:val="00A65707"/>
    <w:rsid w:val="00A6580D"/>
    <w:rsid w:val="00A65B49"/>
    <w:rsid w:val="00A65B96"/>
    <w:rsid w:val="00A65CA1"/>
    <w:rsid w:val="00A65FD1"/>
    <w:rsid w:val="00A660C3"/>
    <w:rsid w:val="00A660FD"/>
    <w:rsid w:val="00A661F6"/>
    <w:rsid w:val="00A6669D"/>
    <w:rsid w:val="00A668C8"/>
    <w:rsid w:val="00A66DBA"/>
    <w:rsid w:val="00A67118"/>
    <w:rsid w:val="00A673A6"/>
    <w:rsid w:val="00A674DC"/>
    <w:rsid w:val="00A67B09"/>
    <w:rsid w:val="00A67C99"/>
    <w:rsid w:val="00A7030E"/>
    <w:rsid w:val="00A70632"/>
    <w:rsid w:val="00A70708"/>
    <w:rsid w:val="00A70BBB"/>
    <w:rsid w:val="00A71AC2"/>
    <w:rsid w:val="00A71E62"/>
    <w:rsid w:val="00A726A4"/>
    <w:rsid w:val="00A72C38"/>
    <w:rsid w:val="00A72D83"/>
    <w:rsid w:val="00A72F42"/>
    <w:rsid w:val="00A730E3"/>
    <w:rsid w:val="00A7323B"/>
    <w:rsid w:val="00A732FF"/>
    <w:rsid w:val="00A734F5"/>
    <w:rsid w:val="00A73564"/>
    <w:rsid w:val="00A738ED"/>
    <w:rsid w:val="00A73972"/>
    <w:rsid w:val="00A73E53"/>
    <w:rsid w:val="00A73EFD"/>
    <w:rsid w:val="00A73F19"/>
    <w:rsid w:val="00A73F9C"/>
    <w:rsid w:val="00A7405C"/>
    <w:rsid w:val="00A741DE"/>
    <w:rsid w:val="00A746A0"/>
    <w:rsid w:val="00A75496"/>
    <w:rsid w:val="00A75620"/>
    <w:rsid w:val="00A7579D"/>
    <w:rsid w:val="00A76002"/>
    <w:rsid w:val="00A76265"/>
    <w:rsid w:val="00A768A6"/>
    <w:rsid w:val="00A769F0"/>
    <w:rsid w:val="00A76CF4"/>
    <w:rsid w:val="00A774D6"/>
    <w:rsid w:val="00A77547"/>
    <w:rsid w:val="00A77B9B"/>
    <w:rsid w:val="00A77BA7"/>
    <w:rsid w:val="00A77D62"/>
    <w:rsid w:val="00A80BF2"/>
    <w:rsid w:val="00A812D8"/>
    <w:rsid w:val="00A81451"/>
    <w:rsid w:val="00A81699"/>
    <w:rsid w:val="00A81D4F"/>
    <w:rsid w:val="00A82019"/>
    <w:rsid w:val="00A8252F"/>
    <w:rsid w:val="00A8283C"/>
    <w:rsid w:val="00A82D8B"/>
    <w:rsid w:val="00A83638"/>
    <w:rsid w:val="00A836B6"/>
    <w:rsid w:val="00A83ECB"/>
    <w:rsid w:val="00A83FDA"/>
    <w:rsid w:val="00A84205"/>
    <w:rsid w:val="00A8443E"/>
    <w:rsid w:val="00A8533B"/>
    <w:rsid w:val="00A85833"/>
    <w:rsid w:val="00A8589C"/>
    <w:rsid w:val="00A860B8"/>
    <w:rsid w:val="00A86612"/>
    <w:rsid w:val="00A86AFE"/>
    <w:rsid w:val="00A86BDA"/>
    <w:rsid w:val="00A86E32"/>
    <w:rsid w:val="00A872FC"/>
    <w:rsid w:val="00A87C8B"/>
    <w:rsid w:val="00A9050C"/>
    <w:rsid w:val="00A90B93"/>
    <w:rsid w:val="00A90C15"/>
    <w:rsid w:val="00A90F8C"/>
    <w:rsid w:val="00A9103A"/>
    <w:rsid w:val="00A91161"/>
    <w:rsid w:val="00A91329"/>
    <w:rsid w:val="00A916AE"/>
    <w:rsid w:val="00A922CE"/>
    <w:rsid w:val="00A9234E"/>
    <w:rsid w:val="00A923F8"/>
    <w:rsid w:val="00A92B7C"/>
    <w:rsid w:val="00A9314E"/>
    <w:rsid w:val="00A93BAD"/>
    <w:rsid w:val="00A93E8B"/>
    <w:rsid w:val="00A93FA7"/>
    <w:rsid w:val="00A94A0E"/>
    <w:rsid w:val="00A9512A"/>
    <w:rsid w:val="00A953F5"/>
    <w:rsid w:val="00A95497"/>
    <w:rsid w:val="00A954BC"/>
    <w:rsid w:val="00A95C76"/>
    <w:rsid w:val="00A9620D"/>
    <w:rsid w:val="00A96B72"/>
    <w:rsid w:val="00A96F9C"/>
    <w:rsid w:val="00A9708B"/>
    <w:rsid w:val="00A9719D"/>
    <w:rsid w:val="00A9757B"/>
    <w:rsid w:val="00A97648"/>
    <w:rsid w:val="00A97EB6"/>
    <w:rsid w:val="00AA0104"/>
    <w:rsid w:val="00AA086B"/>
    <w:rsid w:val="00AA0F0E"/>
    <w:rsid w:val="00AA0F55"/>
    <w:rsid w:val="00AA1900"/>
    <w:rsid w:val="00AA1DE8"/>
    <w:rsid w:val="00AA1F17"/>
    <w:rsid w:val="00AA2545"/>
    <w:rsid w:val="00AA2F1F"/>
    <w:rsid w:val="00AA3291"/>
    <w:rsid w:val="00AA32BC"/>
    <w:rsid w:val="00AA3D6C"/>
    <w:rsid w:val="00AA43ED"/>
    <w:rsid w:val="00AA47A0"/>
    <w:rsid w:val="00AA4BB1"/>
    <w:rsid w:val="00AA4D0D"/>
    <w:rsid w:val="00AA4EAE"/>
    <w:rsid w:val="00AA4F15"/>
    <w:rsid w:val="00AA4F2E"/>
    <w:rsid w:val="00AA4FA4"/>
    <w:rsid w:val="00AA51C5"/>
    <w:rsid w:val="00AA581E"/>
    <w:rsid w:val="00AA59C3"/>
    <w:rsid w:val="00AA5BE2"/>
    <w:rsid w:val="00AA5C7E"/>
    <w:rsid w:val="00AA61C3"/>
    <w:rsid w:val="00AA633A"/>
    <w:rsid w:val="00AA644B"/>
    <w:rsid w:val="00AA67C4"/>
    <w:rsid w:val="00AA6986"/>
    <w:rsid w:val="00AA6F0E"/>
    <w:rsid w:val="00AA744A"/>
    <w:rsid w:val="00AA767C"/>
    <w:rsid w:val="00AA77D0"/>
    <w:rsid w:val="00AA79DC"/>
    <w:rsid w:val="00AA79EE"/>
    <w:rsid w:val="00AA7A02"/>
    <w:rsid w:val="00AA7ECC"/>
    <w:rsid w:val="00AA7F70"/>
    <w:rsid w:val="00AB0180"/>
    <w:rsid w:val="00AB01E0"/>
    <w:rsid w:val="00AB03B5"/>
    <w:rsid w:val="00AB098F"/>
    <w:rsid w:val="00AB1791"/>
    <w:rsid w:val="00AB17B2"/>
    <w:rsid w:val="00AB2302"/>
    <w:rsid w:val="00AB2A10"/>
    <w:rsid w:val="00AB3112"/>
    <w:rsid w:val="00AB3574"/>
    <w:rsid w:val="00AB3FC9"/>
    <w:rsid w:val="00AB432A"/>
    <w:rsid w:val="00AB4CD8"/>
    <w:rsid w:val="00AB5034"/>
    <w:rsid w:val="00AB544D"/>
    <w:rsid w:val="00AB5467"/>
    <w:rsid w:val="00AB5648"/>
    <w:rsid w:val="00AB5B96"/>
    <w:rsid w:val="00AB5D06"/>
    <w:rsid w:val="00AB6441"/>
    <w:rsid w:val="00AB68B6"/>
    <w:rsid w:val="00AB6913"/>
    <w:rsid w:val="00AB69AF"/>
    <w:rsid w:val="00AB6A27"/>
    <w:rsid w:val="00AB6CD9"/>
    <w:rsid w:val="00AB6DB1"/>
    <w:rsid w:val="00AB6E62"/>
    <w:rsid w:val="00AB6EF8"/>
    <w:rsid w:val="00AB6F45"/>
    <w:rsid w:val="00AB702B"/>
    <w:rsid w:val="00AB7143"/>
    <w:rsid w:val="00AB720A"/>
    <w:rsid w:val="00AC0846"/>
    <w:rsid w:val="00AC0EA5"/>
    <w:rsid w:val="00AC113D"/>
    <w:rsid w:val="00AC15CB"/>
    <w:rsid w:val="00AC1C08"/>
    <w:rsid w:val="00AC21F0"/>
    <w:rsid w:val="00AC261C"/>
    <w:rsid w:val="00AC27A5"/>
    <w:rsid w:val="00AC2A7D"/>
    <w:rsid w:val="00AC2D79"/>
    <w:rsid w:val="00AC3006"/>
    <w:rsid w:val="00AC3D87"/>
    <w:rsid w:val="00AC4839"/>
    <w:rsid w:val="00AC491F"/>
    <w:rsid w:val="00AC4A72"/>
    <w:rsid w:val="00AC4B8B"/>
    <w:rsid w:val="00AC4CFB"/>
    <w:rsid w:val="00AC4FFA"/>
    <w:rsid w:val="00AC533E"/>
    <w:rsid w:val="00AC5643"/>
    <w:rsid w:val="00AC56EA"/>
    <w:rsid w:val="00AC5A2D"/>
    <w:rsid w:val="00AC5D27"/>
    <w:rsid w:val="00AC6102"/>
    <w:rsid w:val="00AC61B2"/>
    <w:rsid w:val="00AC670E"/>
    <w:rsid w:val="00AC6904"/>
    <w:rsid w:val="00AC69C2"/>
    <w:rsid w:val="00AC6D58"/>
    <w:rsid w:val="00AC6DD0"/>
    <w:rsid w:val="00AC7252"/>
    <w:rsid w:val="00AC78CD"/>
    <w:rsid w:val="00AC796D"/>
    <w:rsid w:val="00AC7A0F"/>
    <w:rsid w:val="00AD04B9"/>
    <w:rsid w:val="00AD06C3"/>
    <w:rsid w:val="00AD09BA"/>
    <w:rsid w:val="00AD0AC6"/>
    <w:rsid w:val="00AD12C6"/>
    <w:rsid w:val="00AD18D0"/>
    <w:rsid w:val="00AD1ADD"/>
    <w:rsid w:val="00AD1D6B"/>
    <w:rsid w:val="00AD2819"/>
    <w:rsid w:val="00AD2A02"/>
    <w:rsid w:val="00AD2D27"/>
    <w:rsid w:val="00AD2EB3"/>
    <w:rsid w:val="00AD3300"/>
    <w:rsid w:val="00AD3416"/>
    <w:rsid w:val="00AD3462"/>
    <w:rsid w:val="00AD3A65"/>
    <w:rsid w:val="00AD3E72"/>
    <w:rsid w:val="00AD413C"/>
    <w:rsid w:val="00AD42C0"/>
    <w:rsid w:val="00AD4489"/>
    <w:rsid w:val="00AD5378"/>
    <w:rsid w:val="00AD5806"/>
    <w:rsid w:val="00AD5AC3"/>
    <w:rsid w:val="00AD5E9D"/>
    <w:rsid w:val="00AD5F84"/>
    <w:rsid w:val="00AD645E"/>
    <w:rsid w:val="00AD6717"/>
    <w:rsid w:val="00AD6A85"/>
    <w:rsid w:val="00AD6B8C"/>
    <w:rsid w:val="00AD73AC"/>
    <w:rsid w:val="00AD756E"/>
    <w:rsid w:val="00AD7879"/>
    <w:rsid w:val="00AD7901"/>
    <w:rsid w:val="00AD7B60"/>
    <w:rsid w:val="00AD7C8E"/>
    <w:rsid w:val="00AE03D4"/>
    <w:rsid w:val="00AE03EA"/>
    <w:rsid w:val="00AE085B"/>
    <w:rsid w:val="00AE09C6"/>
    <w:rsid w:val="00AE0ABF"/>
    <w:rsid w:val="00AE11CB"/>
    <w:rsid w:val="00AE12DA"/>
    <w:rsid w:val="00AE1812"/>
    <w:rsid w:val="00AE1EED"/>
    <w:rsid w:val="00AE1F1D"/>
    <w:rsid w:val="00AE2092"/>
    <w:rsid w:val="00AE2FE7"/>
    <w:rsid w:val="00AE3C4B"/>
    <w:rsid w:val="00AE3C82"/>
    <w:rsid w:val="00AE3D15"/>
    <w:rsid w:val="00AE3E47"/>
    <w:rsid w:val="00AE43D5"/>
    <w:rsid w:val="00AE452B"/>
    <w:rsid w:val="00AE45E9"/>
    <w:rsid w:val="00AE46FE"/>
    <w:rsid w:val="00AE4CBF"/>
    <w:rsid w:val="00AE507F"/>
    <w:rsid w:val="00AE523D"/>
    <w:rsid w:val="00AE569F"/>
    <w:rsid w:val="00AE6193"/>
    <w:rsid w:val="00AE642B"/>
    <w:rsid w:val="00AE681D"/>
    <w:rsid w:val="00AE6949"/>
    <w:rsid w:val="00AE6D58"/>
    <w:rsid w:val="00AE6EA6"/>
    <w:rsid w:val="00AE6F00"/>
    <w:rsid w:val="00AE6FA9"/>
    <w:rsid w:val="00AE719F"/>
    <w:rsid w:val="00AE7336"/>
    <w:rsid w:val="00AE73DB"/>
    <w:rsid w:val="00AE7520"/>
    <w:rsid w:val="00AF00CA"/>
    <w:rsid w:val="00AF0873"/>
    <w:rsid w:val="00AF0C29"/>
    <w:rsid w:val="00AF1B75"/>
    <w:rsid w:val="00AF236B"/>
    <w:rsid w:val="00AF236C"/>
    <w:rsid w:val="00AF23A2"/>
    <w:rsid w:val="00AF2910"/>
    <w:rsid w:val="00AF344A"/>
    <w:rsid w:val="00AF3E74"/>
    <w:rsid w:val="00AF461F"/>
    <w:rsid w:val="00AF53E1"/>
    <w:rsid w:val="00AF5459"/>
    <w:rsid w:val="00AF5830"/>
    <w:rsid w:val="00AF5B3B"/>
    <w:rsid w:val="00AF6832"/>
    <w:rsid w:val="00AF6941"/>
    <w:rsid w:val="00AF6C5D"/>
    <w:rsid w:val="00AF6D09"/>
    <w:rsid w:val="00AF6D46"/>
    <w:rsid w:val="00AF6F74"/>
    <w:rsid w:val="00AF703C"/>
    <w:rsid w:val="00AF797F"/>
    <w:rsid w:val="00AF7C2B"/>
    <w:rsid w:val="00B00754"/>
    <w:rsid w:val="00B0086C"/>
    <w:rsid w:val="00B0095F"/>
    <w:rsid w:val="00B00C30"/>
    <w:rsid w:val="00B01500"/>
    <w:rsid w:val="00B015D9"/>
    <w:rsid w:val="00B016E7"/>
    <w:rsid w:val="00B01DBC"/>
    <w:rsid w:val="00B01DF7"/>
    <w:rsid w:val="00B01E5C"/>
    <w:rsid w:val="00B024C9"/>
    <w:rsid w:val="00B0250C"/>
    <w:rsid w:val="00B029B7"/>
    <w:rsid w:val="00B03775"/>
    <w:rsid w:val="00B03994"/>
    <w:rsid w:val="00B039A7"/>
    <w:rsid w:val="00B03BF8"/>
    <w:rsid w:val="00B04744"/>
    <w:rsid w:val="00B04768"/>
    <w:rsid w:val="00B04C2E"/>
    <w:rsid w:val="00B04CD5"/>
    <w:rsid w:val="00B04CFD"/>
    <w:rsid w:val="00B04D97"/>
    <w:rsid w:val="00B04F7E"/>
    <w:rsid w:val="00B0592E"/>
    <w:rsid w:val="00B05A4D"/>
    <w:rsid w:val="00B05CEE"/>
    <w:rsid w:val="00B062EC"/>
    <w:rsid w:val="00B06952"/>
    <w:rsid w:val="00B07385"/>
    <w:rsid w:val="00B07B94"/>
    <w:rsid w:val="00B07DEC"/>
    <w:rsid w:val="00B10416"/>
    <w:rsid w:val="00B10579"/>
    <w:rsid w:val="00B10792"/>
    <w:rsid w:val="00B1083E"/>
    <w:rsid w:val="00B10F25"/>
    <w:rsid w:val="00B1136D"/>
    <w:rsid w:val="00B11521"/>
    <w:rsid w:val="00B11978"/>
    <w:rsid w:val="00B11DA1"/>
    <w:rsid w:val="00B12065"/>
    <w:rsid w:val="00B1222B"/>
    <w:rsid w:val="00B12290"/>
    <w:rsid w:val="00B12629"/>
    <w:rsid w:val="00B12E31"/>
    <w:rsid w:val="00B1374F"/>
    <w:rsid w:val="00B13813"/>
    <w:rsid w:val="00B139A0"/>
    <w:rsid w:val="00B13CBF"/>
    <w:rsid w:val="00B14652"/>
    <w:rsid w:val="00B151A7"/>
    <w:rsid w:val="00B154CD"/>
    <w:rsid w:val="00B15500"/>
    <w:rsid w:val="00B15532"/>
    <w:rsid w:val="00B159D6"/>
    <w:rsid w:val="00B166E9"/>
    <w:rsid w:val="00B16B6E"/>
    <w:rsid w:val="00B17C4A"/>
    <w:rsid w:val="00B17EF9"/>
    <w:rsid w:val="00B17FE0"/>
    <w:rsid w:val="00B20017"/>
    <w:rsid w:val="00B205BA"/>
    <w:rsid w:val="00B205BB"/>
    <w:rsid w:val="00B209AC"/>
    <w:rsid w:val="00B20AE4"/>
    <w:rsid w:val="00B2134F"/>
    <w:rsid w:val="00B216E7"/>
    <w:rsid w:val="00B222B1"/>
    <w:rsid w:val="00B22614"/>
    <w:rsid w:val="00B22655"/>
    <w:rsid w:val="00B22A6F"/>
    <w:rsid w:val="00B22B57"/>
    <w:rsid w:val="00B22DB8"/>
    <w:rsid w:val="00B22FE8"/>
    <w:rsid w:val="00B22FF6"/>
    <w:rsid w:val="00B230B9"/>
    <w:rsid w:val="00B23934"/>
    <w:rsid w:val="00B23DE0"/>
    <w:rsid w:val="00B2408B"/>
    <w:rsid w:val="00B2415C"/>
    <w:rsid w:val="00B24551"/>
    <w:rsid w:val="00B249C0"/>
    <w:rsid w:val="00B24A04"/>
    <w:rsid w:val="00B24AFB"/>
    <w:rsid w:val="00B24D67"/>
    <w:rsid w:val="00B24E76"/>
    <w:rsid w:val="00B250EE"/>
    <w:rsid w:val="00B25209"/>
    <w:rsid w:val="00B253F4"/>
    <w:rsid w:val="00B25863"/>
    <w:rsid w:val="00B259A1"/>
    <w:rsid w:val="00B25DB4"/>
    <w:rsid w:val="00B2619D"/>
    <w:rsid w:val="00B26265"/>
    <w:rsid w:val="00B2631D"/>
    <w:rsid w:val="00B2685E"/>
    <w:rsid w:val="00B26C56"/>
    <w:rsid w:val="00B26C79"/>
    <w:rsid w:val="00B2760F"/>
    <w:rsid w:val="00B2782D"/>
    <w:rsid w:val="00B27ADC"/>
    <w:rsid w:val="00B30BBC"/>
    <w:rsid w:val="00B30D52"/>
    <w:rsid w:val="00B31019"/>
    <w:rsid w:val="00B3138B"/>
    <w:rsid w:val="00B31BDB"/>
    <w:rsid w:val="00B31D7B"/>
    <w:rsid w:val="00B32212"/>
    <w:rsid w:val="00B32725"/>
    <w:rsid w:val="00B32C62"/>
    <w:rsid w:val="00B34094"/>
    <w:rsid w:val="00B3433D"/>
    <w:rsid w:val="00B345A7"/>
    <w:rsid w:val="00B35137"/>
    <w:rsid w:val="00B354A7"/>
    <w:rsid w:val="00B35535"/>
    <w:rsid w:val="00B35AD5"/>
    <w:rsid w:val="00B36321"/>
    <w:rsid w:val="00B3641D"/>
    <w:rsid w:val="00B36629"/>
    <w:rsid w:val="00B36D2B"/>
    <w:rsid w:val="00B36F06"/>
    <w:rsid w:val="00B3709B"/>
    <w:rsid w:val="00B370DF"/>
    <w:rsid w:val="00B3766F"/>
    <w:rsid w:val="00B402A4"/>
    <w:rsid w:val="00B40867"/>
    <w:rsid w:val="00B40F07"/>
    <w:rsid w:val="00B4119E"/>
    <w:rsid w:val="00B41C19"/>
    <w:rsid w:val="00B41CA6"/>
    <w:rsid w:val="00B4243F"/>
    <w:rsid w:val="00B42493"/>
    <w:rsid w:val="00B42A4D"/>
    <w:rsid w:val="00B4395C"/>
    <w:rsid w:val="00B43F28"/>
    <w:rsid w:val="00B4425E"/>
    <w:rsid w:val="00B4451E"/>
    <w:rsid w:val="00B45683"/>
    <w:rsid w:val="00B45FDA"/>
    <w:rsid w:val="00B46203"/>
    <w:rsid w:val="00B4667B"/>
    <w:rsid w:val="00B47150"/>
    <w:rsid w:val="00B47929"/>
    <w:rsid w:val="00B50372"/>
    <w:rsid w:val="00B50F88"/>
    <w:rsid w:val="00B516E7"/>
    <w:rsid w:val="00B51EE7"/>
    <w:rsid w:val="00B52197"/>
    <w:rsid w:val="00B52755"/>
    <w:rsid w:val="00B529EC"/>
    <w:rsid w:val="00B53ECF"/>
    <w:rsid w:val="00B540A0"/>
    <w:rsid w:val="00B54AB8"/>
    <w:rsid w:val="00B55540"/>
    <w:rsid w:val="00B55740"/>
    <w:rsid w:val="00B5752F"/>
    <w:rsid w:val="00B57692"/>
    <w:rsid w:val="00B6018D"/>
    <w:rsid w:val="00B60358"/>
    <w:rsid w:val="00B604A8"/>
    <w:rsid w:val="00B60933"/>
    <w:rsid w:val="00B60AB5"/>
    <w:rsid w:val="00B60D48"/>
    <w:rsid w:val="00B60F9C"/>
    <w:rsid w:val="00B610EB"/>
    <w:rsid w:val="00B611C2"/>
    <w:rsid w:val="00B61730"/>
    <w:rsid w:val="00B61B51"/>
    <w:rsid w:val="00B61E4F"/>
    <w:rsid w:val="00B61E8D"/>
    <w:rsid w:val="00B624D0"/>
    <w:rsid w:val="00B62C57"/>
    <w:rsid w:val="00B630DB"/>
    <w:rsid w:val="00B63456"/>
    <w:rsid w:val="00B63AA2"/>
    <w:rsid w:val="00B63B96"/>
    <w:rsid w:val="00B63E95"/>
    <w:rsid w:val="00B63F16"/>
    <w:rsid w:val="00B642B7"/>
    <w:rsid w:val="00B6478E"/>
    <w:rsid w:val="00B648E1"/>
    <w:rsid w:val="00B649B1"/>
    <w:rsid w:val="00B64A3D"/>
    <w:rsid w:val="00B64A70"/>
    <w:rsid w:val="00B64CF4"/>
    <w:rsid w:val="00B6500C"/>
    <w:rsid w:val="00B6585A"/>
    <w:rsid w:val="00B65A71"/>
    <w:rsid w:val="00B65AC2"/>
    <w:rsid w:val="00B65C8A"/>
    <w:rsid w:val="00B65F25"/>
    <w:rsid w:val="00B669BA"/>
    <w:rsid w:val="00B66B7B"/>
    <w:rsid w:val="00B66B7F"/>
    <w:rsid w:val="00B6737C"/>
    <w:rsid w:val="00B6743C"/>
    <w:rsid w:val="00B676D6"/>
    <w:rsid w:val="00B679F8"/>
    <w:rsid w:val="00B67FAE"/>
    <w:rsid w:val="00B70067"/>
    <w:rsid w:val="00B7007F"/>
    <w:rsid w:val="00B7050F"/>
    <w:rsid w:val="00B70804"/>
    <w:rsid w:val="00B70F3F"/>
    <w:rsid w:val="00B711E3"/>
    <w:rsid w:val="00B71212"/>
    <w:rsid w:val="00B7155E"/>
    <w:rsid w:val="00B716D6"/>
    <w:rsid w:val="00B71AB5"/>
    <w:rsid w:val="00B72704"/>
    <w:rsid w:val="00B72A27"/>
    <w:rsid w:val="00B72BEB"/>
    <w:rsid w:val="00B72F5E"/>
    <w:rsid w:val="00B73034"/>
    <w:rsid w:val="00B731F6"/>
    <w:rsid w:val="00B73A98"/>
    <w:rsid w:val="00B73F5D"/>
    <w:rsid w:val="00B746A6"/>
    <w:rsid w:val="00B747BB"/>
    <w:rsid w:val="00B74985"/>
    <w:rsid w:val="00B75127"/>
    <w:rsid w:val="00B75C97"/>
    <w:rsid w:val="00B75DDE"/>
    <w:rsid w:val="00B75E32"/>
    <w:rsid w:val="00B75E49"/>
    <w:rsid w:val="00B75EFD"/>
    <w:rsid w:val="00B7692E"/>
    <w:rsid w:val="00B773F8"/>
    <w:rsid w:val="00B779B5"/>
    <w:rsid w:val="00B80133"/>
    <w:rsid w:val="00B801A3"/>
    <w:rsid w:val="00B80213"/>
    <w:rsid w:val="00B8089F"/>
    <w:rsid w:val="00B80AC7"/>
    <w:rsid w:val="00B80F68"/>
    <w:rsid w:val="00B815FC"/>
    <w:rsid w:val="00B8169E"/>
    <w:rsid w:val="00B8171A"/>
    <w:rsid w:val="00B81DAD"/>
    <w:rsid w:val="00B82378"/>
    <w:rsid w:val="00B8296A"/>
    <w:rsid w:val="00B82A99"/>
    <w:rsid w:val="00B82B18"/>
    <w:rsid w:val="00B82B73"/>
    <w:rsid w:val="00B82D4B"/>
    <w:rsid w:val="00B8392D"/>
    <w:rsid w:val="00B83E50"/>
    <w:rsid w:val="00B84019"/>
    <w:rsid w:val="00B842CA"/>
    <w:rsid w:val="00B84680"/>
    <w:rsid w:val="00B84B56"/>
    <w:rsid w:val="00B84D66"/>
    <w:rsid w:val="00B8500D"/>
    <w:rsid w:val="00B85249"/>
    <w:rsid w:val="00B858C7"/>
    <w:rsid w:val="00B86312"/>
    <w:rsid w:val="00B86B38"/>
    <w:rsid w:val="00B870FD"/>
    <w:rsid w:val="00B872B5"/>
    <w:rsid w:val="00B878AC"/>
    <w:rsid w:val="00B87909"/>
    <w:rsid w:val="00B87A11"/>
    <w:rsid w:val="00B87D87"/>
    <w:rsid w:val="00B907DC"/>
    <w:rsid w:val="00B90B39"/>
    <w:rsid w:val="00B90B9A"/>
    <w:rsid w:val="00B90E73"/>
    <w:rsid w:val="00B916A8"/>
    <w:rsid w:val="00B91C6C"/>
    <w:rsid w:val="00B91E0A"/>
    <w:rsid w:val="00B92018"/>
    <w:rsid w:val="00B92C32"/>
    <w:rsid w:val="00B92F6A"/>
    <w:rsid w:val="00B9302C"/>
    <w:rsid w:val="00B930F6"/>
    <w:rsid w:val="00B93B46"/>
    <w:rsid w:val="00B9413F"/>
    <w:rsid w:val="00B94683"/>
    <w:rsid w:val="00B94767"/>
    <w:rsid w:val="00B9600A"/>
    <w:rsid w:val="00B965C2"/>
    <w:rsid w:val="00B96E27"/>
    <w:rsid w:val="00B9705C"/>
    <w:rsid w:val="00B97D32"/>
    <w:rsid w:val="00BA03A5"/>
    <w:rsid w:val="00BA063F"/>
    <w:rsid w:val="00BA0E5D"/>
    <w:rsid w:val="00BA2435"/>
    <w:rsid w:val="00BA2C1A"/>
    <w:rsid w:val="00BA2EB0"/>
    <w:rsid w:val="00BA3061"/>
    <w:rsid w:val="00BA306B"/>
    <w:rsid w:val="00BA36EE"/>
    <w:rsid w:val="00BA3D43"/>
    <w:rsid w:val="00BA4117"/>
    <w:rsid w:val="00BA4473"/>
    <w:rsid w:val="00BA466C"/>
    <w:rsid w:val="00BA4A18"/>
    <w:rsid w:val="00BA4AC0"/>
    <w:rsid w:val="00BA4C06"/>
    <w:rsid w:val="00BA500C"/>
    <w:rsid w:val="00BA54A7"/>
    <w:rsid w:val="00BA58AD"/>
    <w:rsid w:val="00BA599C"/>
    <w:rsid w:val="00BA5A1F"/>
    <w:rsid w:val="00BA5D0E"/>
    <w:rsid w:val="00BA5E5D"/>
    <w:rsid w:val="00BA7156"/>
    <w:rsid w:val="00BA7586"/>
    <w:rsid w:val="00BA7C32"/>
    <w:rsid w:val="00BB03EE"/>
    <w:rsid w:val="00BB1136"/>
    <w:rsid w:val="00BB1284"/>
    <w:rsid w:val="00BB1BAD"/>
    <w:rsid w:val="00BB1D84"/>
    <w:rsid w:val="00BB1E37"/>
    <w:rsid w:val="00BB27C2"/>
    <w:rsid w:val="00BB2A12"/>
    <w:rsid w:val="00BB2ACA"/>
    <w:rsid w:val="00BB2DCD"/>
    <w:rsid w:val="00BB32FA"/>
    <w:rsid w:val="00BB346D"/>
    <w:rsid w:val="00BB3815"/>
    <w:rsid w:val="00BB3BB4"/>
    <w:rsid w:val="00BB3DFA"/>
    <w:rsid w:val="00BB3FBF"/>
    <w:rsid w:val="00BB40CB"/>
    <w:rsid w:val="00BB4773"/>
    <w:rsid w:val="00BB4BE4"/>
    <w:rsid w:val="00BB4C1C"/>
    <w:rsid w:val="00BB530C"/>
    <w:rsid w:val="00BB556B"/>
    <w:rsid w:val="00BB6177"/>
    <w:rsid w:val="00BB6EAC"/>
    <w:rsid w:val="00BB6FE9"/>
    <w:rsid w:val="00BB73EE"/>
    <w:rsid w:val="00BB7A59"/>
    <w:rsid w:val="00BB7CAD"/>
    <w:rsid w:val="00BB7CCE"/>
    <w:rsid w:val="00BC01AF"/>
    <w:rsid w:val="00BC054B"/>
    <w:rsid w:val="00BC095C"/>
    <w:rsid w:val="00BC09F4"/>
    <w:rsid w:val="00BC0A4C"/>
    <w:rsid w:val="00BC0CA4"/>
    <w:rsid w:val="00BC0DB2"/>
    <w:rsid w:val="00BC11C5"/>
    <w:rsid w:val="00BC11DF"/>
    <w:rsid w:val="00BC16EE"/>
    <w:rsid w:val="00BC192E"/>
    <w:rsid w:val="00BC1C2F"/>
    <w:rsid w:val="00BC2956"/>
    <w:rsid w:val="00BC2A14"/>
    <w:rsid w:val="00BC3473"/>
    <w:rsid w:val="00BC3929"/>
    <w:rsid w:val="00BC3FCF"/>
    <w:rsid w:val="00BC40F9"/>
    <w:rsid w:val="00BC48EB"/>
    <w:rsid w:val="00BC4CD9"/>
    <w:rsid w:val="00BC50F5"/>
    <w:rsid w:val="00BC511D"/>
    <w:rsid w:val="00BC53FC"/>
    <w:rsid w:val="00BC583F"/>
    <w:rsid w:val="00BC5B43"/>
    <w:rsid w:val="00BC6043"/>
    <w:rsid w:val="00BC64C4"/>
    <w:rsid w:val="00BC656E"/>
    <w:rsid w:val="00BC67FB"/>
    <w:rsid w:val="00BC6A28"/>
    <w:rsid w:val="00BC717B"/>
    <w:rsid w:val="00BC71B0"/>
    <w:rsid w:val="00BD001A"/>
    <w:rsid w:val="00BD03BA"/>
    <w:rsid w:val="00BD04AC"/>
    <w:rsid w:val="00BD074F"/>
    <w:rsid w:val="00BD1621"/>
    <w:rsid w:val="00BD17C3"/>
    <w:rsid w:val="00BD181A"/>
    <w:rsid w:val="00BD213B"/>
    <w:rsid w:val="00BD214C"/>
    <w:rsid w:val="00BD2534"/>
    <w:rsid w:val="00BD30C7"/>
    <w:rsid w:val="00BD3871"/>
    <w:rsid w:val="00BD45D3"/>
    <w:rsid w:val="00BD46A2"/>
    <w:rsid w:val="00BD46D9"/>
    <w:rsid w:val="00BD49CE"/>
    <w:rsid w:val="00BD675F"/>
    <w:rsid w:val="00BD6951"/>
    <w:rsid w:val="00BD6A14"/>
    <w:rsid w:val="00BD7D79"/>
    <w:rsid w:val="00BD7F86"/>
    <w:rsid w:val="00BE05DB"/>
    <w:rsid w:val="00BE0D5E"/>
    <w:rsid w:val="00BE15D1"/>
    <w:rsid w:val="00BE176C"/>
    <w:rsid w:val="00BE1F38"/>
    <w:rsid w:val="00BE2967"/>
    <w:rsid w:val="00BE2B6B"/>
    <w:rsid w:val="00BE2D7B"/>
    <w:rsid w:val="00BE2E0B"/>
    <w:rsid w:val="00BE3B6D"/>
    <w:rsid w:val="00BE4131"/>
    <w:rsid w:val="00BE444D"/>
    <w:rsid w:val="00BE44D2"/>
    <w:rsid w:val="00BE45A7"/>
    <w:rsid w:val="00BE5627"/>
    <w:rsid w:val="00BE59C5"/>
    <w:rsid w:val="00BE5C57"/>
    <w:rsid w:val="00BE5C98"/>
    <w:rsid w:val="00BE6747"/>
    <w:rsid w:val="00BE6884"/>
    <w:rsid w:val="00BE786A"/>
    <w:rsid w:val="00BF00BD"/>
    <w:rsid w:val="00BF027B"/>
    <w:rsid w:val="00BF02FA"/>
    <w:rsid w:val="00BF03B2"/>
    <w:rsid w:val="00BF0585"/>
    <w:rsid w:val="00BF083C"/>
    <w:rsid w:val="00BF0A07"/>
    <w:rsid w:val="00BF0C7F"/>
    <w:rsid w:val="00BF108E"/>
    <w:rsid w:val="00BF174C"/>
    <w:rsid w:val="00BF1E13"/>
    <w:rsid w:val="00BF204D"/>
    <w:rsid w:val="00BF2344"/>
    <w:rsid w:val="00BF25CF"/>
    <w:rsid w:val="00BF27F9"/>
    <w:rsid w:val="00BF2ACD"/>
    <w:rsid w:val="00BF2C7A"/>
    <w:rsid w:val="00BF313F"/>
    <w:rsid w:val="00BF35E3"/>
    <w:rsid w:val="00BF36DB"/>
    <w:rsid w:val="00BF3844"/>
    <w:rsid w:val="00BF39D8"/>
    <w:rsid w:val="00BF3D32"/>
    <w:rsid w:val="00BF45DF"/>
    <w:rsid w:val="00BF497A"/>
    <w:rsid w:val="00BF4CB9"/>
    <w:rsid w:val="00BF5302"/>
    <w:rsid w:val="00BF551D"/>
    <w:rsid w:val="00BF5AD0"/>
    <w:rsid w:val="00BF5ADB"/>
    <w:rsid w:val="00BF65FF"/>
    <w:rsid w:val="00BF713B"/>
    <w:rsid w:val="00BF75D5"/>
    <w:rsid w:val="00BF772F"/>
    <w:rsid w:val="00BF7839"/>
    <w:rsid w:val="00BF7EB4"/>
    <w:rsid w:val="00BF7F58"/>
    <w:rsid w:val="00BF7F7D"/>
    <w:rsid w:val="00C00897"/>
    <w:rsid w:val="00C016CC"/>
    <w:rsid w:val="00C0220E"/>
    <w:rsid w:val="00C0285C"/>
    <w:rsid w:val="00C02B13"/>
    <w:rsid w:val="00C02E6F"/>
    <w:rsid w:val="00C03308"/>
    <w:rsid w:val="00C037B8"/>
    <w:rsid w:val="00C03ACF"/>
    <w:rsid w:val="00C03C2C"/>
    <w:rsid w:val="00C03FBC"/>
    <w:rsid w:val="00C04131"/>
    <w:rsid w:val="00C04462"/>
    <w:rsid w:val="00C04751"/>
    <w:rsid w:val="00C04837"/>
    <w:rsid w:val="00C04838"/>
    <w:rsid w:val="00C04C0F"/>
    <w:rsid w:val="00C04CB5"/>
    <w:rsid w:val="00C05469"/>
    <w:rsid w:val="00C0569E"/>
    <w:rsid w:val="00C057F9"/>
    <w:rsid w:val="00C0594D"/>
    <w:rsid w:val="00C05C69"/>
    <w:rsid w:val="00C061DD"/>
    <w:rsid w:val="00C066EE"/>
    <w:rsid w:val="00C0739C"/>
    <w:rsid w:val="00C074C1"/>
    <w:rsid w:val="00C07BAE"/>
    <w:rsid w:val="00C07DA5"/>
    <w:rsid w:val="00C10735"/>
    <w:rsid w:val="00C10CB2"/>
    <w:rsid w:val="00C10D43"/>
    <w:rsid w:val="00C10D59"/>
    <w:rsid w:val="00C10FED"/>
    <w:rsid w:val="00C11067"/>
    <w:rsid w:val="00C11302"/>
    <w:rsid w:val="00C11A88"/>
    <w:rsid w:val="00C11ABD"/>
    <w:rsid w:val="00C11E1B"/>
    <w:rsid w:val="00C12301"/>
    <w:rsid w:val="00C12415"/>
    <w:rsid w:val="00C12BBC"/>
    <w:rsid w:val="00C12CA5"/>
    <w:rsid w:val="00C12D24"/>
    <w:rsid w:val="00C12F10"/>
    <w:rsid w:val="00C12F35"/>
    <w:rsid w:val="00C13B03"/>
    <w:rsid w:val="00C13D5F"/>
    <w:rsid w:val="00C13DB1"/>
    <w:rsid w:val="00C142BA"/>
    <w:rsid w:val="00C14305"/>
    <w:rsid w:val="00C14BFF"/>
    <w:rsid w:val="00C151CA"/>
    <w:rsid w:val="00C156AC"/>
    <w:rsid w:val="00C156FB"/>
    <w:rsid w:val="00C159CD"/>
    <w:rsid w:val="00C16059"/>
    <w:rsid w:val="00C16289"/>
    <w:rsid w:val="00C16E4B"/>
    <w:rsid w:val="00C173FE"/>
    <w:rsid w:val="00C176B0"/>
    <w:rsid w:val="00C17A79"/>
    <w:rsid w:val="00C2022B"/>
    <w:rsid w:val="00C20404"/>
    <w:rsid w:val="00C20442"/>
    <w:rsid w:val="00C20C3E"/>
    <w:rsid w:val="00C2105F"/>
    <w:rsid w:val="00C21095"/>
    <w:rsid w:val="00C212DB"/>
    <w:rsid w:val="00C215B0"/>
    <w:rsid w:val="00C219B5"/>
    <w:rsid w:val="00C2207E"/>
    <w:rsid w:val="00C22676"/>
    <w:rsid w:val="00C22876"/>
    <w:rsid w:val="00C22DA5"/>
    <w:rsid w:val="00C22F93"/>
    <w:rsid w:val="00C231A2"/>
    <w:rsid w:val="00C237A6"/>
    <w:rsid w:val="00C23BBC"/>
    <w:rsid w:val="00C2406F"/>
    <w:rsid w:val="00C24912"/>
    <w:rsid w:val="00C24FED"/>
    <w:rsid w:val="00C25298"/>
    <w:rsid w:val="00C25560"/>
    <w:rsid w:val="00C25F0A"/>
    <w:rsid w:val="00C261CF"/>
    <w:rsid w:val="00C266ED"/>
    <w:rsid w:val="00C26EF2"/>
    <w:rsid w:val="00C278C6"/>
    <w:rsid w:val="00C27968"/>
    <w:rsid w:val="00C27A63"/>
    <w:rsid w:val="00C30643"/>
    <w:rsid w:val="00C30B29"/>
    <w:rsid w:val="00C30EB0"/>
    <w:rsid w:val="00C30FB0"/>
    <w:rsid w:val="00C31259"/>
    <w:rsid w:val="00C3185E"/>
    <w:rsid w:val="00C31A5A"/>
    <w:rsid w:val="00C31B49"/>
    <w:rsid w:val="00C32592"/>
    <w:rsid w:val="00C33BB7"/>
    <w:rsid w:val="00C33D45"/>
    <w:rsid w:val="00C33D83"/>
    <w:rsid w:val="00C34772"/>
    <w:rsid w:val="00C3482E"/>
    <w:rsid w:val="00C34E11"/>
    <w:rsid w:val="00C3506C"/>
    <w:rsid w:val="00C3516D"/>
    <w:rsid w:val="00C353AA"/>
    <w:rsid w:val="00C353F3"/>
    <w:rsid w:val="00C356F6"/>
    <w:rsid w:val="00C35752"/>
    <w:rsid w:val="00C35995"/>
    <w:rsid w:val="00C35F41"/>
    <w:rsid w:val="00C36386"/>
    <w:rsid w:val="00C369FA"/>
    <w:rsid w:val="00C36DB0"/>
    <w:rsid w:val="00C37338"/>
    <w:rsid w:val="00C37509"/>
    <w:rsid w:val="00C4006F"/>
    <w:rsid w:val="00C40103"/>
    <w:rsid w:val="00C4085A"/>
    <w:rsid w:val="00C40B8B"/>
    <w:rsid w:val="00C415A8"/>
    <w:rsid w:val="00C421E7"/>
    <w:rsid w:val="00C42513"/>
    <w:rsid w:val="00C42A8C"/>
    <w:rsid w:val="00C42E23"/>
    <w:rsid w:val="00C431BD"/>
    <w:rsid w:val="00C4338D"/>
    <w:rsid w:val="00C437F0"/>
    <w:rsid w:val="00C43EC8"/>
    <w:rsid w:val="00C44604"/>
    <w:rsid w:val="00C44AE0"/>
    <w:rsid w:val="00C44EF7"/>
    <w:rsid w:val="00C4538F"/>
    <w:rsid w:val="00C45A29"/>
    <w:rsid w:val="00C45A94"/>
    <w:rsid w:val="00C45C2D"/>
    <w:rsid w:val="00C45E85"/>
    <w:rsid w:val="00C46372"/>
    <w:rsid w:val="00C46E70"/>
    <w:rsid w:val="00C46EAF"/>
    <w:rsid w:val="00C4715B"/>
    <w:rsid w:val="00C47185"/>
    <w:rsid w:val="00C477D4"/>
    <w:rsid w:val="00C47C1C"/>
    <w:rsid w:val="00C47D5C"/>
    <w:rsid w:val="00C50AC4"/>
    <w:rsid w:val="00C50DA0"/>
    <w:rsid w:val="00C512B8"/>
    <w:rsid w:val="00C51485"/>
    <w:rsid w:val="00C51644"/>
    <w:rsid w:val="00C52711"/>
    <w:rsid w:val="00C52F7C"/>
    <w:rsid w:val="00C53A61"/>
    <w:rsid w:val="00C54678"/>
    <w:rsid w:val="00C5480D"/>
    <w:rsid w:val="00C5483A"/>
    <w:rsid w:val="00C549F0"/>
    <w:rsid w:val="00C54A13"/>
    <w:rsid w:val="00C54AF2"/>
    <w:rsid w:val="00C54F09"/>
    <w:rsid w:val="00C54F6B"/>
    <w:rsid w:val="00C54FB8"/>
    <w:rsid w:val="00C5566D"/>
    <w:rsid w:val="00C55693"/>
    <w:rsid w:val="00C55834"/>
    <w:rsid w:val="00C55962"/>
    <w:rsid w:val="00C559F1"/>
    <w:rsid w:val="00C55B11"/>
    <w:rsid w:val="00C55B30"/>
    <w:rsid w:val="00C55D50"/>
    <w:rsid w:val="00C55EC1"/>
    <w:rsid w:val="00C56557"/>
    <w:rsid w:val="00C56C20"/>
    <w:rsid w:val="00C56D9E"/>
    <w:rsid w:val="00C57266"/>
    <w:rsid w:val="00C57358"/>
    <w:rsid w:val="00C576D0"/>
    <w:rsid w:val="00C57871"/>
    <w:rsid w:val="00C57DA4"/>
    <w:rsid w:val="00C57E08"/>
    <w:rsid w:val="00C6010B"/>
    <w:rsid w:val="00C60B20"/>
    <w:rsid w:val="00C60D37"/>
    <w:rsid w:val="00C613D7"/>
    <w:rsid w:val="00C6175A"/>
    <w:rsid w:val="00C62289"/>
    <w:rsid w:val="00C627F6"/>
    <w:rsid w:val="00C62A0D"/>
    <w:rsid w:val="00C62EBB"/>
    <w:rsid w:val="00C63DB2"/>
    <w:rsid w:val="00C63DCC"/>
    <w:rsid w:val="00C63E26"/>
    <w:rsid w:val="00C63E59"/>
    <w:rsid w:val="00C63FAB"/>
    <w:rsid w:val="00C64429"/>
    <w:rsid w:val="00C6477B"/>
    <w:rsid w:val="00C64D10"/>
    <w:rsid w:val="00C64E95"/>
    <w:rsid w:val="00C65058"/>
    <w:rsid w:val="00C653A3"/>
    <w:rsid w:val="00C661AC"/>
    <w:rsid w:val="00C66313"/>
    <w:rsid w:val="00C6687B"/>
    <w:rsid w:val="00C66881"/>
    <w:rsid w:val="00C6698E"/>
    <w:rsid w:val="00C66C27"/>
    <w:rsid w:val="00C66FD2"/>
    <w:rsid w:val="00C67050"/>
    <w:rsid w:val="00C67375"/>
    <w:rsid w:val="00C675D7"/>
    <w:rsid w:val="00C67705"/>
    <w:rsid w:val="00C67C03"/>
    <w:rsid w:val="00C7013D"/>
    <w:rsid w:val="00C703C7"/>
    <w:rsid w:val="00C70633"/>
    <w:rsid w:val="00C70890"/>
    <w:rsid w:val="00C71159"/>
    <w:rsid w:val="00C716DD"/>
    <w:rsid w:val="00C71964"/>
    <w:rsid w:val="00C71A4F"/>
    <w:rsid w:val="00C71BC0"/>
    <w:rsid w:val="00C71D8A"/>
    <w:rsid w:val="00C71F1B"/>
    <w:rsid w:val="00C71FEB"/>
    <w:rsid w:val="00C72704"/>
    <w:rsid w:val="00C72995"/>
    <w:rsid w:val="00C72E6B"/>
    <w:rsid w:val="00C72E74"/>
    <w:rsid w:val="00C73161"/>
    <w:rsid w:val="00C737E2"/>
    <w:rsid w:val="00C739E8"/>
    <w:rsid w:val="00C73CEB"/>
    <w:rsid w:val="00C74565"/>
    <w:rsid w:val="00C74683"/>
    <w:rsid w:val="00C74D18"/>
    <w:rsid w:val="00C750AC"/>
    <w:rsid w:val="00C757EC"/>
    <w:rsid w:val="00C75BAD"/>
    <w:rsid w:val="00C76791"/>
    <w:rsid w:val="00C768B1"/>
    <w:rsid w:val="00C76F18"/>
    <w:rsid w:val="00C773B4"/>
    <w:rsid w:val="00C7762A"/>
    <w:rsid w:val="00C77875"/>
    <w:rsid w:val="00C8017B"/>
    <w:rsid w:val="00C801AA"/>
    <w:rsid w:val="00C801AB"/>
    <w:rsid w:val="00C80C1C"/>
    <w:rsid w:val="00C80C99"/>
    <w:rsid w:val="00C80D08"/>
    <w:rsid w:val="00C81110"/>
    <w:rsid w:val="00C816AC"/>
    <w:rsid w:val="00C8196B"/>
    <w:rsid w:val="00C81B08"/>
    <w:rsid w:val="00C81C96"/>
    <w:rsid w:val="00C8229A"/>
    <w:rsid w:val="00C82506"/>
    <w:rsid w:val="00C82724"/>
    <w:rsid w:val="00C828B8"/>
    <w:rsid w:val="00C8355A"/>
    <w:rsid w:val="00C8356F"/>
    <w:rsid w:val="00C83F2C"/>
    <w:rsid w:val="00C84143"/>
    <w:rsid w:val="00C8419F"/>
    <w:rsid w:val="00C84AB4"/>
    <w:rsid w:val="00C84DAA"/>
    <w:rsid w:val="00C85619"/>
    <w:rsid w:val="00C857B2"/>
    <w:rsid w:val="00C85E61"/>
    <w:rsid w:val="00C86098"/>
    <w:rsid w:val="00C86650"/>
    <w:rsid w:val="00C86744"/>
    <w:rsid w:val="00C8675A"/>
    <w:rsid w:val="00C86B59"/>
    <w:rsid w:val="00C86EEE"/>
    <w:rsid w:val="00C87331"/>
    <w:rsid w:val="00C8744B"/>
    <w:rsid w:val="00C87DA2"/>
    <w:rsid w:val="00C9028B"/>
    <w:rsid w:val="00C902BB"/>
    <w:rsid w:val="00C905CA"/>
    <w:rsid w:val="00C90B62"/>
    <w:rsid w:val="00C90CD2"/>
    <w:rsid w:val="00C91277"/>
    <w:rsid w:val="00C9149C"/>
    <w:rsid w:val="00C92016"/>
    <w:rsid w:val="00C92429"/>
    <w:rsid w:val="00C928E2"/>
    <w:rsid w:val="00C92C28"/>
    <w:rsid w:val="00C92D33"/>
    <w:rsid w:val="00C92DEF"/>
    <w:rsid w:val="00C92E73"/>
    <w:rsid w:val="00C933E8"/>
    <w:rsid w:val="00C93CE7"/>
    <w:rsid w:val="00C93E2D"/>
    <w:rsid w:val="00C9418A"/>
    <w:rsid w:val="00C944B9"/>
    <w:rsid w:val="00C94652"/>
    <w:rsid w:val="00C9469A"/>
    <w:rsid w:val="00C94B82"/>
    <w:rsid w:val="00C954B9"/>
    <w:rsid w:val="00C9558F"/>
    <w:rsid w:val="00C9582E"/>
    <w:rsid w:val="00C95C98"/>
    <w:rsid w:val="00C95E11"/>
    <w:rsid w:val="00C95F06"/>
    <w:rsid w:val="00C9617A"/>
    <w:rsid w:val="00C96825"/>
    <w:rsid w:val="00C96A4F"/>
    <w:rsid w:val="00C96B42"/>
    <w:rsid w:val="00C970FE"/>
    <w:rsid w:val="00C971B2"/>
    <w:rsid w:val="00C97EC8"/>
    <w:rsid w:val="00CA050C"/>
    <w:rsid w:val="00CA07BA"/>
    <w:rsid w:val="00CA0967"/>
    <w:rsid w:val="00CA0B97"/>
    <w:rsid w:val="00CA0E1C"/>
    <w:rsid w:val="00CA0E52"/>
    <w:rsid w:val="00CA0F50"/>
    <w:rsid w:val="00CA1738"/>
    <w:rsid w:val="00CA1756"/>
    <w:rsid w:val="00CA17E0"/>
    <w:rsid w:val="00CA19DD"/>
    <w:rsid w:val="00CA1E88"/>
    <w:rsid w:val="00CA1FC2"/>
    <w:rsid w:val="00CA205D"/>
    <w:rsid w:val="00CA2516"/>
    <w:rsid w:val="00CA273F"/>
    <w:rsid w:val="00CA2875"/>
    <w:rsid w:val="00CA28AD"/>
    <w:rsid w:val="00CA2967"/>
    <w:rsid w:val="00CA2A2E"/>
    <w:rsid w:val="00CA2B92"/>
    <w:rsid w:val="00CA2FC7"/>
    <w:rsid w:val="00CA3C0F"/>
    <w:rsid w:val="00CA3DF4"/>
    <w:rsid w:val="00CA3EE5"/>
    <w:rsid w:val="00CA416A"/>
    <w:rsid w:val="00CA4272"/>
    <w:rsid w:val="00CA4A1D"/>
    <w:rsid w:val="00CA4D94"/>
    <w:rsid w:val="00CA5000"/>
    <w:rsid w:val="00CA5690"/>
    <w:rsid w:val="00CA576E"/>
    <w:rsid w:val="00CA5816"/>
    <w:rsid w:val="00CA5DA1"/>
    <w:rsid w:val="00CA5DB7"/>
    <w:rsid w:val="00CA5EC0"/>
    <w:rsid w:val="00CA63DD"/>
    <w:rsid w:val="00CA64E9"/>
    <w:rsid w:val="00CA65D5"/>
    <w:rsid w:val="00CA679D"/>
    <w:rsid w:val="00CA6AF9"/>
    <w:rsid w:val="00CA6EF5"/>
    <w:rsid w:val="00CA71A3"/>
    <w:rsid w:val="00CA72CC"/>
    <w:rsid w:val="00CA7343"/>
    <w:rsid w:val="00CA7345"/>
    <w:rsid w:val="00CA7349"/>
    <w:rsid w:val="00CA7B8D"/>
    <w:rsid w:val="00CB0A82"/>
    <w:rsid w:val="00CB0FD5"/>
    <w:rsid w:val="00CB1C5C"/>
    <w:rsid w:val="00CB1D63"/>
    <w:rsid w:val="00CB2938"/>
    <w:rsid w:val="00CB29B0"/>
    <w:rsid w:val="00CB2B36"/>
    <w:rsid w:val="00CB2F46"/>
    <w:rsid w:val="00CB302B"/>
    <w:rsid w:val="00CB347D"/>
    <w:rsid w:val="00CB348C"/>
    <w:rsid w:val="00CB3670"/>
    <w:rsid w:val="00CB42A6"/>
    <w:rsid w:val="00CB4339"/>
    <w:rsid w:val="00CB43F2"/>
    <w:rsid w:val="00CB5505"/>
    <w:rsid w:val="00CB572B"/>
    <w:rsid w:val="00CB5A0F"/>
    <w:rsid w:val="00CB64BE"/>
    <w:rsid w:val="00CB6567"/>
    <w:rsid w:val="00CB67CD"/>
    <w:rsid w:val="00CB6BF2"/>
    <w:rsid w:val="00CB7463"/>
    <w:rsid w:val="00CB7714"/>
    <w:rsid w:val="00CB7985"/>
    <w:rsid w:val="00CB7DC4"/>
    <w:rsid w:val="00CB7E18"/>
    <w:rsid w:val="00CC03BF"/>
    <w:rsid w:val="00CC055D"/>
    <w:rsid w:val="00CC058F"/>
    <w:rsid w:val="00CC14AC"/>
    <w:rsid w:val="00CC1A1A"/>
    <w:rsid w:val="00CC1C2F"/>
    <w:rsid w:val="00CC1C89"/>
    <w:rsid w:val="00CC1CFC"/>
    <w:rsid w:val="00CC1F67"/>
    <w:rsid w:val="00CC1F7A"/>
    <w:rsid w:val="00CC1F84"/>
    <w:rsid w:val="00CC20A6"/>
    <w:rsid w:val="00CC2162"/>
    <w:rsid w:val="00CC2893"/>
    <w:rsid w:val="00CC2BDD"/>
    <w:rsid w:val="00CC2D4B"/>
    <w:rsid w:val="00CC3164"/>
    <w:rsid w:val="00CC37C1"/>
    <w:rsid w:val="00CC3960"/>
    <w:rsid w:val="00CC3B0D"/>
    <w:rsid w:val="00CC3BFD"/>
    <w:rsid w:val="00CC3C28"/>
    <w:rsid w:val="00CC3E01"/>
    <w:rsid w:val="00CC4054"/>
    <w:rsid w:val="00CC40B7"/>
    <w:rsid w:val="00CC433C"/>
    <w:rsid w:val="00CC452B"/>
    <w:rsid w:val="00CC4D0D"/>
    <w:rsid w:val="00CC4F64"/>
    <w:rsid w:val="00CC5B61"/>
    <w:rsid w:val="00CC5D6D"/>
    <w:rsid w:val="00CC5DDE"/>
    <w:rsid w:val="00CC617B"/>
    <w:rsid w:val="00CC753E"/>
    <w:rsid w:val="00CC7CC2"/>
    <w:rsid w:val="00CD061A"/>
    <w:rsid w:val="00CD06E0"/>
    <w:rsid w:val="00CD078D"/>
    <w:rsid w:val="00CD0934"/>
    <w:rsid w:val="00CD0958"/>
    <w:rsid w:val="00CD1025"/>
    <w:rsid w:val="00CD113B"/>
    <w:rsid w:val="00CD11AA"/>
    <w:rsid w:val="00CD13EC"/>
    <w:rsid w:val="00CD1FBE"/>
    <w:rsid w:val="00CD2721"/>
    <w:rsid w:val="00CD2B63"/>
    <w:rsid w:val="00CD2E6C"/>
    <w:rsid w:val="00CD2F97"/>
    <w:rsid w:val="00CD3613"/>
    <w:rsid w:val="00CD3792"/>
    <w:rsid w:val="00CD3B72"/>
    <w:rsid w:val="00CD3B93"/>
    <w:rsid w:val="00CD3E48"/>
    <w:rsid w:val="00CD3EEB"/>
    <w:rsid w:val="00CD4077"/>
    <w:rsid w:val="00CD4F5A"/>
    <w:rsid w:val="00CD52DA"/>
    <w:rsid w:val="00CD552C"/>
    <w:rsid w:val="00CD570C"/>
    <w:rsid w:val="00CD6720"/>
    <w:rsid w:val="00CD6A06"/>
    <w:rsid w:val="00CD6BCE"/>
    <w:rsid w:val="00CD6E45"/>
    <w:rsid w:val="00CD6F77"/>
    <w:rsid w:val="00CD708E"/>
    <w:rsid w:val="00CD71DE"/>
    <w:rsid w:val="00CE156A"/>
    <w:rsid w:val="00CE1E7A"/>
    <w:rsid w:val="00CE27C9"/>
    <w:rsid w:val="00CE2FAE"/>
    <w:rsid w:val="00CE3B87"/>
    <w:rsid w:val="00CE4088"/>
    <w:rsid w:val="00CE4AE4"/>
    <w:rsid w:val="00CE5489"/>
    <w:rsid w:val="00CE5B69"/>
    <w:rsid w:val="00CE5CA1"/>
    <w:rsid w:val="00CE5CD3"/>
    <w:rsid w:val="00CE5E34"/>
    <w:rsid w:val="00CE5FDB"/>
    <w:rsid w:val="00CE6502"/>
    <w:rsid w:val="00CE67C9"/>
    <w:rsid w:val="00CE691E"/>
    <w:rsid w:val="00CE6D9A"/>
    <w:rsid w:val="00CE6EF3"/>
    <w:rsid w:val="00CE742E"/>
    <w:rsid w:val="00CE77D0"/>
    <w:rsid w:val="00CE7DE7"/>
    <w:rsid w:val="00CF06F7"/>
    <w:rsid w:val="00CF0D71"/>
    <w:rsid w:val="00CF11D3"/>
    <w:rsid w:val="00CF1223"/>
    <w:rsid w:val="00CF15C2"/>
    <w:rsid w:val="00CF16F8"/>
    <w:rsid w:val="00CF1856"/>
    <w:rsid w:val="00CF1BE3"/>
    <w:rsid w:val="00CF23A2"/>
    <w:rsid w:val="00CF24CA"/>
    <w:rsid w:val="00CF285D"/>
    <w:rsid w:val="00CF2F91"/>
    <w:rsid w:val="00CF313F"/>
    <w:rsid w:val="00CF31D1"/>
    <w:rsid w:val="00CF33E4"/>
    <w:rsid w:val="00CF369D"/>
    <w:rsid w:val="00CF3ADA"/>
    <w:rsid w:val="00CF3B7D"/>
    <w:rsid w:val="00CF404D"/>
    <w:rsid w:val="00CF47B8"/>
    <w:rsid w:val="00CF5211"/>
    <w:rsid w:val="00CF542C"/>
    <w:rsid w:val="00CF5871"/>
    <w:rsid w:val="00CF5897"/>
    <w:rsid w:val="00CF6201"/>
    <w:rsid w:val="00CF620A"/>
    <w:rsid w:val="00CF6CCD"/>
    <w:rsid w:val="00CF6D25"/>
    <w:rsid w:val="00CF7522"/>
    <w:rsid w:val="00CF7D7F"/>
    <w:rsid w:val="00D00170"/>
    <w:rsid w:val="00D003C4"/>
    <w:rsid w:val="00D00417"/>
    <w:rsid w:val="00D008DA"/>
    <w:rsid w:val="00D00D1C"/>
    <w:rsid w:val="00D00D7B"/>
    <w:rsid w:val="00D00DE2"/>
    <w:rsid w:val="00D00EE0"/>
    <w:rsid w:val="00D01683"/>
    <w:rsid w:val="00D01791"/>
    <w:rsid w:val="00D01C7F"/>
    <w:rsid w:val="00D02958"/>
    <w:rsid w:val="00D02E81"/>
    <w:rsid w:val="00D03739"/>
    <w:rsid w:val="00D03A72"/>
    <w:rsid w:val="00D05185"/>
    <w:rsid w:val="00D052FF"/>
    <w:rsid w:val="00D053C8"/>
    <w:rsid w:val="00D05582"/>
    <w:rsid w:val="00D055A9"/>
    <w:rsid w:val="00D05D9B"/>
    <w:rsid w:val="00D06292"/>
    <w:rsid w:val="00D064E0"/>
    <w:rsid w:val="00D06738"/>
    <w:rsid w:val="00D069E1"/>
    <w:rsid w:val="00D06B47"/>
    <w:rsid w:val="00D070CA"/>
    <w:rsid w:val="00D071A0"/>
    <w:rsid w:val="00D075FB"/>
    <w:rsid w:val="00D07742"/>
    <w:rsid w:val="00D077C6"/>
    <w:rsid w:val="00D100A7"/>
    <w:rsid w:val="00D10264"/>
    <w:rsid w:val="00D10D5C"/>
    <w:rsid w:val="00D10F4D"/>
    <w:rsid w:val="00D123BF"/>
    <w:rsid w:val="00D12860"/>
    <w:rsid w:val="00D12B3B"/>
    <w:rsid w:val="00D12DDA"/>
    <w:rsid w:val="00D13402"/>
    <w:rsid w:val="00D13510"/>
    <w:rsid w:val="00D1432F"/>
    <w:rsid w:val="00D14604"/>
    <w:rsid w:val="00D1479D"/>
    <w:rsid w:val="00D14F32"/>
    <w:rsid w:val="00D15462"/>
    <w:rsid w:val="00D15608"/>
    <w:rsid w:val="00D162FD"/>
    <w:rsid w:val="00D16888"/>
    <w:rsid w:val="00D16BC5"/>
    <w:rsid w:val="00D16D2C"/>
    <w:rsid w:val="00D1708C"/>
    <w:rsid w:val="00D1747F"/>
    <w:rsid w:val="00D177C9"/>
    <w:rsid w:val="00D17B52"/>
    <w:rsid w:val="00D17FB9"/>
    <w:rsid w:val="00D20181"/>
    <w:rsid w:val="00D2031B"/>
    <w:rsid w:val="00D20381"/>
    <w:rsid w:val="00D20BB9"/>
    <w:rsid w:val="00D20E6D"/>
    <w:rsid w:val="00D20EAE"/>
    <w:rsid w:val="00D218AE"/>
    <w:rsid w:val="00D218E3"/>
    <w:rsid w:val="00D21904"/>
    <w:rsid w:val="00D21BE4"/>
    <w:rsid w:val="00D21EDF"/>
    <w:rsid w:val="00D22354"/>
    <w:rsid w:val="00D225CF"/>
    <w:rsid w:val="00D22979"/>
    <w:rsid w:val="00D229BC"/>
    <w:rsid w:val="00D231D4"/>
    <w:rsid w:val="00D2326D"/>
    <w:rsid w:val="00D2326E"/>
    <w:rsid w:val="00D232DD"/>
    <w:rsid w:val="00D25336"/>
    <w:rsid w:val="00D25348"/>
    <w:rsid w:val="00D25363"/>
    <w:rsid w:val="00D25A9B"/>
    <w:rsid w:val="00D25B2D"/>
    <w:rsid w:val="00D26017"/>
    <w:rsid w:val="00D26355"/>
    <w:rsid w:val="00D269A6"/>
    <w:rsid w:val="00D26EB0"/>
    <w:rsid w:val="00D27028"/>
    <w:rsid w:val="00D27622"/>
    <w:rsid w:val="00D278D7"/>
    <w:rsid w:val="00D27A19"/>
    <w:rsid w:val="00D27ADD"/>
    <w:rsid w:val="00D27BCD"/>
    <w:rsid w:val="00D27BF7"/>
    <w:rsid w:val="00D27D77"/>
    <w:rsid w:val="00D27EE2"/>
    <w:rsid w:val="00D30152"/>
    <w:rsid w:val="00D30230"/>
    <w:rsid w:val="00D302B2"/>
    <w:rsid w:val="00D30592"/>
    <w:rsid w:val="00D30A9A"/>
    <w:rsid w:val="00D30C54"/>
    <w:rsid w:val="00D316A0"/>
    <w:rsid w:val="00D31C47"/>
    <w:rsid w:val="00D31D4F"/>
    <w:rsid w:val="00D325C7"/>
    <w:rsid w:val="00D32B1F"/>
    <w:rsid w:val="00D3341D"/>
    <w:rsid w:val="00D337EC"/>
    <w:rsid w:val="00D338C6"/>
    <w:rsid w:val="00D33E06"/>
    <w:rsid w:val="00D34D64"/>
    <w:rsid w:val="00D35299"/>
    <w:rsid w:val="00D35FBD"/>
    <w:rsid w:val="00D362FA"/>
    <w:rsid w:val="00D3633A"/>
    <w:rsid w:val="00D36701"/>
    <w:rsid w:val="00D36996"/>
    <w:rsid w:val="00D36B9A"/>
    <w:rsid w:val="00D370B6"/>
    <w:rsid w:val="00D37354"/>
    <w:rsid w:val="00D378F3"/>
    <w:rsid w:val="00D37966"/>
    <w:rsid w:val="00D37E28"/>
    <w:rsid w:val="00D37E40"/>
    <w:rsid w:val="00D37F6C"/>
    <w:rsid w:val="00D40528"/>
    <w:rsid w:val="00D406FD"/>
    <w:rsid w:val="00D408D4"/>
    <w:rsid w:val="00D4098B"/>
    <w:rsid w:val="00D4118F"/>
    <w:rsid w:val="00D41305"/>
    <w:rsid w:val="00D41591"/>
    <w:rsid w:val="00D417ED"/>
    <w:rsid w:val="00D41CC2"/>
    <w:rsid w:val="00D42706"/>
    <w:rsid w:val="00D4357D"/>
    <w:rsid w:val="00D4375D"/>
    <w:rsid w:val="00D44067"/>
    <w:rsid w:val="00D44680"/>
    <w:rsid w:val="00D446C0"/>
    <w:rsid w:val="00D45110"/>
    <w:rsid w:val="00D45295"/>
    <w:rsid w:val="00D4581F"/>
    <w:rsid w:val="00D465C3"/>
    <w:rsid w:val="00D46728"/>
    <w:rsid w:val="00D46891"/>
    <w:rsid w:val="00D4695B"/>
    <w:rsid w:val="00D469B6"/>
    <w:rsid w:val="00D46C67"/>
    <w:rsid w:val="00D47533"/>
    <w:rsid w:val="00D47925"/>
    <w:rsid w:val="00D47AAB"/>
    <w:rsid w:val="00D50276"/>
    <w:rsid w:val="00D50B4F"/>
    <w:rsid w:val="00D50C78"/>
    <w:rsid w:val="00D5121D"/>
    <w:rsid w:val="00D513AE"/>
    <w:rsid w:val="00D517B6"/>
    <w:rsid w:val="00D518A5"/>
    <w:rsid w:val="00D51BCD"/>
    <w:rsid w:val="00D5208B"/>
    <w:rsid w:val="00D52307"/>
    <w:rsid w:val="00D524AC"/>
    <w:rsid w:val="00D52844"/>
    <w:rsid w:val="00D5288B"/>
    <w:rsid w:val="00D528FB"/>
    <w:rsid w:val="00D52DE9"/>
    <w:rsid w:val="00D531C8"/>
    <w:rsid w:val="00D5336B"/>
    <w:rsid w:val="00D536B8"/>
    <w:rsid w:val="00D53933"/>
    <w:rsid w:val="00D53B09"/>
    <w:rsid w:val="00D53EC8"/>
    <w:rsid w:val="00D5512D"/>
    <w:rsid w:val="00D551C4"/>
    <w:rsid w:val="00D558EF"/>
    <w:rsid w:val="00D5623F"/>
    <w:rsid w:val="00D567A8"/>
    <w:rsid w:val="00D56FD2"/>
    <w:rsid w:val="00D5715A"/>
    <w:rsid w:val="00D571A8"/>
    <w:rsid w:val="00D57771"/>
    <w:rsid w:val="00D57927"/>
    <w:rsid w:val="00D5797A"/>
    <w:rsid w:val="00D57B4C"/>
    <w:rsid w:val="00D57FC8"/>
    <w:rsid w:val="00D60245"/>
    <w:rsid w:val="00D60251"/>
    <w:rsid w:val="00D60423"/>
    <w:rsid w:val="00D6090F"/>
    <w:rsid w:val="00D60D0E"/>
    <w:rsid w:val="00D61217"/>
    <w:rsid w:val="00D62308"/>
    <w:rsid w:val="00D62406"/>
    <w:rsid w:val="00D629D4"/>
    <w:rsid w:val="00D62A34"/>
    <w:rsid w:val="00D62D8C"/>
    <w:rsid w:val="00D6358A"/>
    <w:rsid w:val="00D6359B"/>
    <w:rsid w:val="00D6384C"/>
    <w:rsid w:val="00D63CC6"/>
    <w:rsid w:val="00D63CD5"/>
    <w:rsid w:val="00D63FEC"/>
    <w:rsid w:val="00D646B7"/>
    <w:rsid w:val="00D649D1"/>
    <w:rsid w:val="00D64D78"/>
    <w:rsid w:val="00D65299"/>
    <w:rsid w:val="00D6563F"/>
    <w:rsid w:val="00D65707"/>
    <w:rsid w:val="00D65940"/>
    <w:rsid w:val="00D663CC"/>
    <w:rsid w:val="00D664DB"/>
    <w:rsid w:val="00D6679F"/>
    <w:rsid w:val="00D667D9"/>
    <w:rsid w:val="00D66DEC"/>
    <w:rsid w:val="00D6706D"/>
    <w:rsid w:val="00D7031B"/>
    <w:rsid w:val="00D7086C"/>
    <w:rsid w:val="00D7095B"/>
    <w:rsid w:val="00D711FE"/>
    <w:rsid w:val="00D71493"/>
    <w:rsid w:val="00D71526"/>
    <w:rsid w:val="00D716B3"/>
    <w:rsid w:val="00D723D3"/>
    <w:rsid w:val="00D72624"/>
    <w:rsid w:val="00D733E0"/>
    <w:rsid w:val="00D735E4"/>
    <w:rsid w:val="00D73B04"/>
    <w:rsid w:val="00D745FD"/>
    <w:rsid w:val="00D74C94"/>
    <w:rsid w:val="00D74CA4"/>
    <w:rsid w:val="00D7525B"/>
    <w:rsid w:val="00D757C0"/>
    <w:rsid w:val="00D7593E"/>
    <w:rsid w:val="00D75B6E"/>
    <w:rsid w:val="00D75D50"/>
    <w:rsid w:val="00D764D5"/>
    <w:rsid w:val="00D76DB9"/>
    <w:rsid w:val="00D76F2A"/>
    <w:rsid w:val="00D773BF"/>
    <w:rsid w:val="00D77610"/>
    <w:rsid w:val="00D77826"/>
    <w:rsid w:val="00D779E3"/>
    <w:rsid w:val="00D809C2"/>
    <w:rsid w:val="00D8104C"/>
    <w:rsid w:val="00D81713"/>
    <w:rsid w:val="00D81ACA"/>
    <w:rsid w:val="00D81ADF"/>
    <w:rsid w:val="00D81F45"/>
    <w:rsid w:val="00D8232E"/>
    <w:rsid w:val="00D8249D"/>
    <w:rsid w:val="00D825C1"/>
    <w:rsid w:val="00D828A9"/>
    <w:rsid w:val="00D82AE7"/>
    <w:rsid w:val="00D82ED5"/>
    <w:rsid w:val="00D82FD2"/>
    <w:rsid w:val="00D83731"/>
    <w:rsid w:val="00D838BF"/>
    <w:rsid w:val="00D83905"/>
    <w:rsid w:val="00D841C6"/>
    <w:rsid w:val="00D841CB"/>
    <w:rsid w:val="00D845CF"/>
    <w:rsid w:val="00D84E5C"/>
    <w:rsid w:val="00D8521F"/>
    <w:rsid w:val="00D8567C"/>
    <w:rsid w:val="00D856DC"/>
    <w:rsid w:val="00D857C2"/>
    <w:rsid w:val="00D85B80"/>
    <w:rsid w:val="00D85D1C"/>
    <w:rsid w:val="00D85F7F"/>
    <w:rsid w:val="00D863C2"/>
    <w:rsid w:val="00D86588"/>
    <w:rsid w:val="00D86B39"/>
    <w:rsid w:val="00D873DB"/>
    <w:rsid w:val="00D87617"/>
    <w:rsid w:val="00D90378"/>
    <w:rsid w:val="00D906E3"/>
    <w:rsid w:val="00D909E4"/>
    <w:rsid w:val="00D90CEB"/>
    <w:rsid w:val="00D91035"/>
    <w:rsid w:val="00D91328"/>
    <w:rsid w:val="00D916B0"/>
    <w:rsid w:val="00D91743"/>
    <w:rsid w:val="00D918F2"/>
    <w:rsid w:val="00D91A97"/>
    <w:rsid w:val="00D91B7C"/>
    <w:rsid w:val="00D91B94"/>
    <w:rsid w:val="00D91DDA"/>
    <w:rsid w:val="00D91FB3"/>
    <w:rsid w:val="00D92A07"/>
    <w:rsid w:val="00D92AB9"/>
    <w:rsid w:val="00D930DD"/>
    <w:rsid w:val="00D93481"/>
    <w:rsid w:val="00D936B2"/>
    <w:rsid w:val="00D93A3D"/>
    <w:rsid w:val="00D941D1"/>
    <w:rsid w:val="00D944FD"/>
    <w:rsid w:val="00D94B0B"/>
    <w:rsid w:val="00D951D6"/>
    <w:rsid w:val="00D9566A"/>
    <w:rsid w:val="00D9566B"/>
    <w:rsid w:val="00D957CA"/>
    <w:rsid w:val="00D964EB"/>
    <w:rsid w:val="00D969E0"/>
    <w:rsid w:val="00D96E1D"/>
    <w:rsid w:val="00D97481"/>
    <w:rsid w:val="00D97990"/>
    <w:rsid w:val="00D97F6D"/>
    <w:rsid w:val="00DA03B9"/>
    <w:rsid w:val="00DA07AE"/>
    <w:rsid w:val="00DA12E2"/>
    <w:rsid w:val="00DA168A"/>
    <w:rsid w:val="00DA1A01"/>
    <w:rsid w:val="00DA1EED"/>
    <w:rsid w:val="00DA2446"/>
    <w:rsid w:val="00DA28FD"/>
    <w:rsid w:val="00DA29A7"/>
    <w:rsid w:val="00DA2CDD"/>
    <w:rsid w:val="00DA2D14"/>
    <w:rsid w:val="00DA302C"/>
    <w:rsid w:val="00DA307B"/>
    <w:rsid w:val="00DA389A"/>
    <w:rsid w:val="00DA3DC9"/>
    <w:rsid w:val="00DA42D3"/>
    <w:rsid w:val="00DA4650"/>
    <w:rsid w:val="00DA4972"/>
    <w:rsid w:val="00DA4D50"/>
    <w:rsid w:val="00DA5B9E"/>
    <w:rsid w:val="00DA60E6"/>
    <w:rsid w:val="00DA610B"/>
    <w:rsid w:val="00DA63EE"/>
    <w:rsid w:val="00DA6869"/>
    <w:rsid w:val="00DA69A8"/>
    <w:rsid w:val="00DA6CAF"/>
    <w:rsid w:val="00DA7078"/>
    <w:rsid w:val="00DA731B"/>
    <w:rsid w:val="00DA7464"/>
    <w:rsid w:val="00DA79B8"/>
    <w:rsid w:val="00DA7B30"/>
    <w:rsid w:val="00DA7C72"/>
    <w:rsid w:val="00DB014A"/>
    <w:rsid w:val="00DB05B0"/>
    <w:rsid w:val="00DB05DF"/>
    <w:rsid w:val="00DB089A"/>
    <w:rsid w:val="00DB0944"/>
    <w:rsid w:val="00DB0947"/>
    <w:rsid w:val="00DB0A23"/>
    <w:rsid w:val="00DB0B72"/>
    <w:rsid w:val="00DB1020"/>
    <w:rsid w:val="00DB14DE"/>
    <w:rsid w:val="00DB1EB4"/>
    <w:rsid w:val="00DB20EE"/>
    <w:rsid w:val="00DB23C1"/>
    <w:rsid w:val="00DB2947"/>
    <w:rsid w:val="00DB2ACF"/>
    <w:rsid w:val="00DB2ED5"/>
    <w:rsid w:val="00DB310A"/>
    <w:rsid w:val="00DB3254"/>
    <w:rsid w:val="00DB35F9"/>
    <w:rsid w:val="00DB3837"/>
    <w:rsid w:val="00DB3B80"/>
    <w:rsid w:val="00DB3FB0"/>
    <w:rsid w:val="00DB4592"/>
    <w:rsid w:val="00DB4BA7"/>
    <w:rsid w:val="00DB4C2F"/>
    <w:rsid w:val="00DB4CC9"/>
    <w:rsid w:val="00DB5BDD"/>
    <w:rsid w:val="00DB5EB9"/>
    <w:rsid w:val="00DB6110"/>
    <w:rsid w:val="00DB6270"/>
    <w:rsid w:val="00DB6466"/>
    <w:rsid w:val="00DB6718"/>
    <w:rsid w:val="00DB6A64"/>
    <w:rsid w:val="00DB6F83"/>
    <w:rsid w:val="00DB7119"/>
    <w:rsid w:val="00DB728D"/>
    <w:rsid w:val="00DB795D"/>
    <w:rsid w:val="00DB7B2B"/>
    <w:rsid w:val="00DB7F1B"/>
    <w:rsid w:val="00DC0112"/>
    <w:rsid w:val="00DC0B6F"/>
    <w:rsid w:val="00DC137E"/>
    <w:rsid w:val="00DC141A"/>
    <w:rsid w:val="00DC2300"/>
    <w:rsid w:val="00DC23E7"/>
    <w:rsid w:val="00DC2658"/>
    <w:rsid w:val="00DC26A7"/>
    <w:rsid w:val="00DC2B14"/>
    <w:rsid w:val="00DC4005"/>
    <w:rsid w:val="00DC414C"/>
    <w:rsid w:val="00DC4432"/>
    <w:rsid w:val="00DC4635"/>
    <w:rsid w:val="00DC4764"/>
    <w:rsid w:val="00DC53FC"/>
    <w:rsid w:val="00DC5583"/>
    <w:rsid w:val="00DC59E2"/>
    <w:rsid w:val="00DC5CBF"/>
    <w:rsid w:val="00DC63E0"/>
    <w:rsid w:val="00DC6A23"/>
    <w:rsid w:val="00DC6E4B"/>
    <w:rsid w:val="00DC7264"/>
    <w:rsid w:val="00DC766C"/>
    <w:rsid w:val="00DC7CBB"/>
    <w:rsid w:val="00DC7D26"/>
    <w:rsid w:val="00DD0898"/>
    <w:rsid w:val="00DD09E8"/>
    <w:rsid w:val="00DD0B09"/>
    <w:rsid w:val="00DD0CF8"/>
    <w:rsid w:val="00DD0EAF"/>
    <w:rsid w:val="00DD0F63"/>
    <w:rsid w:val="00DD1605"/>
    <w:rsid w:val="00DD195C"/>
    <w:rsid w:val="00DD1A86"/>
    <w:rsid w:val="00DD1E9B"/>
    <w:rsid w:val="00DD221C"/>
    <w:rsid w:val="00DD312A"/>
    <w:rsid w:val="00DD3286"/>
    <w:rsid w:val="00DD350D"/>
    <w:rsid w:val="00DD3685"/>
    <w:rsid w:val="00DD3724"/>
    <w:rsid w:val="00DD3895"/>
    <w:rsid w:val="00DD3C17"/>
    <w:rsid w:val="00DD3CA6"/>
    <w:rsid w:val="00DD3F3E"/>
    <w:rsid w:val="00DD3F70"/>
    <w:rsid w:val="00DD44F2"/>
    <w:rsid w:val="00DD4571"/>
    <w:rsid w:val="00DD468A"/>
    <w:rsid w:val="00DD488E"/>
    <w:rsid w:val="00DD4D72"/>
    <w:rsid w:val="00DD5172"/>
    <w:rsid w:val="00DD547A"/>
    <w:rsid w:val="00DD5575"/>
    <w:rsid w:val="00DD5E05"/>
    <w:rsid w:val="00DD5F2B"/>
    <w:rsid w:val="00DD732A"/>
    <w:rsid w:val="00DD794A"/>
    <w:rsid w:val="00DD7A5A"/>
    <w:rsid w:val="00DE0418"/>
    <w:rsid w:val="00DE1026"/>
    <w:rsid w:val="00DE1F33"/>
    <w:rsid w:val="00DE2473"/>
    <w:rsid w:val="00DE30D7"/>
    <w:rsid w:val="00DE3377"/>
    <w:rsid w:val="00DE3547"/>
    <w:rsid w:val="00DE3E39"/>
    <w:rsid w:val="00DE3FDD"/>
    <w:rsid w:val="00DE4088"/>
    <w:rsid w:val="00DE452B"/>
    <w:rsid w:val="00DE46CA"/>
    <w:rsid w:val="00DE4A92"/>
    <w:rsid w:val="00DE61F4"/>
    <w:rsid w:val="00DE6BF7"/>
    <w:rsid w:val="00DE71B5"/>
    <w:rsid w:val="00DE7794"/>
    <w:rsid w:val="00DE7A1B"/>
    <w:rsid w:val="00DE7BD1"/>
    <w:rsid w:val="00DE7D58"/>
    <w:rsid w:val="00DF0477"/>
    <w:rsid w:val="00DF04BB"/>
    <w:rsid w:val="00DF170A"/>
    <w:rsid w:val="00DF1AA8"/>
    <w:rsid w:val="00DF1EB8"/>
    <w:rsid w:val="00DF1EE1"/>
    <w:rsid w:val="00DF201A"/>
    <w:rsid w:val="00DF24AE"/>
    <w:rsid w:val="00DF2826"/>
    <w:rsid w:val="00DF2EC9"/>
    <w:rsid w:val="00DF315C"/>
    <w:rsid w:val="00DF3299"/>
    <w:rsid w:val="00DF3608"/>
    <w:rsid w:val="00DF3ADD"/>
    <w:rsid w:val="00DF3FC5"/>
    <w:rsid w:val="00DF4C0A"/>
    <w:rsid w:val="00DF54BE"/>
    <w:rsid w:val="00DF554B"/>
    <w:rsid w:val="00DF59F5"/>
    <w:rsid w:val="00DF5E6C"/>
    <w:rsid w:val="00DF5FBE"/>
    <w:rsid w:val="00DF6226"/>
    <w:rsid w:val="00DF62B7"/>
    <w:rsid w:val="00DF656A"/>
    <w:rsid w:val="00DF65B9"/>
    <w:rsid w:val="00DF684A"/>
    <w:rsid w:val="00DF6D45"/>
    <w:rsid w:val="00DF773A"/>
    <w:rsid w:val="00E002AD"/>
    <w:rsid w:val="00E00305"/>
    <w:rsid w:val="00E00656"/>
    <w:rsid w:val="00E00F31"/>
    <w:rsid w:val="00E01266"/>
    <w:rsid w:val="00E0126A"/>
    <w:rsid w:val="00E0176B"/>
    <w:rsid w:val="00E018C6"/>
    <w:rsid w:val="00E01FA4"/>
    <w:rsid w:val="00E023ED"/>
    <w:rsid w:val="00E02478"/>
    <w:rsid w:val="00E02EAC"/>
    <w:rsid w:val="00E03068"/>
    <w:rsid w:val="00E0309C"/>
    <w:rsid w:val="00E03B6D"/>
    <w:rsid w:val="00E041D4"/>
    <w:rsid w:val="00E04645"/>
    <w:rsid w:val="00E04722"/>
    <w:rsid w:val="00E04C22"/>
    <w:rsid w:val="00E05154"/>
    <w:rsid w:val="00E05550"/>
    <w:rsid w:val="00E0579D"/>
    <w:rsid w:val="00E0582C"/>
    <w:rsid w:val="00E06071"/>
    <w:rsid w:val="00E066BC"/>
    <w:rsid w:val="00E06EEB"/>
    <w:rsid w:val="00E07318"/>
    <w:rsid w:val="00E07B5C"/>
    <w:rsid w:val="00E07B61"/>
    <w:rsid w:val="00E07BF3"/>
    <w:rsid w:val="00E07DF2"/>
    <w:rsid w:val="00E1032C"/>
    <w:rsid w:val="00E103CE"/>
    <w:rsid w:val="00E10740"/>
    <w:rsid w:val="00E1078C"/>
    <w:rsid w:val="00E1084E"/>
    <w:rsid w:val="00E10870"/>
    <w:rsid w:val="00E10B41"/>
    <w:rsid w:val="00E10D72"/>
    <w:rsid w:val="00E10E4D"/>
    <w:rsid w:val="00E1114B"/>
    <w:rsid w:val="00E11765"/>
    <w:rsid w:val="00E11B15"/>
    <w:rsid w:val="00E11DF6"/>
    <w:rsid w:val="00E11E04"/>
    <w:rsid w:val="00E1284F"/>
    <w:rsid w:val="00E12BD0"/>
    <w:rsid w:val="00E1312B"/>
    <w:rsid w:val="00E13171"/>
    <w:rsid w:val="00E131B9"/>
    <w:rsid w:val="00E139E5"/>
    <w:rsid w:val="00E13C43"/>
    <w:rsid w:val="00E13F18"/>
    <w:rsid w:val="00E144A0"/>
    <w:rsid w:val="00E144C2"/>
    <w:rsid w:val="00E14AD6"/>
    <w:rsid w:val="00E152F9"/>
    <w:rsid w:val="00E15B91"/>
    <w:rsid w:val="00E15C4C"/>
    <w:rsid w:val="00E16542"/>
    <w:rsid w:val="00E16B2A"/>
    <w:rsid w:val="00E16B92"/>
    <w:rsid w:val="00E16C47"/>
    <w:rsid w:val="00E17426"/>
    <w:rsid w:val="00E1750F"/>
    <w:rsid w:val="00E17B09"/>
    <w:rsid w:val="00E17ED8"/>
    <w:rsid w:val="00E17F03"/>
    <w:rsid w:val="00E20716"/>
    <w:rsid w:val="00E209BE"/>
    <w:rsid w:val="00E20E61"/>
    <w:rsid w:val="00E210B9"/>
    <w:rsid w:val="00E210F7"/>
    <w:rsid w:val="00E21397"/>
    <w:rsid w:val="00E21626"/>
    <w:rsid w:val="00E2167B"/>
    <w:rsid w:val="00E21C14"/>
    <w:rsid w:val="00E21CBA"/>
    <w:rsid w:val="00E21CD5"/>
    <w:rsid w:val="00E21FC4"/>
    <w:rsid w:val="00E22A01"/>
    <w:rsid w:val="00E22B8E"/>
    <w:rsid w:val="00E2300E"/>
    <w:rsid w:val="00E230A3"/>
    <w:rsid w:val="00E23274"/>
    <w:rsid w:val="00E232B2"/>
    <w:rsid w:val="00E232B8"/>
    <w:rsid w:val="00E2348A"/>
    <w:rsid w:val="00E2399E"/>
    <w:rsid w:val="00E24805"/>
    <w:rsid w:val="00E24813"/>
    <w:rsid w:val="00E24D3C"/>
    <w:rsid w:val="00E25342"/>
    <w:rsid w:val="00E2540F"/>
    <w:rsid w:val="00E25885"/>
    <w:rsid w:val="00E2592B"/>
    <w:rsid w:val="00E25B6D"/>
    <w:rsid w:val="00E25C5B"/>
    <w:rsid w:val="00E25FAF"/>
    <w:rsid w:val="00E270C2"/>
    <w:rsid w:val="00E27121"/>
    <w:rsid w:val="00E2744C"/>
    <w:rsid w:val="00E3008B"/>
    <w:rsid w:val="00E31039"/>
    <w:rsid w:val="00E31194"/>
    <w:rsid w:val="00E31367"/>
    <w:rsid w:val="00E314A4"/>
    <w:rsid w:val="00E31575"/>
    <w:rsid w:val="00E31A08"/>
    <w:rsid w:val="00E31C70"/>
    <w:rsid w:val="00E321C0"/>
    <w:rsid w:val="00E32286"/>
    <w:rsid w:val="00E32573"/>
    <w:rsid w:val="00E3369C"/>
    <w:rsid w:val="00E34098"/>
    <w:rsid w:val="00E3474F"/>
    <w:rsid w:val="00E349BF"/>
    <w:rsid w:val="00E3564C"/>
    <w:rsid w:val="00E35884"/>
    <w:rsid w:val="00E35BF2"/>
    <w:rsid w:val="00E35E83"/>
    <w:rsid w:val="00E35F8F"/>
    <w:rsid w:val="00E36330"/>
    <w:rsid w:val="00E36877"/>
    <w:rsid w:val="00E3697C"/>
    <w:rsid w:val="00E371D2"/>
    <w:rsid w:val="00E37DAD"/>
    <w:rsid w:val="00E40145"/>
    <w:rsid w:val="00E40429"/>
    <w:rsid w:val="00E40714"/>
    <w:rsid w:val="00E40D16"/>
    <w:rsid w:val="00E41496"/>
    <w:rsid w:val="00E41738"/>
    <w:rsid w:val="00E41DDF"/>
    <w:rsid w:val="00E4202C"/>
    <w:rsid w:val="00E422E3"/>
    <w:rsid w:val="00E427FF"/>
    <w:rsid w:val="00E4296A"/>
    <w:rsid w:val="00E42C7C"/>
    <w:rsid w:val="00E42E23"/>
    <w:rsid w:val="00E42FAE"/>
    <w:rsid w:val="00E43BBD"/>
    <w:rsid w:val="00E43E3D"/>
    <w:rsid w:val="00E44C25"/>
    <w:rsid w:val="00E44FFE"/>
    <w:rsid w:val="00E45183"/>
    <w:rsid w:val="00E4538C"/>
    <w:rsid w:val="00E45835"/>
    <w:rsid w:val="00E45D09"/>
    <w:rsid w:val="00E46BF4"/>
    <w:rsid w:val="00E46C08"/>
    <w:rsid w:val="00E46FDA"/>
    <w:rsid w:val="00E47133"/>
    <w:rsid w:val="00E4761C"/>
    <w:rsid w:val="00E47F40"/>
    <w:rsid w:val="00E507C6"/>
    <w:rsid w:val="00E50AC0"/>
    <w:rsid w:val="00E50ACD"/>
    <w:rsid w:val="00E516F4"/>
    <w:rsid w:val="00E5174F"/>
    <w:rsid w:val="00E51B92"/>
    <w:rsid w:val="00E52704"/>
    <w:rsid w:val="00E5298A"/>
    <w:rsid w:val="00E52B66"/>
    <w:rsid w:val="00E52C40"/>
    <w:rsid w:val="00E52F64"/>
    <w:rsid w:val="00E531AF"/>
    <w:rsid w:val="00E53437"/>
    <w:rsid w:val="00E53854"/>
    <w:rsid w:val="00E5484D"/>
    <w:rsid w:val="00E54C4C"/>
    <w:rsid w:val="00E54CB5"/>
    <w:rsid w:val="00E55021"/>
    <w:rsid w:val="00E5538C"/>
    <w:rsid w:val="00E555A0"/>
    <w:rsid w:val="00E557B0"/>
    <w:rsid w:val="00E55A55"/>
    <w:rsid w:val="00E571C6"/>
    <w:rsid w:val="00E57A15"/>
    <w:rsid w:val="00E57AB7"/>
    <w:rsid w:val="00E57CC5"/>
    <w:rsid w:val="00E57DD6"/>
    <w:rsid w:val="00E604D4"/>
    <w:rsid w:val="00E60A1A"/>
    <w:rsid w:val="00E60A50"/>
    <w:rsid w:val="00E6135E"/>
    <w:rsid w:val="00E613DA"/>
    <w:rsid w:val="00E615ED"/>
    <w:rsid w:val="00E622D6"/>
    <w:rsid w:val="00E623E6"/>
    <w:rsid w:val="00E62E52"/>
    <w:rsid w:val="00E62FA1"/>
    <w:rsid w:val="00E63002"/>
    <w:rsid w:val="00E63840"/>
    <w:rsid w:val="00E63B96"/>
    <w:rsid w:val="00E63DE9"/>
    <w:rsid w:val="00E64022"/>
    <w:rsid w:val="00E64727"/>
    <w:rsid w:val="00E6488D"/>
    <w:rsid w:val="00E64CE5"/>
    <w:rsid w:val="00E64D27"/>
    <w:rsid w:val="00E65027"/>
    <w:rsid w:val="00E656FD"/>
    <w:rsid w:val="00E66055"/>
    <w:rsid w:val="00E662EC"/>
    <w:rsid w:val="00E664ED"/>
    <w:rsid w:val="00E6664F"/>
    <w:rsid w:val="00E6712A"/>
    <w:rsid w:val="00E67A14"/>
    <w:rsid w:val="00E67ACA"/>
    <w:rsid w:val="00E67CA1"/>
    <w:rsid w:val="00E70427"/>
    <w:rsid w:val="00E70545"/>
    <w:rsid w:val="00E70772"/>
    <w:rsid w:val="00E70924"/>
    <w:rsid w:val="00E71021"/>
    <w:rsid w:val="00E71333"/>
    <w:rsid w:val="00E71734"/>
    <w:rsid w:val="00E71829"/>
    <w:rsid w:val="00E71C88"/>
    <w:rsid w:val="00E7221B"/>
    <w:rsid w:val="00E722B0"/>
    <w:rsid w:val="00E72B8E"/>
    <w:rsid w:val="00E72DD7"/>
    <w:rsid w:val="00E72E4A"/>
    <w:rsid w:val="00E732AB"/>
    <w:rsid w:val="00E74279"/>
    <w:rsid w:val="00E74855"/>
    <w:rsid w:val="00E7494D"/>
    <w:rsid w:val="00E74A2A"/>
    <w:rsid w:val="00E74DAC"/>
    <w:rsid w:val="00E76763"/>
    <w:rsid w:val="00E7717F"/>
    <w:rsid w:val="00E77430"/>
    <w:rsid w:val="00E7782F"/>
    <w:rsid w:val="00E77DFD"/>
    <w:rsid w:val="00E80208"/>
    <w:rsid w:val="00E805DD"/>
    <w:rsid w:val="00E809A5"/>
    <w:rsid w:val="00E80AD0"/>
    <w:rsid w:val="00E80ED0"/>
    <w:rsid w:val="00E81025"/>
    <w:rsid w:val="00E81450"/>
    <w:rsid w:val="00E816FD"/>
    <w:rsid w:val="00E81A2C"/>
    <w:rsid w:val="00E81E48"/>
    <w:rsid w:val="00E82348"/>
    <w:rsid w:val="00E827C5"/>
    <w:rsid w:val="00E8397D"/>
    <w:rsid w:val="00E83ACE"/>
    <w:rsid w:val="00E8447B"/>
    <w:rsid w:val="00E846B8"/>
    <w:rsid w:val="00E84F69"/>
    <w:rsid w:val="00E8508B"/>
    <w:rsid w:val="00E85847"/>
    <w:rsid w:val="00E859E8"/>
    <w:rsid w:val="00E85C35"/>
    <w:rsid w:val="00E85EFE"/>
    <w:rsid w:val="00E8611D"/>
    <w:rsid w:val="00E86236"/>
    <w:rsid w:val="00E8625E"/>
    <w:rsid w:val="00E865FB"/>
    <w:rsid w:val="00E867D9"/>
    <w:rsid w:val="00E86B5F"/>
    <w:rsid w:val="00E874D2"/>
    <w:rsid w:val="00E87726"/>
    <w:rsid w:val="00E877B0"/>
    <w:rsid w:val="00E877EF"/>
    <w:rsid w:val="00E87A6A"/>
    <w:rsid w:val="00E9008D"/>
    <w:rsid w:val="00E904DE"/>
    <w:rsid w:val="00E90AC3"/>
    <w:rsid w:val="00E90FCD"/>
    <w:rsid w:val="00E91419"/>
    <w:rsid w:val="00E91CA6"/>
    <w:rsid w:val="00E91DA5"/>
    <w:rsid w:val="00E91DE2"/>
    <w:rsid w:val="00E92062"/>
    <w:rsid w:val="00E92208"/>
    <w:rsid w:val="00E92367"/>
    <w:rsid w:val="00E923FE"/>
    <w:rsid w:val="00E92A79"/>
    <w:rsid w:val="00E92B4E"/>
    <w:rsid w:val="00E92D14"/>
    <w:rsid w:val="00E938FC"/>
    <w:rsid w:val="00E93923"/>
    <w:rsid w:val="00E93A0A"/>
    <w:rsid w:val="00E93C04"/>
    <w:rsid w:val="00E9455B"/>
    <w:rsid w:val="00E9522C"/>
    <w:rsid w:val="00E95A7F"/>
    <w:rsid w:val="00E95F31"/>
    <w:rsid w:val="00E95FE2"/>
    <w:rsid w:val="00E979A9"/>
    <w:rsid w:val="00E97ADD"/>
    <w:rsid w:val="00E97B22"/>
    <w:rsid w:val="00EA128B"/>
    <w:rsid w:val="00EA1866"/>
    <w:rsid w:val="00EA2914"/>
    <w:rsid w:val="00EA29A9"/>
    <w:rsid w:val="00EA2CC1"/>
    <w:rsid w:val="00EA3718"/>
    <w:rsid w:val="00EA38A6"/>
    <w:rsid w:val="00EA3BAE"/>
    <w:rsid w:val="00EA3EEC"/>
    <w:rsid w:val="00EA413B"/>
    <w:rsid w:val="00EA4DED"/>
    <w:rsid w:val="00EA5899"/>
    <w:rsid w:val="00EA5CD9"/>
    <w:rsid w:val="00EA6153"/>
    <w:rsid w:val="00EA6A93"/>
    <w:rsid w:val="00EA6D15"/>
    <w:rsid w:val="00EA6EFE"/>
    <w:rsid w:val="00EA784A"/>
    <w:rsid w:val="00EA786F"/>
    <w:rsid w:val="00EA7DBD"/>
    <w:rsid w:val="00EB0046"/>
    <w:rsid w:val="00EB012C"/>
    <w:rsid w:val="00EB0892"/>
    <w:rsid w:val="00EB1C2B"/>
    <w:rsid w:val="00EB1D0A"/>
    <w:rsid w:val="00EB1EB8"/>
    <w:rsid w:val="00EB2378"/>
    <w:rsid w:val="00EB2708"/>
    <w:rsid w:val="00EB2B66"/>
    <w:rsid w:val="00EB3D53"/>
    <w:rsid w:val="00EB3FC4"/>
    <w:rsid w:val="00EB43EC"/>
    <w:rsid w:val="00EB4D3F"/>
    <w:rsid w:val="00EB4FBE"/>
    <w:rsid w:val="00EB5225"/>
    <w:rsid w:val="00EB5443"/>
    <w:rsid w:val="00EB56FC"/>
    <w:rsid w:val="00EB6041"/>
    <w:rsid w:val="00EB6042"/>
    <w:rsid w:val="00EB6578"/>
    <w:rsid w:val="00EB67B0"/>
    <w:rsid w:val="00EB6919"/>
    <w:rsid w:val="00EB6A7A"/>
    <w:rsid w:val="00EB728F"/>
    <w:rsid w:val="00EB7357"/>
    <w:rsid w:val="00EB769B"/>
    <w:rsid w:val="00EB7DFC"/>
    <w:rsid w:val="00EB7EBE"/>
    <w:rsid w:val="00EC01C4"/>
    <w:rsid w:val="00EC06E0"/>
    <w:rsid w:val="00EC0BE8"/>
    <w:rsid w:val="00EC1121"/>
    <w:rsid w:val="00EC1B72"/>
    <w:rsid w:val="00EC1E69"/>
    <w:rsid w:val="00EC2227"/>
    <w:rsid w:val="00EC2E73"/>
    <w:rsid w:val="00EC2EED"/>
    <w:rsid w:val="00EC2FE3"/>
    <w:rsid w:val="00EC37C0"/>
    <w:rsid w:val="00EC440F"/>
    <w:rsid w:val="00EC4D46"/>
    <w:rsid w:val="00EC4E19"/>
    <w:rsid w:val="00EC5319"/>
    <w:rsid w:val="00EC5B75"/>
    <w:rsid w:val="00EC5F17"/>
    <w:rsid w:val="00EC615C"/>
    <w:rsid w:val="00EC6C12"/>
    <w:rsid w:val="00EC6D1B"/>
    <w:rsid w:val="00EC6E24"/>
    <w:rsid w:val="00EC6FE7"/>
    <w:rsid w:val="00EC732E"/>
    <w:rsid w:val="00EC7B8F"/>
    <w:rsid w:val="00EC7D2D"/>
    <w:rsid w:val="00EC7EDB"/>
    <w:rsid w:val="00ED006B"/>
    <w:rsid w:val="00ED0349"/>
    <w:rsid w:val="00ED0972"/>
    <w:rsid w:val="00ED0C98"/>
    <w:rsid w:val="00ED0DC7"/>
    <w:rsid w:val="00ED0E45"/>
    <w:rsid w:val="00ED0FD6"/>
    <w:rsid w:val="00ED116F"/>
    <w:rsid w:val="00ED138C"/>
    <w:rsid w:val="00ED1660"/>
    <w:rsid w:val="00ED18CA"/>
    <w:rsid w:val="00ED2797"/>
    <w:rsid w:val="00ED2914"/>
    <w:rsid w:val="00ED2A4C"/>
    <w:rsid w:val="00ED2AA0"/>
    <w:rsid w:val="00ED2D06"/>
    <w:rsid w:val="00ED2FF2"/>
    <w:rsid w:val="00ED3341"/>
    <w:rsid w:val="00ED386E"/>
    <w:rsid w:val="00ED40C8"/>
    <w:rsid w:val="00ED4207"/>
    <w:rsid w:val="00ED462A"/>
    <w:rsid w:val="00ED5C0C"/>
    <w:rsid w:val="00ED5DA6"/>
    <w:rsid w:val="00ED6253"/>
    <w:rsid w:val="00ED6397"/>
    <w:rsid w:val="00ED63FC"/>
    <w:rsid w:val="00ED6519"/>
    <w:rsid w:val="00ED6B8A"/>
    <w:rsid w:val="00ED6CB7"/>
    <w:rsid w:val="00ED728A"/>
    <w:rsid w:val="00ED7C46"/>
    <w:rsid w:val="00EE03F9"/>
    <w:rsid w:val="00EE0400"/>
    <w:rsid w:val="00EE135B"/>
    <w:rsid w:val="00EE16A1"/>
    <w:rsid w:val="00EE171C"/>
    <w:rsid w:val="00EE1E7B"/>
    <w:rsid w:val="00EE2AD8"/>
    <w:rsid w:val="00EE2C06"/>
    <w:rsid w:val="00EE31D5"/>
    <w:rsid w:val="00EE3E7E"/>
    <w:rsid w:val="00EE405C"/>
    <w:rsid w:val="00EE4ABE"/>
    <w:rsid w:val="00EE4B11"/>
    <w:rsid w:val="00EE53E2"/>
    <w:rsid w:val="00EE56C5"/>
    <w:rsid w:val="00EE5EA3"/>
    <w:rsid w:val="00EE62BC"/>
    <w:rsid w:val="00EE74D3"/>
    <w:rsid w:val="00EE74DB"/>
    <w:rsid w:val="00EE7773"/>
    <w:rsid w:val="00EE7985"/>
    <w:rsid w:val="00EE7C18"/>
    <w:rsid w:val="00EE7F13"/>
    <w:rsid w:val="00EF07D6"/>
    <w:rsid w:val="00EF0B46"/>
    <w:rsid w:val="00EF1249"/>
    <w:rsid w:val="00EF1266"/>
    <w:rsid w:val="00EF1A23"/>
    <w:rsid w:val="00EF1C62"/>
    <w:rsid w:val="00EF282F"/>
    <w:rsid w:val="00EF295D"/>
    <w:rsid w:val="00EF29CC"/>
    <w:rsid w:val="00EF2F8D"/>
    <w:rsid w:val="00EF33B8"/>
    <w:rsid w:val="00EF3653"/>
    <w:rsid w:val="00EF37E2"/>
    <w:rsid w:val="00EF3953"/>
    <w:rsid w:val="00EF3B9B"/>
    <w:rsid w:val="00EF3C0A"/>
    <w:rsid w:val="00EF3E45"/>
    <w:rsid w:val="00EF4022"/>
    <w:rsid w:val="00EF48A9"/>
    <w:rsid w:val="00EF52EC"/>
    <w:rsid w:val="00EF581C"/>
    <w:rsid w:val="00EF5BD5"/>
    <w:rsid w:val="00EF5FB8"/>
    <w:rsid w:val="00EF65B9"/>
    <w:rsid w:val="00EF69D8"/>
    <w:rsid w:val="00F00573"/>
    <w:rsid w:val="00F0085A"/>
    <w:rsid w:val="00F00915"/>
    <w:rsid w:val="00F00BB5"/>
    <w:rsid w:val="00F00D41"/>
    <w:rsid w:val="00F0125B"/>
    <w:rsid w:val="00F014C4"/>
    <w:rsid w:val="00F01709"/>
    <w:rsid w:val="00F01B89"/>
    <w:rsid w:val="00F020D4"/>
    <w:rsid w:val="00F02333"/>
    <w:rsid w:val="00F02967"/>
    <w:rsid w:val="00F02F25"/>
    <w:rsid w:val="00F03BA2"/>
    <w:rsid w:val="00F03EEF"/>
    <w:rsid w:val="00F041BC"/>
    <w:rsid w:val="00F04A37"/>
    <w:rsid w:val="00F04ADC"/>
    <w:rsid w:val="00F04E5C"/>
    <w:rsid w:val="00F05BE9"/>
    <w:rsid w:val="00F06C7D"/>
    <w:rsid w:val="00F06E84"/>
    <w:rsid w:val="00F06EB1"/>
    <w:rsid w:val="00F06EC6"/>
    <w:rsid w:val="00F06F88"/>
    <w:rsid w:val="00F0706A"/>
    <w:rsid w:val="00F070C4"/>
    <w:rsid w:val="00F0742A"/>
    <w:rsid w:val="00F07825"/>
    <w:rsid w:val="00F07A3D"/>
    <w:rsid w:val="00F07A88"/>
    <w:rsid w:val="00F1074A"/>
    <w:rsid w:val="00F108BF"/>
    <w:rsid w:val="00F10CDC"/>
    <w:rsid w:val="00F10DBB"/>
    <w:rsid w:val="00F1113E"/>
    <w:rsid w:val="00F11525"/>
    <w:rsid w:val="00F115C5"/>
    <w:rsid w:val="00F11614"/>
    <w:rsid w:val="00F1214C"/>
    <w:rsid w:val="00F1253B"/>
    <w:rsid w:val="00F12817"/>
    <w:rsid w:val="00F12FD3"/>
    <w:rsid w:val="00F13000"/>
    <w:rsid w:val="00F13194"/>
    <w:rsid w:val="00F13DE3"/>
    <w:rsid w:val="00F13E80"/>
    <w:rsid w:val="00F1447F"/>
    <w:rsid w:val="00F15080"/>
    <w:rsid w:val="00F1549A"/>
    <w:rsid w:val="00F157C8"/>
    <w:rsid w:val="00F1586D"/>
    <w:rsid w:val="00F15AF8"/>
    <w:rsid w:val="00F162CC"/>
    <w:rsid w:val="00F1677F"/>
    <w:rsid w:val="00F16C52"/>
    <w:rsid w:val="00F170FA"/>
    <w:rsid w:val="00F1718C"/>
    <w:rsid w:val="00F17333"/>
    <w:rsid w:val="00F178F1"/>
    <w:rsid w:val="00F17D89"/>
    <w:rsid w:val="00F17F11"/>
    <w:rsid w:val="00F17FFE"/>
    <w:rsid w:val="00F20679"/>
    <w:rsid w:val="00F20BC4"/>
    <w:rsid w:val="00F20BF0"/>
    <w:rsid w:val="00F20C41"/>
    <w:rsid w:val="00F20E55"/>
    <w:rsid w:val="00F213B4"/>
    <w:rsid w:val="00F21583"/>
    <w:rsid w:val="00F21F01"/>
    <w:rsid w:val="00F22717"/>
    <w:rsid w:val="00F23965"/>
    <w:rsid w:val="00F23D9A"/>
    <w:rsid w:val="00F23F72"/>
    <w:rsid w:val="00F2441F"/>
    <w:rsid w:val="00F247BE"/>
    <w:rsid w:val="00F248BA"/>
    <w:rsid w:val="00F24F82"/>
    <w:rsid w:val="00F2531D"/>
    <w:rsid w:val="00F25350"/>
    <w:rsid w:val="00F25CEE"/>
    <w:rsid w:val="00F2606B"/>
    <w:rsid w:val="00F2617C"/>
    <w:rsid w:val="00F2652F"/>
    <w:rsid w:val="00F26544"/>
    <w:rsid w:val="00F26880"/>
    <w:rsid w:val="00F27100"/>
    <w:rsid w:val="00F27140"/>
    <w:rsid w:val="00F27281"/>
    <w:rsid w:val="00F27B41"/>
    <w:rsid w:val="00F27D68"/>
    <w:rsid w:val="00F304DB"/>
    <w:rsid w:val="00F3065B"/>
    <w:rsid w:val="00F30DC0"/>
    <w:rsid w:val="00F30E5F"/>
    <w:rsid w:val="00F31C66"/>
    <w:rsid w:val="00F3220F"/>
    <w:rsid w:val="00F3228E"/>
    <w:rsid w:val="00F32322"/>
    <w:rsid w:val="00F325FB"/>
    <w:rsid w:val="00F331C3"/>
    <w:rsid w:val="00F33848"/>
    <w:rsid w:val="00F3391A"/>
    <w:rsid w:val="00F33926"/>
    <w:rsid w:val="00F33CBC"/>
    <w:rsid w:val="00F33EE8"/>
    <w:rsid w:val="00F34D25"/>
    <w:rsid w:val="00F35330"/>
    <w:rsid w:val="00F358E3"/>
    <w:rsid w:val="00F35946"/>
    <w:rsid w:val="00F36072"/>
    <w:rsid w:val="00F361FF"/>
    <w:rsid w:val="00F3670D"/>
    <w:rsid w:val="00F36A60"/>
    <w:rsid w:val="00F36F41"/>
    <w:rsid w:val="00F3786A"/>
    <w:rsid w:val="00F404CB"/>
    <w:rsid w:val="00F40BC5"/>
    <w:rsid w:val="00F41CBA"/>
    <w:rsid w:val="00F427B7"/>
    <w:rsid w:val="00F42C05"/>
    <w:rsid w:val="00F42E4F"/>
    <w:rsid w:val="00F42FA3"/>
    <w:rsid w:val="00F43065"/>
    <w:rsid w:val="00F4383F"/>
    <w:rsid w:val="00F44DD0"/>
    <w:rsid w:val="00F45419"/>
    <w:rsid w:val="00F45647"/>
    <w:rsid w:val="00F45740"/>
    <w:rsid w:val="00F45BD7"/>
    <w:rsid w:val="00F45DF5"/>
    <w:rsid w:val="00F45FBD"/>
    <w:rsid w:val="00F462E9"/>
    <w:rsid w:val="00F46469"/>
    <w:rsid w:val="00F464C6"/>
    <w:rsid w:val="00F47639"/>
    <w:rsid w:val="00F476B9"/>
    <w:rsid w:val="00F47FF4"/>
    <w:rsid w:val="00F50189"/>
    <w:rsid w:val="00F5139D"/>
    <w:rsid w:val="00F5207A"/>
    <w:rsid w:val="00F532C2"/>
    <w:rsid w:val="00F53456"/>
    <w:rsid w:val="00F535D2"/>
    <w:rsid w:val="00F54180"/>
    <w:rsid w:val="00F545F0"/>
    <w:rsid w:val="00F54AFB"/>
    <w:rsid w:val="00F54DEA"/>
    <w:rsid w:val="00F54FE3"/>
    <w:rsid w:val="00F550D6"/>
    <w:rsid w:val="00F5525C"/>
    <w:rsid w:val="00F552F2"/>
    <w:rsid w:val="00F55447"/>
    <w:rsid w:val="00F55BFE"/>
    <w:rsid w:val="00F55F2A"/>
    <w:rsid w:val="00F562EB"/>
    <w:rsid w:val="00F56DCE"/>
    <w:rsid w:val="00F56F72"/>
    <w:rsid w:val="00F5740E"/>
    <w:rsid w:val="00F5772D"/>
    <w:rsid w:val="00F57A76"/>
    <w:rsid w:val="00F57AEC"/>
    <w:rsid w:val="00F57D9D"/>
    <w:rsid w:val="00F6032E"/>
    <w:rsid w:val="00F608DA"/>
    <w:rsid w:val="00F60EF3"/>
    <w:rsid w:val="00F611AE"/>
    <w:rsid w:val="00F611E1"/>
    <w:rsid w:val="00F61A36"/>
    <w:rsid w:val="00F61E4B"/>
    <w:rsid w:val="00F623F0"/>
    <w:rsid w:val="00F624FD"/>
    <w:rsid w:val="00F626BB"/>
    <w:rsid w:val="00F62DDD"/>
    <w:rsid w:val="00F630E7"/>
    <w:rsid w:val="00F63367"/>
    <w:rsid w:val="00F63798"/>
    <w:rsid w:val="00F637F3"/>
    <w:rsid w:val="00F63FD9"/>
    <w:rsid w:val="00F640EC"/>
    <w:rsid w:val="00F648F0"/>
    <w:rsid w:val="00F64CA6"/>
    <w:rsid w:val="00F64D3E"/>
    <w:rsid w:val="00F64F55"/>
    <w:rsid w:val="00F6507C"/>
    <w:rsid w:val="00F654C0"/>
    <w:rsid w:val="00F65644"/>
    <w:rsid w:val="00F65DA1"/>
    <w:rsid w:val="00F66982"/>
    <w:rsid w:val="00F66AAE"/>
    <w:rsid w:val="00F66D05"/>
    <w:rsid w:val="00F70282"/>
    <w:rsid w:val="00F70333"/>
    <w:rsid w:val="00F7057B"/>
    <w:rsid w:val="00F7098E"/>
    <w:rsid w:val="00F70BB3"/>
    <w:rsid w:val="00F70F7B"/>
    <w:rsid w:val="00F7110F"/>
    <w:rsid w:val="00F71AB4"/>
    <w:rsid w:val="00F71E93"/>
    <w:rsid w:val="00F72305"/>
    <w:rsid w:val="00F724D2"/>
    <w:rsid w:val="00F72AE3"/>
    <w:rsid w:val="00F72E0F"/>
    <w:rsid w:val="00F733D4"/>
    <w:rsid w:val="00F73C82"/>
    <w:rsid w:val="00F73D56"/>
    <w:rsid w:val="00F73EC0"/>
    <w:rsid w:val="00F74A6E"/>
    <w:rsid w:val="00F74F25"/>
    <w:rsid w:val="00F75266"/>
    <w:rsid w:val="00F7547D"/>
    <w:rsid w:val="00F76134"/>
    <w:rsid w:val="00F76264"/>
    <w:rsid w:val="00F7635A"/>
    <w:rsid w:val="00F76C91"/>
    <w:rsid w:val="00F771C6"/>
    <w:rsid w:val="00F77240"/>
    <w:rsid w:val="00F7763A"/>
    <w:rsid w:val="00F777E7"/>
    <w:rsid w:val="00F77B3A"/>
    <w:rsid w:val="00F77C91"/>
    <w:rsid w:val="00F77CBB"/>
    <w:rsid w:val="00F77FDD"/>
    <w:rsid w:val="00F80625"/>
    <w:rsid w:val="00F80697"/>
    <w:rsid w:val="00F80745"/>
    <w:rsid w:val="00F80CC6"/>
    <w:rsid w:val="00F80D41"/>
    <w:rsid w:val="00F80F70"/>
    <w:rsid w:val="00F8110A"/>
    <w:rsid w:val="00F8163A"/>
    <w:rsid w:val="00F816D7"/>
    <w:rsid w:val="00F81708"/>
    <w:rsid w:val="00F81C38"/>
    <w:rsid w:val="00F81CCB"/>
    <w:rsid w:val="00F82198"/>
    <w:rsid w:val="00F821E5"/>
    <w:rsid w:val="00F82691"/>
    <w:rsid w:val="00F82726"/>
    <w:rsid w:val="00F82E6D"/>
    <w:rsid w:val="00F83EB8"/>
    <w:rsid w:val="00F8412F"/>
    <w:rsid w:val="00F846B7"/>
    <w:rsid w:val="00F848A6"/>
    <w:rsid w:val="00F849A6"/>
    <w:rsid w:val="00F84D9A"/>
    <w:rsid w:val="00F8500A"/>
    <w:rsid w:val="00F851D7"/>
    <w:rsid w:val="00F85D64"/>
    <w:rsid w:val="00F85E23"/>
    <w:rsid w:val="00F862EF"/>
    <w:rsid w:val="00F86520"/>
    <w:rsid w:val="00F86691"/>
    <w:rsid w:val="00F8690D"/>
    <w:rsid w:val="00F86CB4"/>
    <w:rsid w:val="00F87016"/>
    <w:rsid w:val="00F8723F"/>
    <w:rsid w:val="00F87492"/>
    <w:rsid w:val="00F8780B"/>
    <w:rsid w:val="00F87813"/>
    <w:rsid w:val="00F900FA"/>
    <w:rsid w:val="00F90347"/>
    <w:rsid w:val="00F906F3"/>
    <w:rsid w:val="00F90890"/>
    <w:rsid w:val="00F913CD"/>
    <w:rsid w:val="00F91A34"/>
    <w:rsid w:val="00F92146"/>
    <w:rsid w:val="00F921BE"/>
    <w:rsid w:val="00F9257F"/>
    <w:rsid w:val="00F9261D"/>
    <w:rsid w:val="00F929BA"/>
    <w:rsid w:val="00F93103"/>
    <w:rsid w:val="00F937CF"/>
    <w:rsid w:val="00F94228"/>
    <w:rsid w:val="00F9492A"/>
    <w:rsid w:val="00F9492E"/>
    <w:rsid w:val="00F94BEC"/>
    <w:rsid w:val="00F9558A"/>
    <w:rsid w:val="00F9569D"/>
    <w:rsid w:val="00F959AA"/>
    <w:rsid w:val="00F95AAD"/>
    <w:rsid w:val="00F96183"/>
    <w:rsid w:val="00F96411"/>
    <w:rsid w:val="00F9647E"/>
    <w:rsid w:val="00F96908"/>
    <w:rsid w:val="00F9690C"/>
    <w:rsid w:val="00F96F2F"/>
    <w:rsid w:val="00F97232"/>
    <w:rsid w:val="00F972C7"/>
    <w:rsid w:val="00F97453"/>
    <w:rsid w:val="00FA0385"/>
    <w:rsid w:val="00FA0BBE"/>
    <w:rsid w:val="00FA17A1"/>
    <w:rsid w:val="00FA1B1F"/>
    <w:rsid w:val="00FA1E80"/>
    <w:rsid w:val="00FA1E9B"/>
    <w:rsid w:val="00FA235B"/>
    <w:rsid w:val="00FA32A7"/>
    <w:rsid w:val="00FA32DD"/>
    <w:rsid w:val="00FA3411"/>
    <w:rsid w:val="00FA3C2E"/>
    <w:rsid w:val="00FA477F"/>
    <w:rsid w:val="00FA4A5D"/>
    <w:rsid w:val="00FA4B9F"/>
    <w:rsid w:val="00FA4E24"/>
    <w:rsid w:val="00FA4EC9"/>
    <w:rsid w:val="00FA53BA"/>
    <w:rsid w:val="00FA5F3E"/>
    <w:rsid w:val="00FA5FEA"/>
    <w:rsid w:val="00FA6055"/>
    <w:rsid w:val="00FA6941"/>
    <w:rsid w:val="00FA6ABC"/>
    <w:rsid w:val="00FA6E2D"/>
    <w:rsid w:val="00FA6F87"/>
    <w:rsid w:val="00FA7A25"/>
    <w:rsid w:val="00FA7B50"/>
    <w:rsid w:val="00FB01A7"/>
    <w:rsid w:val="00FB01AC"/>
    <w:rsid w:val="00FB0B01"/>
    <w:rsid w:val="00FB11C1"/>
    <w:rsid w:val="00FB160F"/>
    <w:rsid w:val="00FB17B0"/>
    <w:rsid w:val="00FB1AAC"/>
    <w:rsid w:val="00FB1D61"/>
    <w:rsid w:val="00FB1F90"/>
    <w:rsid w:val="00FB2094"/>
    <w:rsid w:val="00FB21BE"/>
    <w:rsid w:val="00FB220A"/>
    <w:rsid w:val="00FB2788"/>
    <w:rsid w:val="00FB29B0"/>
    <w:rsid w:val="00FB31AC"/>
    <w:rsid w:val="00FB341B"/>
    <w:rsid w:val="00FB374F"/>
    <w:rsid w:val="00FB4694"/>
    <w:rsid w:val="00FB475D"/>
    <w:rsid w:val="00FB4962"/>
    <w:rsid w:val="00FB4A44"/>
    <w:rsid w:val="00FB4D44"/>
    <w:rsid w:val="00FB57E5"/>
    <w:rsid w:val="00FB5DE6"/>
    <w:rsid w:val="00FB631A"/>
    <w:rsid w:val="00FB655B"/>
    <w:rsid w:val="00FB66AD"/>
    <w:rsid w:val="00FB6F5F"/>
    <w:rsid w:val="00FB6F74"/>
    <w:rsid w:val="00FB7061"/>
    <w:rsid w:val="00FB73CC"/>
    <w:rsid w:val="00FB764B"/>
    <w:rsid w:val="00FB7989"/>
    <w:rsid w:val="00FB7F87"/>
    <w:rsid w:val="00FC0662"/>
    <w:rsid w:val="00FC06A2"/>
    <w:rsid w:val="00FC0732"/>
    <w:rsid w:val="00FC0FB6"/>
    <w:rsid w:val="00FC1A66"/>
    <w:rsid w:val="00FC1D9A"/>
    <w:rsid w:val="00FC26A5"/>
    <w:rsid w:val="00FC2AA4"/>
    <w:rsid w:val="00FC34D2"/>
    <w:rsid w:val="00FC36FF"/>
    <w:rsid w:val="00FC38F8"/>
    <w:rsid w:val="00FC3E3A"/>
    <w:rsid w:val="00FC4FD7"/>
    <w:rsid w:val="00FC5076"/>
    <w:rsid w:val="00FC549F"/>
    <w:rsid w:val="00FC5A6B"/>
    <w:rsid w:val="00FC5E2F"/>
    <w:rsid w:val="00FC69D0"/>
    <w:rsid w:val="00FC76B5"/>
    <w:rsid w:val="00FC76E6"/>
    <w:rsid w:val="00FC77F4"/>
    <w:rsid w:val="00FC7B4B"/>
    <w:rsid w:val="00FD046E"/>
    <w:rsid w:val="00FD0535"/>
    <w:rsid w:val="00FD0910"/>
    <w:rsid w:val="00FD0A08"/>
    <w:rsid w:val="00FD0BE8"/>
    <w:rsid w:val="00FD0BEC"/>
    <w:rsid w:val="00FD1EE4"/>
    <w:rsid w:val="00FD2002"/>
    <w:rsid w:val="00FD2C12"/>
    <w:rsid w:val="00FD329E"/>
    <w:rsid w:val="00FD32AB"/>
    <w:rsid w:val="00FD3E19"/>
    <w:rsid w:val="00FD4390"/>
    <w:rsid w:val="00FD49F3"/>
    <w:rsid w:val="00FD50C7"/>
    <w:rsid w:val="00FD53AF"/>
    <w:rsid w:val="00FD53E6"/>
    <w:rsid w:val="00FD5479"/>
    <w:rsid w:val="00FD5497"/>
    <w:rsid w:val="00FD57CF"/>
    <w:rsid w:val="00FD6097"/>
    <w:rsid w:val="00FD61D0"/>
    <w:rsid w:val="00FD644B"/>
    <w:rsid w:val="00FD6DDC"/>
    <w:rsid w:val="00FD70C9"/>
    <w:rsid w:val="00FD7A05"/>
    <w:rsid w:val="00FD7C22"/>
    <w:rsid w:val="00FD7CF6"/>
    <w:rsid w:val="00FE0211"/>
    <w:rsid w:val="00FE0676"/>
    <w:rsid w:val="00FE0B3F"/>
    <w:rsid w:val="00FE0C92"/>
    <w:rsid w:val="00FE10C6"/>
    <w:rsid w:val="00FE128B"/>
    <w:rsid w:val="00FE1508"/>
    <w:rsid w:val="00FE18EF"/>
    <w:rsid w:val="00FE1AB6"/>
    <w:rsid w:val="00FE2037"/>
    <w:rsid w:val="00FE2386"/>
    <w:rsid w:val="00FE26EF"/>
    <w:rsid w:val="00FE2755"/>
    <w:rsid w:val="00FE3061"/>
    <w:rsid w:val="00FE30BA"/>
    <w:rsid w:val="00FE3337"/>
    <w:rsid w:val="00FE3659"/>
    <w:rsid w:val="00FE389B"/>
    <w:rsid w:val="00FE3911"/>
    <w:rsid w:val="00FE395E"/>
    <w:rsid w:val="00FE3B37"/>
    <w:rsid w:val="00FE3BBA"/>
    <w:rsid w:val="00FE3CC3"/>
    <w:rsid w:val="00FE41F6"/>
    <w:rsid w:val="00FE442E"/>
    <w:rsid w:val="00FE4496"/>
    <w:rsid w:val="00FE4526"/>
    <w:rsid w:val="00FE4B46"/>
    <w:rsid w:val="00FE4BA8"/>
    <w:rsid w:val="00FE4EB5"/>
    <w:rsid w:val="00FE511C"/>
    <w:rsid w:val="00FE512E"/>
    <w:rsid w:val="00FE51B2"/>
    <w:rsid w:val="00FE55AF"/>
    <w:rsid w:val="00FE5601"/>
    <w:rsid w:val="00FE670C"/>
    <w:rsid w:val="00FE6C2A"/>
    <w:rsid w:val="00FE6C50"/>
    <w:rsid w:val="00FE6D91"/>
    <w:rsid w:val="00FE7AD3"/>
    <w:rsid w:val="00FF024D"/>
    <w:rsid w:val="00FF045C"/>
    <w:rsid w:val="00FF0874"/>
    <w:rsid w:val="00FF090C"/>
    <w:rsid w:val="00FF09E6"/>
    <w:rsid w:val="00FF0B8F"/>
    <w:rsid w:val="00FF0C68"/>
    <w:rsid w:val="00FF0F15"/>
    <w:rsid w:val="00FF121D"/>
    <w:rsid w:val="00FF13AB"/>
    <w:rsid w:val="00FF1F67"/>
    <w:rsid w:val="00FF2527"/>
    <w:rsid w:val="00FF261F"/>
    <w:rsid w:val="00FF2632"/>
    <w:rsid w:val="00FF2CBD"/>
    <w:rsid w:val="00FF2CF9"/>
    <w:rsid w:val="00FF2F46"/>
    <w:rsid w:val="00FF3536"/>
    <w:rsid w:val="00FF3846"/>
    <w:rsid w:val="00FF39DC"/>
    <w:rsid w:val="00FF3CB8"/>
    <w:rsid w:val="00FF3D09"/>
    <w:rsid w:val="00FF46BC"/>
    <w:rsid w:val="00FF47E9"/>
    <w:rsid w:val="00FF4832"/>
    <w:rsid w:val="00FF48B2"/>
    <w:rsid w:val="00FF4B65"/>
    <w:rsid w:val="00FF4BA3"/>
    <w:rsid w:val="00FF4BD4"/>
    <w:rsid w:val="00FF5166"/>
    <w:rsid w:val="00FF52F5"/>
    <w:rsid w:val="00FF58E3"/>
    <w:rsid w:val="00FF6780"/>
    <w:rsid w:val="00FF6B4A"/>
    <w:rsid w:val="00FF754B"/>
    <w:rsid w:val="00FF78A6"/>
    <w:rsid w:val="00FF7A45"/>
    <w:rsid w:val="00FF7C79"/>
    <w:rsid w:val="00FF7F67"/>
    <w:rsid w:val="0146B2BD"/>
    <w:rsid w:val="014A113C"/>
    <w:rsid w:val="019A7217"/>
    <w:rsid w:val="01D4671A"/>
    <w:rsid w:val="020EAF35"/>
    <w:rsid w:val="024504EE"/>
    <w:rsid w:val="024D79A5"/>
    <w:rsid w:val="02C4BDF3"/>
    <w:rsid w:val="02D3C3E8"/>
    <w:rsid w:val="036FA9B4"/>
    <w:rsid w:val="03B13466"/>
    <w:rsid w:val="03C5C6E8"/>
    <w:rsid w:val="044B1888"/>
    <w:rsid w:val="050AA48E"/>
    <w:rsid w:val="0517A574"/>
    <w:rsid w:val="05E8BC09"/>
    <w:rsid w:val="06893D19"/>
    <w:rsid w:val="06C9082B"/>
    <w:rsid w:val="06FCD8ED"/>
    <w:rsid w:val="07349737"/>
    <w:rsid w:val="07C36812"/>
    <w:rsid w:val="07DDE030"/>
    <w:rsid w:val="084ED47D"/>
    <w:rsid w:val="0879A1CB"/>
    <w:rsid w:val="08FA67FE"/>
    <w:rsid w:val="08FEADB4"/>
    <w:rsid w:val="090C25A1"/>
    <w:rsid w:val="0986D2B0"/>
    <w:rsid w:val="09AA4B6A"/>
    <w:rsid w:val="09D52CCF"/>
    <w:rsid w:val="0A0C8EFD"/>
    <w:rsid w:val="0A94BB39"/>
    <w:rsid w:val="0AB92762"/>
    <w:rsid w:val="0B019BE0"/>
    <w:rsid w:val="0B44FFFF"/>
    <w:rsid w:val="0B8A7A5A"/>
    <w:rsid w:val="0B8BA454"/>
    <w:rsid w:val="0C491905"/>
    <w:rsid w:val="0C52CC17"/>
    <w:rsid w:val="0CEEDC55"/>
    <w:rsid w:val="0D126B36"/>
    <w:rsid w:val="0D33274E"/>
    <w:rsid w:val="0DB07E4B"/>
    <w:rsid w:val="0DE6C2DA"/>
    <w:rsid w:val="0E128824"/>
    <w:rsid w:val="0EE311F7"/>
    <w:rsid w:val="0F995532"/>
    <w:rsid w:val="1021D6A2"/>
    <w:rsid w:val="106469FB"/>
    <w:rsid w:val="1093FD92"/>
    <w:rsid w:val="10B0EA9E"/>
    <w:rsid w:val="10B56731"/>
    <w:rsid w:val="10C085C8"/>
    <w:rsid w:val="11395714"/>
    <w:rsid w:val="12426088"/>
    <w:rsid w:val="1264239B"/>
    <w:rsid w:val="12A2EAA4"/>
    <w:rsid w:val="12AD6384"/>
    <w:rsid w:val="134721BA"/>
    <w:rsid w:val="13756A11"/>
    <w:rsid w:val="13B1086E"/>
    <w:rsid w:val="13BD3880"/>
    <w:rsid w:val="13CFD3AF"/>
    <w:rsid w:val="13ED3E03"/>
    <w:rsid w:val="1425AF5A"/>
    <w:rsid w:val="14697FDB"/>
    <w:rsid w:val="14809AD2"/>
    <w:rsid w:val="14AC6624"/>
    <w:rsid w:val="14CE2E0E"/>
    <w:rsid w:val="14D2324C"/>
    <w:rsid w:val="15056207"/>
    <w:rsid w:val="1512AD0D"/>
    <w:rsid w:val="1529D4DF"/>
    <w:rsid w:val="154AB613"/>
    <w:rsid w:val="1572E9BF"/>
    <w:rsid w:val="15EF6E38"/>
    <w:rsid w:val="16A533F8"/>
    <w:rsid w:val="17AF09EF"/>
    <w:rsid w:val="17DA29F5"/>
    <w:rsid w:val="17E636F2"/>
    <w:rsid w:val="18127549"/>
    <w:rsid w:val="182ACAA4"/>
    <w:rsid w:val="1898AC45"/>
    <w:rsid w:val="18B7036F"/>
    <w:rsid w:val="193AC3B5"/>
    <w:rsid w:val="1A457B5E"/>
    <w:rsid w:val="1B1C8673"/>
    <w:rsid w:val="1B71C81F"/>
    <w:rsid w:val="1B9FCC4D"/>
    <w:rsid w:val="1BA702CF"/>
    <w:rsid w:val="1BEF7097"/>
    <w:rsid w:val="1C41D53C"/>
    <w:rsid w:val="1CA5E02B"/>
    <w:rsid w:val="1D4A8180"/>
    <w:rsid w:val="1D97A578"/>
    <w:rsid w:val="1DEEC58D"/>
    <w:rsid w:val="1E13A649"/>
    <w:rsid w:val="1E38E165"/>
    <w:rsid w:val="1ECDF052"/>
    <w:rsid w:val="1FF0F784"/>
    <w:rsid w:val="200FF64C"/>
    <w:rsid w:val="2087B19B"/>
    <w:rsid w:val="20E8EAC5"/>
    <w:rsid w:val="2151C4C1"/>
    <w:rsid w:val="215748AC"/>
    <w:rsid w:val="21D72688"/>
    <w:rsid w:val="22B2720C"/>
    <w:rsid w:val="2333F613"/>
    <w:rsid w:val="23E2AD5C"/>
    <w:rsid w:val="23ECB992"/>
    <w:rsid w:val="24063EFA"/>
    <w:rsid w:val="2498A7A3"/>
    <w:rsid w:val="24B3B294"/>
    <w:rsid w:val="24BD1316"/>
    <w:rsid w:val="251F635D"/>
    <w:rsid w:val="25484096"/>
    <w:rsid w:val="254F2778"/>
    <w:rsid w:val="255182E1"/>
    <w:rsid w:val="25CF55FE"/>
    <w:rsid w:val="25E799D3"/>
    <w:rsid w:val="2687B55F"/>
    <w:rsid w:val="269C1D12"/>
    <w:rsid w:val="26B0DE98"/>
    <w:rsid w:val="26BEAEF7"/>
    <w:rsid w:val="26C5C5F5"/>
    <w:rsid w:val="26E4464A"/>
    <w:rsid w:val="2728C2A6"/>
    <w:rsid w:val="278B758F"/>
    <w:rsid w:val="279456BD"/>
    <w:rsid w:val="27D7893E"/>
    <w:rsid w:val="27F35A30"/>
    <w:rsid w:val="287E2EB0"/>
    <w:rsid w:val="28AE8D2F"/>
    <w:rsid w:val="28B0E3F4"/>
    <w:rsid w:val="28B9C8C9"/>
    <w:rsid w:val="2987622D"/>
    <w:rsid w:val="29E26349"/>
    <w:rsid w:val="2A986917"/>
    <w:rsid w:val="2AA5208F"/>
    <w:rsid w:val="2B39CE9B"/>
    <w:rsid w:val="2B5824ED"/>
    <w:rsid w:val="2B627696"/>
    <w:rsid w:val="2B62F8B3"/>
    <w:rsid w:val="2BC31192"/>
    <w:rsid w:val="2BCA4608"/>
    <w:rsid w:val="2BFCC4C3"/>
    <w:rsid w:val="2C1C01E8"/>
    <w:rsid w:val="2C9BE7A7"/>
    <w:rsid w:val="2CB76A65"/>
    <w:rsid w:val="2CC9A719"/>
    <w:rsid w:val="2D04BCEA"/>
    <w:rsid w:val="2D38AE9F"/>
    <w:rsid w:val="2D77E3B7"/>
    <w:rsid w:val="2DDB5DE6"/>
    <w:rsid w:val="2E055ABA"/>
    <w:rsid w:val="2E831BF3"/>
    <w:rsid w:val="2E914B11"/>
    <w:rsid w:val="2EE435E6"/>
    <w:rsid w:val="2F09FFA8"/>
    <w:rsid w:val="2F519767"/>
    <w:rsid w:val="2F55D903"/>
    <w:rsid w:val="2F942A50"/>
    <w:rsid w:val="2FC9B613"/>
    <w:rsid w:val="306149D7"/>
    <w:rsid w:val="30668F72"/>
    <w:rsid w:val="30C2D28C"/>
    <w:rsid w:val="30FE5FE9"/>
    <w:rsid w:val="316069AE"/>
    <w:rsid w:val="317F97D1"/>
    <w:rsid w:val="322B939B"/>
    <w:rsid w:val="3247C38F"/>
    <w:rsid w:val="3285683E"/>
    <w:rsid w:val="32895F2C"/>
    <w:rsid w:val="336EF76B"/>
    <w:rsid w:val="349FB34C"/>
    <w:rsid w:val="3533E906"/>
    <w:rsid w:val="355956C6"/>
    <w:rsid w:val="35EB41BF"/>
    <w:rsid w:val="35FC5977"/>
    <w:rsid w:val="3606625C"/>
    <w:rsid w:val="3645D733"/>
    <w:rsid w:val="3655783A"/>
    <w:rsid w:val="3672C9C0"/>
    <w:rsid w:val="367CB1DA"/>
    <w:rsid w:val="3699483D"/>
    <w:rsid w:val="36CF7FF2"/>
    <w:rsid w:val="3758C58C"/>
    <w:rsid w:val="375EF2E1"/>
    <w:rsid w:val="376FF5C8"/>
    <w:rsid w:val="37B751B2"/>
    <w:rsid w:val="38B35D06"/>
    <w:rsid w:val="38EB5332"/>
    <w:rsid w:val="39373BF2"/>
    <w:rsid w:val="393DA5E1"/>
    <w:rsid w:val="39966528"/>
    <w:rsid w:val="39D2778F"/>
    <w:rsid w:val="39DAF0EA"/>
    <w:rsid w:val="3A1E86A8"/>
    <w:rsid w:val="3A435FC4"/>
    <w:rsid w:val="3A70E689"/>
    <w:rsid w:val="3A7C7FA0"/>
    <w:rsid w:val="3A87EE8B"/>
    <w:rsid w:val="3A9D1BD9"/>
    <w:rsid w:val="3B52D090"/>
    <w:rsid w:val="3B6B0300"/>
    <w:rsid w:val="3BB2385B"/>
    <w:rsid w:val="3BC31E51"/>
    <w:rsid w:val="3BCBE95D"/>
    <w:rsid w:val="3BDF6536"/>
    <w:rsid w:val="3C3099F6"/>
    <w:rsid w:val="3C6F8A05"/>
    <w:rsid w:val="3CBDF316"/>
    <w:rsid w:val="3D215652"/>
    <w:rsid w:val="3D2ECDEF"/>
    <w:rsid w:val="3DCADEFA"/>
    <w:rsid w:val="3E23814E"/>
    <w:rsid w:val="3E8BC362"/>
    <w:rsid w:val="3ED99593"/>
    <w:rsid w:val="3F7FB267"/>
    <w:rsid w:val="405171CC"/>
    <w:rsid w:val="407ABF7F"/>
    <w:rsid w:val="409B1C50"/>
    <w:rsid w:val="40A245BB"/>
    <w:rsid w:val="40B217D6"/>
    <w:rsid w:val="40EB4AEF"/>
    <w:rsid w:val="4121EBB7"/>
    <w:rsid w:val="41359F01"/>
    <w:rsid w:val="415B23EC"/>
    <w:rsid w:val="41ADEF84"/>
    <w:rsid w:val="41B58E0B"/>
    <w:rsid w:val="41F2E9CB"/>
    <w:rsid w:val="42B679C1"/>
    <w:rsid w:val="42C621A5"/>
    <w:rsid w:val="43740CEB"/>
    <w:rsid w:val="438B9764"/>
    <w:rsid w:val="4400A461"/>
    <w:rsid w:val="44DEF02B"/>
    <w:rsid w:val="44E69FDC"/>
    <w:rsid w:val="453864D7"/>
    <w:rsid w:val="45D4BF2E"/>
    <w:rsid w:val="45D58A83"/>
    <w:rsid w:val="45EEF504"/>
    <w:rsid w:val="461DD147"/>
    <w:rsid w:val="4733F136"/>
    <w:rsid w:val="474D1816"/>
    <w:rsid w:val="475A0323"/>
    <w:rsid w:val="475F07F2"/>
    <w:rsid w:val="47B573D5"/>
    <w:rsid w:val="48851104"/>
    <w:rsid w:val="4890EB5F"/>
    <w:rsid w:val="48D8229A"/>
    <w:rsid w:val="48E0EBE3"/>
    <w:rsid w:val="49716005"/>
    <w:rsid w:val="4A1747C6"/>
    <w:rsid w:val="4AF29104"/>
    <w:rsid w:val="4BFE579F"/>
    <w:rsid w:val="4C02BF83"/>
    <w:rsid w:val="4C370301"/>
    <w:rsid w:val="4C9C8538"/>
    <w:rsid w:val="4CF108A9"/>
    <w:rsid w:val="4D108F1A"/>
    <w:rsid w:val="4D689AC4"/>
    <w:rsid w:val="4D8601F9"/>
    <w:rsid w:val="4DED898C"/>
    <w:rsid w:val="4E2F854C"/>
    <w:rsid w:val="4E80C0B3"/>
    <w:rsid w:val="4EB3D085"/>
    <w:rsid w:val="4F2AE56C"/>
    <w:rsid w:val="4F34BF25"/>
    <w:rsid w:val="4F70B8FD"/>
    <w:rsid w:val="4FA58C2F"/>
    <w:rsid w:val="502581A6"/>
    <w:rsid w:val="50DF403E"/>
    <w:rsid w:val="512CBF69"/>
    <w:rsid w:val="5176B59D"/>
    <w:rsid w:val="51A47BE7"/>
    <w:rsid w:val="51A9543C"/>
    <w:rsid w:val="51B78D74"/>
    <w:rsid w:val="52384B38"/>
    <w:rsid w:val="52D2D710"/>
    <w:rsid w:val="52E3AF71"/>
    <w:rsid w:val="5311D04D"/>
    <w:rsid w:val="531FC119"/>
    <w:rsid w:val="534DD438"/>
    <w:rsid w:val="5382AA40"/>
    <w:rsid w:val="53EE7544"/>
    <w:rsid w:val="541753D4"/>
    <w:rsid w:val="54206795"/>
    <w:rsid w:val="5476A893"/>
    <w:rsid w:val="54C96909"/>
    <w:rsid w:val="559FBF38"/>
    <w:rsid w:val="55A696CA"/>
    <w:rsid w:val="55B09CFC"/>
    <w:rsid w:val="55B18A6D"/>
    <w:rsid w:val="55C03324"/>
    <w:rsid w:val="564F6EB8"/>
    <w:rsid w:val="56CB409E"/>
    <w:rsid w:val="56F03467"/>
    <w:rsid w:val="570DC6F7"/>
    <w:rsid w:val="57815F1D"/>
    <w:rsid w:val="57F32A91"/>
    <w:rsid w:val="5881820B"/>
    <w:rsid w:val="58C87FD5"/>
    <w:rsid w:val="58D1F744"/>
    <w:rsid w:val="58EB78AA"/>
    <w:rsid w:val="59320FA0"/>
    <w:rsid w:val="5992F4A9"/>
    <w:rsid w:val="59A0F859"/>
    <w:rsid w:val="59B3A96F"/>
    <w:rsid w:val="59D2FD6D"/>
    <w:rsid w:val="59DE2B25"/>
    <w:rsid w:val="5A1E0411"/>
    <w:rsid w:val="5A340E84"/>
    <w:rsid w:val="5A49C8D9"/>
    <w:rsid w:val="5A4DAF91"/>
    <w:rsid w:val="5A583700"/>
    <w:rsid w:val="5A70FCD4"/>
    <w:rsid w:val="5ADA8E02"/>
    <w:rsid w:val="5AF331C8"/>
    <w:rsid w:val="5BAD578A"/>
    <w:rsid w:val="5BB44ADC"/>
    <w:rsid w:val="5C1BE888"/>
    <w:rsid w:val="5C695A96"/>
    <w:rsid w:val="5CE000E8"/>
    <w:rsid w:val="5CEB18A3"/>
    <w:rsid w:val="5D18C11B"/>
    <w:rsid w:val="5DDF8D2A"/>
    <w:rsid w:val="5DE87CE6"/>
    <w:rsid w:val="5E06F08A"/>
    <w:rsid w:val="5E1881A5"/>
    <w:rsid w:val="5E3C66FE"/>
    <w:rsid w:val="5E851AE2"/>
    <w:rsid w:val="5EE11C29"/>
    <w:rsid w:val="5F7C659D"/>
    <w:rsid w:val="5FA06CCA"/>
    <w:rsid w:val="5FB573D1"/>
    <w:rsid w:val="5FCDA381"/>
    <w:rsid w:val="5FF7592A"/>
    <w:rsid w:val="60615698"/>
    <w:rsid w:val="60709A02"/>
    <w:rsid w:val="60A788BA"/>
    <w:rsid w:val="60B76288"/>
    <w:rsid w:val="610CA259"/>
    <w:rsid w:val="611AB145"/>
    <w:rsid w:val="61B61E74"/>
    <w:rsid w:val="61E8B597"/>
    <w:rsid w:val="622BBE74"/>
    <w:rsid w:val="626FFE5C"/>
    <w:rsid w:val="6311E3B0"/>
    <w:rsid w:val="641E22D1"/>
    <w:rsid w:val="64DBF534"/>
    <w:rsid w:val="64DE681B"/>
    <w:rsid w:val="64F8785D"/>
    <w:rsid w:val="6536DAC1"/>
    <w:rsid w:val="654836AA"/>
    <w:rsid w:val="65AD6CF0"/>
    <w:rsid w:val="66327552"/>
    <w:rsid w:val="666866BD"/>
    <w:rsid w:val="667C1D5D"/>
    <w:rsid w:val="6682C5CC"/>
    <w:rsid w:val="66AC0C99"/>
    <w:rsid w:val="66CCE8AD"/>
    <w:rsid w:val="66DB7240"/>
    <w:rsid w:val="67209C99"/>
    <w:rsid w:val="6720B959"/>
    <w:rsid w:val="673136DF"/>
    <w:rsid w:val="673A3D60"/>
    <w:rsid w:val="673F7688"/>
    <w:rsid w:val="67714887"/>
    <w:rsid w:val="686FE63D"/>
    <w:rsid w:val="687E89F9"/>
    <w:rsid w:val="68C76B5F"/>
    <w:rsid w:val="6AC98DC5"/>
    <w:rsid w:val="6B177E0A"/>
    <w:rsid w:val="6B1FDB38"/>
    <w:rsid w:val="6B3B818C"/>
    <w:rsid w:val="6BA061E3"/>
    <w:rsid w:val="6BEC8F3F"/>
    <w:rsid w:val="6BF9E453"/>
    <w:rsid w:val="6BFF05C3"/>
    <w:rsid w:val="6C76AC52"/>
    <w:rsid w:val="6D078014"/>
    <w:rsid w:val="6D2D7781"/>
    <w:rsid w:val="6DF6378D"/>
    <w:rsid w:val="6E183C1D"/>
    <w:rsid w:val="6E87D5B8"/>
    <w:rsid w:val="6ED77EB8"/>
    <w:rsid w:val="6EE68E20"/>
    <w:rsid w:val="6EEA1FEB"/>
    <w:rsid w:val="6F034C9A"/>
    <w:rsid w:val="7020899B"/>
    <w:rsid w:val="7020CB7D"/>
    <w:rsid w:val="705A6D27"/>
    <w:rsid w:val="70625A61"/>
    <w:rsid w:val="706DED63"/>
    <w:rsid w:val="70893A71"/>
    <w:rsid w:val="70A1B805"/>
    <w:rsid w:val="7149291A"/>
    <w:rsid w:val="7163070B"/>
    <w:rsid w:val="717621F2"/>
    <w:rsid w:val="719B8EB7"/>
    <w:rsid w:val="71D873D7"/>
    <w:rsid w:val="71E664EA"/>
    <w:rsid w:val="7210A3B7"/>
    <w:rsid w:val="724A8A76"/>
    <w:rsid w:val="730F30ED"/>
    <w:rsid w:val="73CA9745"/>
    <w:rsid w:val="7417B02C"/>
    <w:rsid w:val="746DEEA2"/>
    <w:rsid w:val="7493570C"/>
    <w:rsid w:val="74F5FCCA"/>
    <w:rsid w:val="7510DB77"/>
    <w:rsid w:val="751FF1DA"/>
    <w:rsid w:val="756346A8"/>
    <w:rsid w:val="75797A66"/>
    <w:rsid w:val="75C812D8"/>
    <w:rsid w:val="760EB4DC"/>
    <w:rsid w:val="764A6BC0"/>
    <w:rsid w:val="76AFC433"/>
    <w:rsid w:val="7703F491"/>
    <w:rsid w:val="775D47DC"/>
    <w:rsid w:val="7768B00C"/>
    <w:rsid w:val="783EC62B"/>
    <w:rsid w:val="788ADAA0"/>
    <w:rsid w:val="78AF8254"/>
    <w:rsid w:val="7924A82C"/>
    <w:rsid w:val="792E75B9"/>
    <w:rsid w:val="79C58D99"/>
    <w:rsid w:val="79CA6B08"/>
    <w:rsid w:val="7A70E4C3"/>
    <w:rsid w:val="7AD24972"/>
    <w:rsid w:val="7B2E868A"/>
    <w:rsid w:val="7B97A337"/>
    <w:rsid w:val="7B9B6D4F"/>
    <w:rsid w:val="7BFC05E0"/>
    <w:rsid w:val="7CC27CAD"/>
    <w:rsid w:val="7CD4DBF2"/>
    <w:rsid w:val="7D9ECC18"/>
    <w:rsid w:val="7DB26AD1"/>
    <w:rsid w:val="7DDEB379"/>
    <w:rsid w:val="7E4581A3"/>
    <w:rsid w:val="7ECBAF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443040"/>
    <w:pPr>
      <w:numPr>
        <w:numId w:val="2"/>
      </w:numPr>
      <w:tabs>
        <w:tab w:val="clear" w:pos="1134"/>
        <w:tab w:val="num" w:pos="360"/>
      </w:tabs>
      <w:ind w:left="0" w:firstLine="0"/>
    </w:pPr>
    <w:rPr>
      <w:rFonts w:eastAsia="Times New Roman"/>
      <w:lang w:eastAsia="de-DE"/>
    </w:rPr>
  </w:style>
  <w:style w:type="paragraph" w:styleId="ListNumber">
    <w:name w:val="List Number"/>
    <w:basedOn w:val="Normal"/>
    <w:uiPriority w:val="99"/>
    <w:rsid w:val="00443040"/>
    <w:pPr>
      <w:numPr>
        <w:numId w:val="6"/>
      </w:numPr>
      <w:tabs>
        <w:tab w:val="clear" w:pos="709"/>
      </w:tabs>
      <w:ind w:left="0" w:firstLine="0"/>
    </w:pPr>
    <w:rPr>
      <w:rFonts w:eastAsia="Times New Roman"/>
      <w:lang w:eastAsia="de-DE"/>
    </w:rPr>
  </w:style>
  <w:style w:type="paragraph" w:customStyle="1" w:styleId="ListBullet1">
    <w:name w:val="List Bullet 1"/>
    <w:basedOn w:val="Normal"/>
    <w:rsid w:val="00443040"/>
    <w:pPr>
      <w:numPr>
        <w:numId w:val="1"/>
      </w:numPr>
      <w:tabs>
        <w:tab w:val="clear" w:pos="1134"/>
      </w:tabs>
      <w:ind w:left="0" w:firstLine="0"/>
    </w:pPr>
    <w:rPr>
      <w:rFonts w:eastAsia="Times New Roman"/>
      <w:lang w:eastAsia="de-DE"/>
    </w:rPr>
  </w:style>
  <w:style w:type="paragraph" w:customStyle="1" w:styleId="ListDash">
    <w:name w:val="List Dash"/>
    <w:basedOn w:val="Normal"/>
    <w:rsid w:val="00443040"/>
    <w:pPr>
      <w:numPr>
        <w:numId w:val="3"/>
      </w:numPr>
      <w:tabs>
        <w:tab w:val="clear" w:pos="283"/>
      </w:tabs>
      <w:ind w:left="0" w:firstLine="0"/>
    </w:pPr>
    <w:rPr>
      <w:rFonts w:eastAsia="Times New Roman"/>
      <w:lang w:eastAsia="de-DE"/>
    </w:rPr>
  </w:style>
  <w:style w:type="paragraph" w:customStyle="1" w:styleId="ListDash1">
    <w:name w:val="List Dash 1"/>
    <w:basedOn w:val="Normal"/>
    <w:rsid w:val="00443040"/>
    <w:pPr>
      <w:numPr>
        <w:numId w:val="4"/>
      </w:numPr>
      <w:tabs>
        <w:tab w:val="clear" w:pos="1134"/>
      </w:tabs>
      <w:ind w:left="0" w:firstLine="0"/>
    </w:pPr>
    <w:rPr>
      <w:rFonts w:eastAsia="Times New Roman"/>
      <w:lang w:eastAsia="de-DE"/>
    </w:rPr>
  </w:style>
  <w:style w:type="paragraph" w:customStyle="1" w:styleId="ListDash2">
    <w:name w:val="List Dash 2"/>
    <w:basedOn w:val="Normal"/>
    <w:rsid w:val="00443040"/>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443040"/>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443040"/>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443040"/>
    <w:pPr>
      <w:numPr>
        <w:ilvl w:val="3"/>
        <w:numId w:val="6"/>
      </w:numPr>
      <w:tabs>
        <w:tab w:val="clear" w:pos="2835"/>
      </w:tabs>
      <w:ind w:left="0" w:firstLine="0"/>
    </w:pPr>
    <w:rPr>
      <w:rFonts w:eastAsia="Times New Roman"/>
      <w:lang w:eastAsia="de-DE"/>
    </w:rPr>
  </w:style>
  <w:style w:type="table" w:styleId="TableGrid">
    <w:name w:val="Table Grid"/>
    <w:basedOn w:val="TableNormal"/>
    <w:rsid w:val="00443040"/>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43040"/>
    <w:rPr>
      <w:color w:val="0000FF"/>
      <w:u w:val="single"/>
    </w:rPr>
  </w:style>
  <w:style w:type="paragraph" w:styleId="ListBullet">
    <w:name w:val="List Bullet"/>
    <w:basedOn w:val="Normal"/>
    <w:uiPriority w:val="99"/>
    <w:rsid w:val="00443040"/>
    <w:pPr>
      <w:numPr>
        <w:numId w:val="7"/>
      </w:numPr>
      <w:tabs>
        <w:tab w:val="clear" w:pos="283"/>
      </w:tabs>
      <w:ind w:left="0" w:firstLine="0"/>
    </w:pPr>
    <w:rPr>
      <w:rFonts w:eastAsia="Times New Roman"/>
      <w:lang w:val="fr-FR" w:eastAsia="en-GB"/>
    </w:rPr>
  </w:style>
  <w:style w:type="paragraph" w:styleId="ListBullet2">
    <w:name w:val="List Bullet 2"/>
    <w:basedOn w:val="Normal"/>
    <w:uiPriority w:val="99"/>
    <w:rsid w:val="00443040"/>
    <w:pPr>
      <w:numPr>
        <w:numId w:val="8"/>
      </w:numPr>
      <w:tabs>
        <w:tab w:val="clear" w:pos="1134"/>
      </w:tabs>
      <w:ind w:left="0" w:firstLine="0"/>
    </w:pPr>
    <w:rPr>
      <w:rFonts w:eastAsia="Times New Roman"/>
      <w:lang w:val="fr-FR" w:eastAsia="en-GB"/>
    </w:rPr>
  </w:style>
  <w:style w:type="paragraph" w:styleId="ListBullet3">
    <w:name w:val="List Bullet 3"/>
    <w:basedOn w:val="Normal"/>
    <w:uiPriority w:val="99"/>
    <w:rsid w:val="00443040"/>
    <w:pPr>
      <w:numPr>
        <w:numId w:val="9"/>
      </w:numPr>
      <w:tabs>
        <w:tab w:val="clear" w:pos="1134"/>
      </w:tabs>
      <w:ind w:left="0" w:firstLine="0"/>
    </w:pPr>
    <w:rPr>
      <w:rFonts w:eastAsia="Times New Roman"/>
      <w:lang w:val="fr-FR" w:eastAsia="en-GB"/>
    </w:rPr>
  </w:style>
  <w:style w:type="paragraph" w:styleId="ListNumber2">
    <w:name w:val="List Number 2"/>
    <w:basedOn w:val="Normal"/>
    <w:uiPriority w:val="99"/>
    <w:rsid w:val="00443040"/>
    <w:pPr>
      <w:numPr>
        <w:numId w:val="13"/>
      </w:numPr>
      <w:tabs>
        <w:tab w:val="clear" w:pos="1560"/>
      </w:tabs>
      <w:ind w:left="0" w:firstLine="0"/>
    </w:pPr>
    <w:rPr>
      <w:rFonts w:eastAsia="Times New Roman"/>
      <w:lang w:val="fr-FR" w:eastAsia="en-GB"/>
    </w:rPr>
  </w:style>
  <w:style w:type="paragraph" w:styleId="ListNumber3">
    <w:name w:val="List Number 3"/>
    <w:basedOn w:val="Normal"/>
    <w:uiPriority w:val="99"/>
    <w:rsid w:val="00443040"/>
    <w:pPr>
      <w:numPr>
        <w:numId w:val="14"/>
      </w:numPr>
      <w:tabs>
        <w:tab w:val="clear" w:pos="1560"/>
      </w:tabs>
      <w:ind w:left="0" w:firstLine="0"/>
    </w:pPr>
    <w:rPr>
      <w:rFonts w:eastAsia="Times New Roman"/>
      <w:lang w:val="fr-FR" w:eastAsia="en-GB"/>
    </w:rPr>
  </w:style>
  <w:style w:type="paragraph" w:styleId="ListNumber4">
    <w:name w:val="List Number 4"/>
    <w:basedOn w:val="Normal"/>
    <w:uiPriority w:val="99"/>
    <w:rsid w:val="00443040"/>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443040"/>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443040"/>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443040"/>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443040"/>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443040"/>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443040"/>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443040"/>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443040"/>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443040"/>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443040"/>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443040"/>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443040"/>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443040"/>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443040"/>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443040"/>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443040"/>
    <w:pPr>
      <w:jc w:val="center"/>
    </w:pPr>
    <w:rPr>
      <w:rFonts w:eastAsia="Times New Roman"/>
      <w:b/>
      <w:u w:val="single"/>
      <w:lang w:val="fr-FR" w:eastAsia="en-GB"/>
    </w:rPr>
  </w:style>
  <w:style w:type="paragraph" w:customStyle="1" w:styleId="Annexetitreexposglobal">
    <w:name w:val="Annexe titre (exposé global)"/>
    <w:basedOn w:val="Normal"/>
    <w:next w:val="Normal"/>
    <w:rsid w:val="00443040"/>
    <w:pPr>
      <w:jc w:val="center"/>
    </w:pPr>
    <w:rPr>
      <w:rFonts w:eastAsia="Times New Roman"/>
      <w:b/>
      <w:u w:val="single"/>
      <w:lang w:val="fr-FR" w:eastAsia="en-GB"/>
    </w:rPr>
  </w:style>
  <w:style w:type="paragraph" w:customStyle="1" w:styleId="Annexetitrefichefinacte">
    <w:name w:val="Annexe titre (fiche fin. acte)"/>
    <w:basedOn w:val="Normal"/>
    <w:next w:val="Normal"/>
    <w:rsid w:val="00443040"/>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443040"/>
    <w:pPr>
      <w:jc w:val="center"/>
    </w:pPr>
    <w:rPr>
      <w:rFonts w:eastAsia="Times New Roman"/>
      <w:b/>
      <w:u w:val="single"/>
      <w:lang w:val="fr-FR" w:eastAsia="en-GB"/>
    </w:rPr>
  </w:style>
  <w:style w:type="paragraph" w:customStyle="1" w:styleId="Annexetitreglobale">
    <w:name w:val="Annexe titre (globale)"/>
    <w:basedOn w:val="Normal"/>
    <w:next w:val="Normal"/>
    <w:rsid w:val="00443040"/>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443040"/>
    <w:pPr>
      <w:jc w:val="center"/>
    </w:pPr>
    <w:rPr>
      <w:rFonts w:eastAsia="Times New Roman"/>
      <w:b/>
      <w:u w:val="single"/>
      <w:lang w:val="fr-FR" w:eastAsia="en-GB"/>
    </w:rPr>
  </w:style>
  <w:style w:type="paragraph" w:customStyle="1" w:styleId="Langueoriginale">
    <w:name w:val="Langue originale"/>
    <w:basedOn w:val="Normal"/>
    <w:rsid w:val="00443040"/>
    <w:pPr>
      <w:spacing w:before="360"/>
      <w:jc w:val="center"/>
    </w:pPr>
    <w:rPr>
      <w:rFonts w:eastAsia="Times New Roman"/>
      <w:caps/>
      <w:lang w:val="fr-FR" w:eastAsia="en-GB"/>
    </w:rPr>
  </w:style>
  <w:style w:type="paragraph" w:customStyle="1" w:styleId="Phrasefinale">
    <w:name w:val="Phrase finale"/>
    <w:basedOn w:val="Normal"/>
    <w:next w:val="Normal"/>
    <w:rsid w:val="00443040"/>
    <w:pPr>
      <w:spacing w:before="360" w:after="0"/>
      <w:jc w:val="center"/>
    </w:pPr>
    <w:rPr>
      <w:rFonts w:eastAsia="Times New Roman"/>
      <w:lang w:val="fr-FR" w:eastAsia="en-GB"/>
    </w:rPr>
  </w:style>
  <w:style w:type="paragraph" w:customStyle="1" w:styleId="Prliminairetitre">
    <w:name w:val="Préliminaire titre"/>
    <w:basedOn w:val="Normal"/>
    <w:next w:val="Normal"/>
    <w:rsid w:val="00443040"/>
    <w:pPr>
      <w:spacing w:before="360" w:after="360"/>
      <w:jc w:val="center"/>
    </w:pPr>
    <w:rPr>
      <w:rFonts w:eastAsia="Times New Roman"/>
      <w:b/>
      <w:lang w:val="fr-FR" w:eastAsia="en-GB"/>
    </w:rPr>
  </w:style>
  <w:style w:type="paragraph" w:customStyle="1" w:styleId="Prliminairetype">
    <w:name w:val="Préliminaire type"/>
    <w:basedOn w:val="Normal"/>
    <w:next w:val="Normal"/>
    <w:rsid w:val="00443040"/>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443040"/>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443040"/>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443040"/>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443040"/>
    <w:pPr>
      <w:spacing w:before="0" w:after="0"/>
      <w:jc w:val="center"/>
    </w:pPr>
    <w:rPr>
      <w:rFonts w:eastAsia="Times New Roman"/>
      <w:b/>
      <w:lang w:val="fr-FR" w:eastAsia="en-GB"/>
    </w:rPr>
  </w:style>
  <w:style w:type="paragraph" w:customStyle="1" w:styleId="Statutprliminaire">
    <w:name w:val="Statut (préliminaire)"/>
    <w:basedOn w:val="Normal"/>
    <w:next w:val="Normal"/>
    <w:rsid w:val="00443040"/>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443040"/>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443040"/>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443040"/>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443040"/>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443040"/>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443040"/>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443040"/>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443040"/>
    <w:pPr>
      <w:jc w:val="center"/>
    </w:pPr>
    <w:rPr>
      <w:rFonts w:eastAsia="Times New Roman"/>
      <w:b/>
      <w:u w:val="single"/>
      <w:lang w:val="fr-FR" w:eastAsia="en-GB"/>
    </w:rPr>
  </w:style>
  <w:style w:type="character" w:styleId="CommentReference">
    <w:name w:val="annotation reference"/>
    <w:uiPriority w:val="99"/>
    <w:rsid w:val="00443040"/>
    <w:rPr>
      <w:rFonts w:cs="Times New Roman"/>
      <w:sz w:val="16"/>
      <w:szCs w:val="16"/>
    </w:rPr>
  </w:style>
  <w:style w:type="paragraph" w:styleId="CommentText">
    <w:name w:val="annotation text"/>
    <w:basedOn w:val="Normal"/>
    <w:link w:val="CommentTextChar"/>
    <w:uiPriority w:val="99"/>
    <w:rsid w:val="00443040"/>
    <w:rPr>
      <w:rFonts w:eastAsia="Times New Roman"/>
      <w:sz w:val="20"/>
      <w:szCs w:val="20"/>
      <w:lang w:val="fr-FR" w:eastAsia="en-GB"/>
    </w:rPr>
  </w:style>
  <w:style w:type="character" w:customStyle="1" w:styleId="CommentTextChar">
    <w:name w:val="Comment Text Char"/>
    <w:basedOn w:val="DefaultParagraphFont"/>
    <w:link w:val="CommentText"/>
    <w:uiPriority w:val="99"/>
    <w:rsid w:val="00443040"/>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443040"/>
    <w:rPr>
      <w:b/>
      <w:bCs/>
    </w:rPr>
  </w:style>
  <w:style w:type="character" w:customStyle="1" w:styleId="CommentSubjectChar">
    <w:name w:val="Comment Subject Char"/>
    <w:basedOn w:val="CommentTextChar"/>
    <w:link w:val="CommentSubject"/>
    <w:rsid w:val="00443040"/>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443040"/>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443040"/>
    <w:rPr>
      <w:rFonts w:ascii="Tahoma" w:eastAsia="Times New Roman" w:hAnsi="Tahoma" w:cs="Tahoma"/>
      <w:sz w:val="16"/>
      <w:szCs w:val="16"/>
      <w:lang w:val="fr-FR" w:eastAsia="en-GB"/>
    </w:rPr>
  </w:style>
  <w:style w:type="paragraph" w:styleId="Caption">
    <w:name w:val="caption"/>
    <w:basedOn w:val="Normal"/>
    <w:next w:val="Normal"/>
    <w:uiPriority w:val="35"/>
    <w:qFormat/>
    <w:rsid w:val="00443040"/>
    <w:rPr>
      <w:rFonts w:eastAsia="Times New Roman"/>
      <w:b/>
      <w:bCs/>
      <w:sz w:val="20"/>
      <w:szCs w:val="20"/>
      <w:lang w:val="fr-FR" w:eastAsia="en-GB"/>
    </w:rPr>
  </w:style>
  <w:style w:type="paragraph" w:styleId="TableofFigures">
    <w:name w:val="table of figures"/>
    <w:basedOn w:val="Normal"/>
    <w:next w:val="Normal"/>
    <w:rsid w:val="00443040"/>
    <w:rPr>
      <w:rFonts w:eastAsia="Times New Roman"/>
      <w:lang w:val="fr-FR" w:eastAsia="en-GB"/>
    </w:rPr>
  </w:style>
  <w:style w:type="character" w:styleId="PageNumber">
    <w:name w:val="page number"/>
    <w:rsid w:val="00443040"/>
  </w:style>
  <w:style w:type="character" w:customStyle="1" w:styleId="tw4winMark">
    <w:name w:val="tw4winMark"/>
    <w:rsid w:val="00443040"/>
    <w:rPr>
      <w:vanish/>
      <w:color w:val="800080"/>
      <w:vertAlign w:val="subscript"/>
    </w:rPr>
  </w:style>
  <w:style w:type="character" w:styleId="FollowedHyperlink">
    <w:name w:val="FollowedHyperlink"/>
    <w:uiPriority w:val="99"/>
    <w:rsid w:val="00443040"/>
    <w:rPr>
      <w:color w:val="800080"/>
      <w:u w:val="single"/>
    </w:rPr>
  </w:style>
  <w:style w:type="paragraph" w:customStyle="1" w:styleId="Sous-titreobjet">
    <w:name w:val="Sous-titre objet"/>
    <w:basedOn w:val="Normal"/>
    <w:rsid w:val="00443040"/>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43040"/>
  </w:style>
  <w:style w:type="paragraph" w:styleId="Revision">
    <w:name w:val="Revision"/>
    <w:hidden/>
    <w:uiPriority w:val="99"/>
    <w:semiHidden/>
    <w:rsid w:val="00443040"/>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443040"/>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43040"/>
    <w:rPr>
      <w:rFonts w:ascii="Times New Roman" w:hAnsi="Times New Roman" w:cs="Times New Roman"/>
      <w:b/>
      <w:sz w:val="28"/>
      <w:lang w:val="en-GB"/>
    </w:rPr>
  </w:style>
  <w:style w:type="character" w:customStyle="1" w:styleId="FooterCoverPageChar">
    <w:name w:val="Footer Cover Page Char"/>
    <w:link w:val="FooterCoverPage"/>
    <w:rsid w:val="00443040"/>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443040"/>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43040"/>
    <w:rPr>
      <w:rFonts w:ascii="Times New Roman" w:eastAsia="Calibri" w:hAnsi="Times New Roman" w:cs="Times New Roman"/>
      <w:sz w:val="24"/>
      <w:lang w:val="en-GB" w:eastAsia="en-GB"/>
    </w:rPr>
  </w:style>
  <w:style w:type="character" w:customStyle="1" w:styleId="FooterSensitivityChar">
    <w:name w:val="Footer Sensitivity Char"/>
    <w:rsid w:val="00443040"/>
    <w:rPr>
      <w:rFonts w:ascii="Times New Roman" w:hAnsi="Times New Roman" w:cs="Times New Roman"/>
      <w:b/>
      <w:sz w:val="32"/>
      <w:lang w:val="en-GB"/>
    </w:rPr>
  </w:style>
  <w:style w:type="character" w:customStyle="1" w:styleId="HeaderSensitivityChar">
    <w:name w:val="Header Sensitivity Char"/>
    <w:rsid w:val="00443040"/>
    <w:rPr>
      <w:rFonts w:ascii="Times New Roman" w:hAnsi="Times New Roman" w:cs="Times New Roman"/>
      <w:b/>
      <w:sz w:val="32"/>
      <w:lang w:val="en-GB"/>
    </w:rPr>
  </w:style>
  <w:style w:type="character" w:customStyle="1" w:styleId="HeaderSensitivityRightChar">
    <w:name w:val="Header Sensitivity Right Char"/>
    <w:rsid w:val="00443040"/>
    <w:rPr>
      <w:rFonts w:ascii="Times New Roman" w:hAnsi="Times New Roman" w:cs="Times New Roman"/>
      <w:sz w:val="28"/>
      <w:lang w:val="en-GB"/>
    </w:rPr>
  </w:style>
  <w:style w:type="paragraph" w:customStyle="1" w:styleId="LegalNumPar">
    <w:name w:val="LegalNumPar"/>
    <w:basedOn w:val="Normal"/>
    <w:rsid w:val="00443040"/>
    <w:pPr>
      <w:numPr>
        <w:numId w:val="16"/>
      </w:numPr>
      <w:spacing w:line="360" w:lineRule="auto"/>
      <w:ind w:left="0" w:firstLine="0"/>
    </w:pPr>
    <w:rPr>
      <w:rFonts w:eastAsia="Times New Roman"/>
      <w:lang w:eastAsia="en-GB"/>
    </w:rPr>
  </w:style>
  <w:style w:type="paragraph" w:customStyle="1" w:styleId="LegalNumPar2">
    <w:name w:val="LegalNumPar2"/>
    <w:basedOn w:val="Normal"/>
    <w:rsid w:val="00443040"/>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443040"/>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443040"/>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43040"/>
    <w:rPr>
      <w:color w:val="605E5C"/>
      <w:shd w:val="clear" w:color="auto" w:fill="E1DFDD"/>
    </w:rPr>
  </w:style>
  <w:style w:type="character" w:styleId="Strong">
    <w:name w:val="Strong"/>
    <w:basedOn w:val="DefaultParagraphFont"/>
    <w:uiPriority w:val="22"/>
    <w:qFormat/>
    <w:rsid w:val="00443040"/>
    <w:rPr>
      <w:b/>
      <w:bCs/>
    </w:rPr>
  </w:style>
  <w:style w:type="character" w:styleId="Emphasis">
    <w:name w:val="Emphasis"/>
    <w:basedOn w:val="DefaultParagraphFont"/>
    <w:qFormat/>
    <w:rsid w:val="00443040"/>
    <w:rPr>
      <w:i/>
      <w:iCs/>
    </w:rPr>
  </w:style>
  <w:style w:type="character" w:customStyle="1" w:styleId="Mention">
    <w:name w:val="Mention"/>
    <w:basedOn w:val="DefaultParagraphFont"/>
    <w:uiPriority w:val="99"/>
    <w:unhideWhenUsed/>
    <w:rsid w:val="00443040"/>
    <w:rPr>
      <w:color w:val="2B579A"/>
      <w:shd w:val="clear" w:color="auto" w:fill="E1DFDD"/>
    </w:rPr>
  </w:style>
  <w:style w:type="character" w:customStyle="1" w:styleId="normaltextrun">
    <w:name w:val="normaltextrun"/>
    <w:basedOn w:val="DefaultParagraphFont"/>
    <w:rsid w:val="00443040"/>
  </w:style>
  <w:style w:type="character" w:customStyle="1" w:styleId="eop">
    <w:name w:val="eop"/>
    <w:basedOn w:val="DefaultParagraphFont"/>
    <w:rsid w:val="00443040"/>
  </w:style>
  <w:style w:type="character" w:customStyle="1" w:styleId="tw4winError">
    <w:name w:val="tw4winError"/>
    <w:rsid w:val="00155377"/>
    <w:rPr>
      <w:color w:val="00FF00"/>
      <w:sz w:val="40"/>
      <w:lang w:val="en-GB" w:eastAsia="en-GB"/>
    </w:rPr>
  </w:style>
  <w:style w:type="character" w:customStyle="1" w:styleId="tw4winTerm">
    <w:name w:val="tw4winTerm"/>
    <w:rsid w:val="00155377"/>
    <w:rPr>
      <w:color w:val="0000FF"/>
      <w:lang w:val="en-GB" w:eastAsia="en-GB"/>
    </w:rPr>
  </w:style>
  <w:style w:type="character" w:customStyle="1" w:styleId="tw4winPopup">
    <w:name w:val="tw4winPopup"/>
    <w:rsid w:val="00155377"/>
    <w:rPr>
      <w:noProof/>
      <w:color w:val="008000"/>
      <w:lang w:val="en-GB" w:eastAsia="en-GB"/>
    </w:rPr>
  </w:style>
  <w:style w:type="character" w:customStyle="1" w:styleId="tw4winJump">
    <w:name w:val="tw4winJump"/>
    <w:rsid w:val="00155377"/>
    <w:rPr>
      <w:noProof/>
      <w:color w:val="008080"/>
      <w:lang w:val="en-GB" w:eastAsia="en-GB"/>
    </w:rPr>
  </w:style>
  <w:style w:type="character" w:customStyle="1" w:styleId="tw4winExternal">
    <w:name w:val="tw4winExternal"/>
    <w:rsid w:val="00155377"/>
    <w:rPr>
      <w:noProof/>
      <w:color w:val="808080"/>
      <w:lang w:val="en-GB" w:eastAsia="en-GB"/>
    </w:rPr>
  </w:style>
  <w:style w:type="character" w:customStyle="1" w:styleId="tw4winInternal">
    <w:name w:val="tw4winInternal"/>
    <w:rsid w:val="00155377"/>
    <w:rPr>
      <w:noProof/>
      <w:color w:val="FF0000"/>
      <w:lang w:val="en-GB" w:eastAsia="en-GB"/>
    </w:rPr>
  </w:style>
  <w:style w:type="character" w:customStyle="1" w:styleId="DONOTTRANSLATE">
    <w:name w:val="DO_NOT_TRANSLATE"/>
    <w:rsid w:val="00155377"/>
    <w:rPr>
      <w:noProof/>
      <w:color w:val="800000"/>
      <w:lang w:val="en-GB" w:eastAsia="en-GB"/>
    </w:rPr>
  </w:style>
  <w:style w:type="character" w:customStyle="1" w:styleId="Mention1">
    <w:name w:val="Mention1"/>
    <w:basedOn w:val="DefaultParagraphFont"/>
    <w:uiPriority w:val="99"/>
    <w:unhideWhenUsed/>
    <w:rsid w:val="00155377"/>
    <w:rPr>
      <w:color w:val="2B579A"/>
      <w:shd w:val="clear" w:color="auto" w:fill="E1DFDD"/>
    </w:rPr>
  </w:style>
  <w:style w:type="paragraph" w:styleId="EndnoteText">
    <w:name w:val="endnote text"/>
    <w:basedOn w:val="Normal"/>
    <w:link w:val="EndnoteTextChar"/>
    <w:uiPriority w:val="99"/>
    <w:semiHidden/>
    <w:unhideWhenUsed/>
    <w:rsid w:val="00155377"/>
    <w:pPr>
      <w:spacing w:before="0" w:after="0"/>
    </w:pPr>
    <w:rPr>
      <w:sz w:val="20"/>
      <w:szCs w:val="20"/>
    </w:rPr>
  </w:style>
  <w:style w:type="character" w:customStyle="1" w:styleId="EndnoteTextChar">
    <w:name w:val="Endnote Text Char"/>
    <w:basedOn w:val="DefaultParagraphFont"/>
    <w:link w:val="EndnoteText"/>
    <w:uiPriority w:val="99"/>
    <w:semiHidden/>
    <w:rsid w:val="00155377"/>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55377"/>
    <w:rPr>
      <w:vertAlign w:val="superscript"/>
    </w:rPr>
  </w:style>
  <w:style w:type="character" w:customStyle="1" w:styleId="HeaderChar1">
    <w:name w:val="Header Char1"/>
    <w:basedOn w:val="DefaultParagraphFont"/>
    <w:uiPriority w:val="99"/>
    <w:semiHidden/>
    <w:rsid w:val="00155377"/>
    <w:rPr>
      <w:rFonts w:ascii="Times New Roman" w:hAnsi="Times New Roman" w:cs="Times New Roman"/>
      <w:sz w:val="24"/>
      <w:lang w:val="en-GB"/>
    </w:rPr>
  </w:style>
  <w:style w:type="character" w:customStyle="1" w:styleId="FooterChar1">
    <w:name w:val="Footer Char1"/>
    <w:basedOn w:val="DefaultParagraphFont"/>
    <w:uiPriority w:val="99"/>
    <w:semiHidden/>
    <w:rsid w:val="00155377"/>
    <w:rPr>
      <w:rFonts w:ascii="Times New Roman" w:hAnsi="Times New Roman" w:cs="Times New Roman"/>
      <w:sz w:val="24"/>
      <w:lang w:val="en-GB"/>
    </w:rPr>
  </w:style>
  <w:style w:type="character" w:customStyle="1" w:styleId="Marker10">
    <w:name w:val="Marker10"/>
    <w:basedOn w:val="DefaultParagraphFont"/>
    <w:rPr>
      <w:color w:val="008000"/>
      <w:shd w:val="clear" w:color="auto" w:fill="auto"/>
    </w:rPr>
  </w:style>
  <w:style w:type="character" w:customStyle="1" w:styleId="Marker100">
    <w:name w:val="Marker100"/>
    <w:basedOn w:val="DefaultParagraphFont"/>
    <w:rsid w:val="00E47133"/>
    <w:rPr>
      <w:color w:val="008000"/>
      <w:shd w:val="clear" w:color="auto" w:fill="auto"/>
    </w:rPr>
  </w:style>
  <w:style w:type="character" w:customStyle="1" w:styleId="Marker1000">
    <w:name w:val="Marker1000"/>
    <w:basedOn w:val="DefaultParagraphFont"/>
    <w:rsid w:val="00335134"/>
    <w:rPr>
      <w:color w:val="008000"/>
      <w:shd w:val="clear" w:color="auto" w:fill="auto"/>
    </w:rPr>
  </w:style>
  <w:style w:type="character" w:customStyle="1" w:styleId="Marker10000">
    <w:name w:val="Marker10000"/>
    <w:basedOn w:val="DefaultParagraphFont"/>
    <w:rsid w:val="00A1638E"/>
    <w:rPr>
      <w:color w:val="008000"/>
      <w:shd w:val="clear" w:color="auto" w:fill="auto"/>
    </w:rPr>
  </w:style>
  <w:style w:type="character" w:customStyle="1" w:styleId="Marker100000">
    <w:name w:val="Marker100000"/>
    <w:basedOn w:val="DefaultParagraphFont"/>
    <w:rsid w:val="002C7815"/>
    <w:rPr>
      <w:color w:val="008000"/>
      <w:shd w:val="clear" w:color="auto" w:fill="auto"/>
    </w:rPr>
  </w:style>
  <w:style w:type="character" w:customStyle="1" w:styleId="Marker1000000">
    <w:name w:val="Marker1000000"/>
    <w:basedOn w:val="DefaultParagraphFont"/>
    <w:rsid w:val="00B03994"/>
    <w:rPr>
      <w:color w:val="008000"/>
      <w:shd w:val="clear" w:color="auto" w:fill="auto"/>
    </w:rPr>
  </w:style>
  <w:style w:type="character" w:customStyle="1" w:styleId="Marker10000000">
    <w:name w:val="Marker10000000"/>
    <w:basedOn w:val="DefaultParagraphFont"/>
    <w:rsid w:val="00B03994"/>
    <w:rPr>
      <w:color w:val="008000"/>
      <w:shd w:val="clear" w:color="auto" w:fill="auto"/>
    </w:rPr>
  </w:style>
  <w:style w:type="character" w:customStyle="1" w:styleId="Marker100000000">
    <w:name w:val="Marker100000000"/>
    <w:basedOn w:val="DefaultParagraphFont"/>
    <w:rsid w:val="00984904"/>
    <w:rPr>
      <w:color w:val="008000"/>
      <w:shd w:val="clear" w:color="auto" w:fill="auto"/>
    </w:rPr>
  </w:style>
  <w:style w:type="character" w:customStyle="1" w:styleId="Marker1000000000">
    <w:name w:val="Marker1000000000"/>
    <w:basedOn w:val="DefaultParagraphFont"/>
    <w:rsid w:val="00D26EB0"/>
    <w:rPr>
      <w:color w:val="008000"/>
      <w:shd w:val="clear" w:color="auto" w:fill="auto"/>
    </w:rPr>
  </w:style>
  <w:style w:type="character" w:customStyle="1" w:styleId="Marker10000000000">
    <w:name w:val="Marker10000000000"/>
    <w:basedOn w:val="DefaultParagraphFont"/>
    <w:rsid w:val="00771489"/>
    <w:rPr>
      <w:color w:val="008000"/>
      <w:shd w:val="clear" w:color="auto" w:fill="auto"/>
    </w:rPr>
  </w:style>
  <w:style w:type="character" w:customStyle="1" w:styleId="Marker100000000000">
    <w:name w:val="Marker100000000000"/>
    <w:basedOn w:val="DefaultParagraphFont"/>
    <w:rsid w:val="003E07EE"/>
    <w:rPr>
      <w:color w:val="008000"/>
      <w:shd w:val="clear" w:color="auto" w:fill="auto"/>
    </w:rPr>
  </w:style>
  <w:style w:type="character" w:customStyle="1" w:styleId="Marker1000000000000">
    <w:name w:val="Marker1000000000000"/>
    <w:basedOn w:val="DefaultParagraphFont"/>
    <w:rsid w:val="00980354"/>
    <w:rPr>
      <w:color w:val="008000"/>
      <w:shd w:val="clear" w:color="auto" w:fill="auto"/>
    </w:rPr>
  </w:style>
  <w:style w:type="character" w:customStyle="1" w:styleId="Marker10000000000000">
    <w:name w:val="Marker10000000000000"/>
    <w:basedOn w:val="DefaultParagraphFont"/>
    <w:rsid w:val="00980354"/>
    <w:rPr>
      <w:color w:val="008000"/>
      <w:shd w:val="clear" w:color="auto" w:fill="auto"/>
    </w:rPr>
  </w:style>
  <w:style w:type="character" w:customStyle="1" w:styleId="Marker100000000000000">
    <w:name w:val="Marker100000000000000"/>
    <w:basedOn w:val="DefaultParagraphFont"/>
    <w:rsid w:val="00980354"/>
    <w:rPr>
      <w:color w:val="008000"/>
      <w:shd w:val="clear" w:color="auto" w:fill="auto"/>
    </w:rPr>
  </w:style>
  <w:style w:type="character" w:customStyle="1" w:styleId="Marker1000000000000000">
    <w:name w:val="Marker1000000000000000"/>
    <w:basedOn w:val="DefaultParagraphFont"/>
    <w:rsid w:val="00E03068"/>
    <w:rPr>
      <w:color w:val="008000"/>
      <w:shd w:val="clear" w:color="auto" w:fill="auto"/>
    </w:rPr>
  </w:style>
  <w:style w:type="character" w:customStyle="1" w:styleId="Marker10000000000000000">
    <w:name w:val="Marker10000000000000000"/>
    <w:basedOn w:val="DefaultParagraphFont"/>
    <w:rsid w:val="009F35DB"/>
    <w:rPr>
      <w:color w:val="008000"/>
      <w:shd w:val="clear" w:color="auto" w:fill="auto"/>
    </w:rPr>
  </w:style>
  <w:style w:type="character" w:customStyle="1" w:styleId="HeaderChar">
    <w:name w:val="Header Char"/>
    <w:basedOn w:val="DefaultParagraphFont"/>
    <w:link w:val="Header"/>
    <w:uiPriority w:val="99"/>
    <w:rsid w:val="00423DBB"/>
    <w:rPr>
      <w:rFonts w:ascii="Times New Roman" w:hAnsi="Times New Roman" w:cs="Times New Roman"/>
      <w:sz w:val="24"/>
      <w:lang w:val="en-GB"/>
    </w:rPr>
  </w:style>
  <w:style w:type="character" w:customStyle="1" w:styleId="FooterChar">
    <w:name w:val="Footer Char"/>
    <w:basedOn w:val="DefaultParagraphFont"/>
    <w:link w:val="Footer"/>
    <w:uiPriority w:val="99"/>
    <w:rsid w:val="00423DB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3DB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3DBB"/>
    <w:pPr>
      <w:spacing w:before="0"/>
      <w:jc w:val="right"/>
    </w:pPr>
    <w:rPr>
      <w:sz w:val="28"/>
    </w:rPr>
  </w:style>
  <w:style w:type="paragraph" w:customStyle="1" w:styleId="FooterSensitivity">
    <w:name w:val="Footer Sensitivity"/>
    <w:basedOn w:val="Normal"/>
    <w:rsid w:val="00423DB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3DBB"/>
    <w:pPr>
      <w:tabs>
        <w:tab w:val="center" w:pos="4535"/>
        <w:tab w:val="right" w:pos="9071"/>
      </w:tabs>
      <w:spacing w:before="0"/>
    </w:pPr>
  </w:style>
  <w:style w:type="paragraph" w:customStyle="1" w:styleId="HeaderLandscape">
    <w:name w:val="HeaderLandscape"/>
    <w:basedOn w:val="Normal"/>
    <w:rsid w:val="00423DBB"/>
    <w:pPr>
      <w:tabs>
        <w:tab w:val="center" w:pos="7285"/>
        <w:tab w:val="right" w:pos="14003"/>
      </w:tabs>
      <w:spacing w:before="0"/>
    </w:pPr>
  </w:style>
  <w:style w:type="paragraph" w:styleId="Footer">
    <w:name w:val="footer"/>
    <w:basedOn w:val="Normal"/>
    <w:link w:val="FooterChar"/>
    <w:uiPriority w:val="99"/>
    <w:unhideWhenUsed/>
    <w:rsid w:val="00423DB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3DB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7135">
      <w:bodyDiv w:val="1"/>
      <w:marLeft w:val="0"/>
      <w:marRight w:val="0"/>
      <w:marTop w:val="0"/>
      <w:marBottom w:val="0"/>
      <w:divBdr>
        <w:top w:val="none" w:sz="0" w:space="0" w:color="auto"/>
        <w:left w:val="none" w:sz="0" w:space="0" w:color="auto"/>
        <w:bottom w:val="none" w:sz="0" w:space="0" w:color="auto"/>
        <w:right w:val="none" w:sz="0" w:space="0" w:color="auto"/>
      </w:divBdr>
    </w:div>
    <w:div w:id="129248804">
      <w:bodyDiv w:val="1"/>
      <w:marLeft w:val="0"/>
      <w:marRight w:val="0"/>
      <w:marTop w:val="0"/>
      <w:marBottom w:val="0"/>
      <w:divBdr>
        <w:top w:val="none" w:sz="0" w:space="0" w:color="auto"/>
        <w:left w:val="none" w:sz="0" w:space="0" w:color="auto"/>
        <w:bottom w:val="none" w:sz="0" w:space="0" w:color="auto"/>
        <w:right w:val="none" w:sz="0" w:space="0" w:color="auto"/>
      </w:divBdr>
    </w:div>
    <w:div w:id="167333020">
      <w:bodyDiv w:val="1"/>
      <w:marLeft w:val="0"/>
      <w:marRight w:val="0"/>
      <w:marTop w:val="0"/>
      <w:marBottom w:val="0"/>
      <w:divBdr>
        <w:top w:val="none" w:sz="0" w:space="0" w:color="auto"/>
        <w:left w:val="none" w:sz="0" w:space="0" w:color="auto"/>
        <w:bottom w:val="none" w:sz="0" w:space="0" w:color="auto"/>
        <w:right w:val="none" w:sz="0" w:space="0" w:color="auto"/>
      </w:divBdr>
    </w:div>
    <w:div w:id="244846602">
      <w:bodyDiv w:val="1"/>
      <w:marLeft w:val="0"/>
      <w:marRight w:val="0"/>
      <w:marTop w:val="0"/>
      <w:marBottom w:val="0"/>
      <w:divBdr>
        <w:top w:val="none" w:sz="0" w:space="0" w:color="auto"/>
        <w:left w:val="none" w:sz="0" w:space="0" w:color="auto"/>
        <w:bottom w:val="none" w:sz="0" w:space="0" w:color="auto"/>
        <w:right w:val="none" w:sz="0" w:space="0" w:color="auto"/>
      </w:divBdr>
    </w:div>
    <w:div w:id="326058429">
      <w:bodyDiv w:val="1"/>
      <w:marLeft w:val="0"/>
      <w:marRight w:val="0"/>
      <w:marTop w:val="0"/>
      <w:marBottom w:val="0"/>
      <w:divBdr>
        <w:top w:val="none" w:sz="0" w:space="0" w:color="auto"/>
        <w:left w:val="none" w:sz="0" w:space="0" w:color="auto"/>
        <w:bottom w:val="none" w:sz="0" w:space="0" w:color="auto"/>
        <w:right w:val="none" w:sz="0" w:space="0" w:color="auto"/>
      </w:divBdr>
    </w:div>
    <w:div w:id="391582519">
      <w:bodyDiv w:val="1"/>
      <w:marLeft w:val="0"/>
      <w:marRight w:val="0"/>
      <w:marTop w:val="0"/>
      <w:marBottom w:val="0"/>
      <w:divBdr>
        <w:top w:val="none" w:sz="0" w:space="0" w:color="auto"/>
        <w:left w:val="none" w:sz="0" w:space="0" w:color="auto"/>
        <w:bottom w:val="none" w:sz="0" w:space="0" w:color="auto"/>
        <w:right w:val="none" w:sz="0" w:space="0" w:color="auto"/>
      </w:divBdr>
    </w:div>
    <w:div w:id="709064502">
      <w:bodyDiv w:val="1"/>
      <w:marLeft w:val="0"/>
      <w:marRight w:val="0"/>
      <w:marTop w:val="0"/>
      <w:marBottom w:val="0"/>
      <w:divBdr>
        <w:top w:val="none" w:sz="0" w:space="0" w:color="auto"/>
        <w:left w:val="none" w:sz="0" w:space="0" w:color="auto"/>
        <w:bottom w:val="none" w:sz="0" w:space="0" w:color="auto"/>
        <w:right w:val="none" w:sz="0" w:space="0" w:color="auto"/>
      </w:divBdr>
    </w:div>
    <w:div w:id="712343148">
      <w:bodyDiv w:val="1"/>
      <w:marLeft w:val="0"/>
      <w:marRight w:val="0"/>
      <w:marTop w:val="0"/>
      <w:marBottom w:val="0"/>
      <w:divBdr>
        <w:top w:val="none" w:sz="0" w:space="0" w:color="auto"/>
        <w:left w:val="none" w:sz="0" w:space="0" w:color="auto"/>
        <w:bottom w:val="none" w:sz="0" w:space="0" w:color="auto"/>
        <w:right w:val="none" w:sz="0" w:space="0" w:color="auto"/>
      </w:divBdr>
    </w:div>
    <w:div w:id="767315242">
      <w:bodyDiv w:val="1"/>
      <w:marLeft w:val="0"/>
      <w:marRight w:val="0"/>
      <w:marTop w:val="0"/>
      <w:marBottom w:val="0"/>
      <w:divBdr>
        <w:top w:val="none" w:sz="0" w:space="0" w:color="auto"/>
        <w:left w:val="none" w:sz="0" w:space="0" w:color="auto"/>
        <w:bottom w:val="none" w:sz="0" w:space="0" w:color="auto"/>
        <w:right w:val="none" w:sz="0" w:space="0" w:color="auto"/>
      </w:divBdr>
    </w:div>
    <w:div w:id="899367803">
      <w:bodyDiv w:val="1"/>
      <w:marLeft w:val="0"/>
      <w:marRight w:val="0"/>
      <w:marTop w:val="0"/>
      <w:marBottom w:val="0"/>
      <w:divBdr>
        <w:top w:val="none" w:sz="0" w:space="0" w:color="auto"/>
        <w:left w:val="none" w:sz="0" w:space="0" w:color="auto"/>
        <w:bottom w:val="none" w:sz="0" w:space="0" w:color="auto"/>
        <w:right w:val="none" w:sz="0" w:space="0" w:color="auto"/>
      </w:divBdr>
    </w:div>
    <w:div w:id="947809106">
      <w:bodyDiv w:val="1"/>
      <w:marLeft w:val="0"/>
      <w:marRight w:val="0"/>
      <w:marTop w:val="0"/>
      <w:marBottom w:val="0"/>
      <w:divBdr>
        <w:top w:val="none" w:sz="0" w:space="0" w:color="auto"/>
        <w:left w:val="none" w:sz="0" w:space="0" w:color="auto"/>
        <w:bottom w:val="none" w:sz="0" w:space="0" w:color="auto"/>
        <w:right w:val="none" w:sz="0" w:space="0" w:color="auto"/>
      </w:divBdr>
    </w:div>
    <w:div w:id="954796792">
      <w:bodyDiv w:val="1"/>
      <w:marLeft w:val="0"/>
      <w:marRight w:val="0"/>
      <w:marTop w:val="0"/>
      <w:marBottom w:val="0"/>
      <w:divBdr>
        <w:top w:val="none" w:sz="0" w:space="0" w:color="auto"/>
        <w:left w:val="none" w:sz="0" w:space="0" w:color="auto"/>
        <w:bottom w:val="none" w:sz="0" w:space="0" w:color="auto"/>
        <w:right w:val="none" w:sz="0" w:space="0" w:color="auto"/>
      </w:divBdr>
    </w:div>
    <w:div w:id="1052269222">
      <w:bodyDiv w:val="1"/>
      <w:marLeft w:val="0"/>
      <w:marRight w:val="0"/>
      <w:marTop w:val="0"/>
      <w:marBottom w:val="0"/>
      <w:divBdr>
        <w:top w:val="none" w:sz="0" w:space="0" w:color="auto"/>
        <w:left w:val="none" w:sz="0" w:space="0" w:color="auto"/>
        <w:bottom w:val="none" w:sz="0" w:space="0" w:color="auto"/>
        <w:right w:val="none" w:sz="0" w:space="0" w:color="auto"/>
      </w:divBdr>
    </w:div>
    <w:div w:id="1099712568">
      <w:bodyDiv w:val="1"/>
      <w:marLeft w:val="0"/>
      <w:marRight w:val="0"/>
      <w:marTop w:val="0"/>
      <w:marBottom w:val="0"/>
      <w:divBdr>
        <w:top w:val="none" w:sz="0" w:space="0" w:color="auto"/>
        <w:left w:val="none" w:sz="0" w:space="0" w:color="auto"/>
        <w:bottom w:val="none" w:sz="0" w:space="0" w:color="auto"/>
        <w:right w:val="none" w:sz="0" w:space="0" w:color="auto"/>
      </w:divBdr>
    </w:div>
    <w:div w:id="1207374353">
      <w:bodyDiv w:val="1"/>
      <w:marLeft w:val="0"/>
      <w:marRight w:val="0"/>
      <w:marTop w:val="0"/>
      <w:marBottom w:val="0"/>
      <w:divBdr>
        <w:top w:val="none" w:sz="0" w:space="0" w:color="auto"/>
        <w:left w:val="none" w:sz="0" w:space="0" w:color="auto"/>
        <w:bottom w:val="none" w:sz="0" w:space="0" w:color="auto"/>
        <w:right w:val="none" w:sz="0" w:space="0" w:color="auto"/>
      </w:divBdr>
    </w:div>
    <w:div w:id="1432552911">
      <w:bodyDiv w:val="1"/>
      <w:marLeft w:val="0"/>
      <w:marRight w:val="0"/>
      <w:marTop w:val="0"/>
      <w:marBottom w:val="0"/>
      <w:divBdr>
        <w:top w:val="none" w:sz="0" w:space="0" w:color="auto"/>
        <w:left w:val="none" w:sz="0" w:space="0" w:color="auto"/>
        <w:bottom w:val="none" w:sz="0" w:space="0" w:color="auto"/>
        <w:right w:val="none" w:sz="0" w:space="0" w:color="auto"/>
      </w:divBdr>
    </w:div>
    <w:div w:id="15543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data.europa.eu/eli/dir/2003/96/oj" TargetMode="Externa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data.europa.eu/eli/reg/2023/2854/oj" TargetMode="Externa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hyperlink" Target="https://myintracomm.ec.europa.eu/corp/budget/financial-rules/budget-implementation/Pages/financial-statement.aspx" TargetMode="Externa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10.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8" Type="http://schemas.openxmlformats.org/officeDocument/2006/relationships/hyperlink" Target="https://web-assets.bcg.com/f5/79/77645d12463793d174af9ae00d4a/mind-the-queue-connection-reform-for-the-electricity-grid-r2.pdf" TargetMode="External"/><Relationship Id="rId3" Type="http://schemas.openxmlformats.org/officeDocument/2006/relationships/hyperlink" Target="https://acer.europa.eu/sites/default/files/documents/Reports/2025-ACER-Electricity-Network-Tariff-Practices.pdf" TargetMode="External"/><Relationship Id="rId7" Type="http://schemas.openxmlformats.org/officeDocument/2006/relationships/hyperlink" Target="https://op.europa.eu/en/publication-detail/-/publication/08843617-9cf8-11f0-97c8-01aa75ed71a1" TargetMode="External"/><Relationship Id="rId2" Type="http://schemas.openxmlformats.org/officeDocument/2006/relationships/hyperlink" Target="https://op.europa.eu/en/publication-detail/-/publication/08843617-9cf8-11f0-97c8-01aa75ed71a1" TargetMode="External"/><Relationship Id="rId1" Type="http://schemas.openxmlformats.org/officeDocument/2006/relationships/hyperlink" Target="https://www.acer.europa.eu/sites/default/files/documents/Publications/ACER_2024_Monitoring_Electricity_Infrastructure.pdf" TargetMode="External"/><Relationship Id="rId6" Type="http://schemas.openxmlformats.org/officeDocument/2006/relationships/hyperlink" Target="https://ec.europa.eu/commission/presscorner/detail/en/qanda_26_902" TargetMode="External"/><Relationship Id="rId11" Type="http://schemas.openxmlformats.org/officeDocument/2006/relationships/hyperlink" Target="http://data.europa.eu/eli/dir/2003/96/oj" TargetMode="External"/><Relationship Id="rId5" Type="http://schemas.openxmlformats.org/officeDocument/2006/relationships/hyperlink" Target="https://energy.ec.europa.eu/document/download/7fac9eea-5717-4182-a368-bd68c427ff4c_en?filename=Communication.pdf" TargetMode="External"/><Relationship Id="rId10" Type="http://schemas.openxmlformats.org/officeDocument/2006/relationships/hyperlink" Target="http://data.europa.eu/eli/reg/2019/881/oj" TargetMode="External"/><Relationship Id="rId4" Type="http://schemas.openxmlformats.org/officeDocument/2006/relationships/hyperlink" Target="https://www.consilium.europa.eu/media/lwhk3itd/en-20260319-european-council-conclusions.pdf" TargetMode="External"/><Relationship Id="rId9" Type="http://schemas.openxmlformats.org/officeDocument/2006/relationships/hyperlink" Target="https://eur-lex.europa.eu/legal-content/EN/AUTO/?uri=OJ:L:2016:12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0AFA4-965A-4F62-BD00-CC7774F9C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29</Pages>
  <Words>33820</Words>
  <Characters>192775</Characters>
  <Application>Microsoft Office Word</Application>
  <DocSecurity>0</DocSecurity>
  <Lines>1606</Lines>
  <Paragraphs>452</Paragraphs>
  <ScaleCrop>false</ScaleCrop>
  <Manager/>
  <Company/>
  <LinksUpToDate>false</LinksUpToDate>
  <CharactersWithSpaces>226143</CharactersWithSpaces>
  <SharedDoc>false</SharedDoc>
  <HLinks>
    <vt:vector size="330" baseType="variant">
      <vt:variant>
        <vt:i4>458767</vt:i4>
      </vt:variant>
      <vt:variant>
        <vt:i4>255</vt:i4>
      </vt:variant>
      <vt:variant>
        <vt:i4>0</vt:i4>
      </vt:variant>
      <vt:variant>
        <vt:i4>5</vt:i4>
      </vt:variant>
      <vt:variant>
        <vt:lpwstr>https://myintracomm.ec.europa.eu/corp/budget/financial-rules/budget-implementation/Pages/financial-statement.aspx</vt:lpwstr>
      </vt:variant>
      <vt:variant>
        <vt:lpwstr/>
      </vt:variant>
      <vt:variant>
        <vt:i4>1048631</vt:i4>
      </vt:variant>
      <vt:variant>
        <vt:i4>248</vt:i4>
      </vt:variant>
      <vt:variant>
        <vt:i4>0</vt:i4>
      </vt:variant>
      <vt:variant>
        <vt:i4>5</vt:i4>
      </vt:variant>
      <vt:variant>
        <vt:lpwstr/>
      </vt:variant>
      <vt:variant>
        <vt:lpwstr>_Toc234245534</vt:lpwstr>
      </vt:variant>
      <vt:variant>
        <vt:i4>1048631</vt:i4>
      </vt:variant>
      <vt:variant>
        <vt:i4>242</vt:i4>
      </vt:variant>
      <vt:variant>
        <vt:i4>0</vt:i4>
      </vt:variant>
      <vt:variant>
        <vt:i4>5</vt:i4>
      </vt:variant>
      <vt:variant>
        <vt:lpwstr/>
      </vt:variant>
      <vt:variant>
        <vt:lpwstr>_Toc234245533</vt:lpwstr>
      </vt:variant>
      <vt:variant>
        <vt:i4>1048631</vt:i4>
      </vt:variant>
      <vt:variant>
        <vt:i4>236</vt:i4>
      </vt:variant>
      <vt:variant>
        <vt:i4>0</vt:i4>
      </vt:variant>
      <vt:variant>
        <vt:i4>5</vt:i4>
      </vt:variant>
      <vt:variant>
        <vt:lpwstr/>
      </vt:variant>
      <vt:variant>
        <vt:lpwstr>_Toc234245532</vt:lpwstr>
      </vt:variant>
      <vt:variant>
        <vt:i4>1048631</vt:i4>
      </vt:variant>
      <vt:variant>
        <vt:i4>230</vt:i4>
      </vt:variant>
      <vt:variant>
        <vt:i4>0</vt:i4>
      </vt:variant>
      <vt:variant>
        <vt:i4>5</vt:i4>
      </vt:variant>
      <vt:variant>
        <vt:lpwstr/>
      </vt:variant>
      <vt:variant>
        <vt:lpwstr>_Toc234245531</vt:lpwstr>
      </vt:variant>
      <vt:variant>
        <vt:i4>1048631</vt:i4>
      </vt:variant>
      <vt:variant>
        <vt:i4>224</vt:i4>
      </vt:variant>
      <vt:variant>
        <vt:i4>0</vt:i4>
      </vt:variant>
      <vt:variant>
        <vt:i4>5</vt:i4>
      </vt:variant>
      <vt:variant>
        <vt:lpwstr/>
      </vt:variant>
      <vt:variant>
        <vt:lpwstr>_Toc234245530</vt:lpwstr>
      </vt:variant>
      <vt:variant>
        <vt:i4>1114167</vt:i4>
      </vt:variant>
      <vt:variant>
        <vt:i4>218</vt:i4>
      </vt:variant>
      <vt:variant>
        <vt:i4>0</vt:i4>
      </vt:variant>
      <vt:variant>
        <vt:i4>5</vt:i4>
      </vt:variant>
      <vt:variant>
        <vt:lpwstr/>
      </vt:variant>
      <vt:variant>
        <vt:lpwstr>_Toc234245529</vt:lpwstr>
      </vt:variant>
      <vt:variant>
        <vt:i4>1114167</vt:i4>
      </vt:variant>
      <vt:variant>
        <vt:i4>212</vt:i4>
      </vt:variant>
      <vt:variant>
        <vt:i4>0</vt:i4>
      </vt:variant>
      <vt:variant>
        <vt:i4>5</vt:i4>
      </vt:variant>
      <vt:variant>
        <vt:lpwstr/>
      </vt:variant>
      <vt:variant>
        <vt:lpwstr>_Toc234245528</vt:lpwstr>
      </vt:variant>
      <vt:variant>
        <vt:i4>1114167</vt:i4>
      </vt:variant>
      <vt:variant>
        <vt:i4>206</vt:i4>
      </vt:variant>
      <vt:variant>
        <vt:i4>0</vt:i4>
      </vt:variant>
      <vt:variant>
        <vt:i4>5</vt:i4>
      </vt:variant>
      <vt:variant>
        <vt:lpwstr/>
      </vt:variant>
      <vt:variant>
        <vt:lpwstr>_Toc234245527</vt:lpwstr>
      </vt:variant>
      <vt:variant>
        <vt:i4>1114167</vt:i4>
      </vt:variant>
      <vt:variant>
        <vt:i4>200</vt:i4>
      </vt:variant>
      <vt:variant>
        <vt:i4>0</vt:i4>
      </vt:variant>
      <vt:variant>
        <vt:i4>5</vt:i4>
      </vt:variant>
      <vt:variant>
        <vt:lpwstr/>
      </vt:variant>
      <vt:variant>
        <vt:lpwstr>_Toc234245526</vt:lpwstr>
      </vt:variant>
      <vt:variant>
        <vt:i4>1114167</vt:i4>
      </vt:variant>
      <vt:variant>
        <vt:i4>194</vt:i4>
      </vt:variant>
      <vt:variant>
        <vt:i4>0</vt:i4>
      </vt:variant>
      <vt:variant>
        <vt:i4>5</vt:i4>
      </vt:variant>
      <vt:variant>
        <vt:lpwstr/>
      </vt:variant>
      <vt:variant>
        <vt:lpwstr>_Toc234245525</vt:lpwstr>
      </vt:variant>
      <vt:variant>
        <vt:i4>1114167</vt:i4>
      </vt:variant>
      <vt:variant>
        <vt:i4>188</vt:i4>
      </vt:variant>
      <vt:variant>
        <vt:i4>0</vt:i4>
      </vt:variant>
      <vt:variant>
        <vt:i4>5</vt:i4>
      </vt:variant>
      <vt:variant>
        <vt:lpwstr/>
      </vt:variant>
      <vt:variant>
        <vt:lpwstr>_Toc234245524</vt:lpwstr>
      </vt:variant>
      <vt:variant>
        <vt:i4>1114167</vt:i4>
      </vt:variant>
      <vt:variant>
        <vt:i4>182</vt:i4>
      </vt:variant>
      <vt:variant>
        <vt:i4>0</vt:i4>
      </vt:variant>
      <vt:variant>
        <vt:i4>5</vt:i4>
      </vt:variant>
      <vt:variant>
        <vt:lpwstr/>
      </vt:variant>
      <vt:variant>
        <vt:lpwstr>_Toc234245523</vt:lpwstr>
      </vt:variant>
      <vt:variant>
        <vt:i4>1114167</vt:i4>
      </vt:variant>
      <vt:variant>
        <vt:i4>176</vt:i4>
      </vt:variant>
      <vt:variant>
        <vt:i4>0</vt:i4>
      </vt:variant>
      <vt:variant>
        <vt:i4>5</vt:i4>
      </vt:variant>
      <vt:variant>
        <vt:lpwstr/>
      </vt:variant>
      <vt:variant>
        <vt:lpwstr>_Toc234245522</vt:lpwstr>
      </vt:variant>
      <vt:variant>
        <vt:i4>1114167</vt:i4>
      </vt:variant>
      <vt:variant>
        <vt:i4>170</vt:i4>
      </vt:variant>
      <vt:variant>
        <vt:i4>0</vt:i4>
      </vt:variant>
      <vt:variant>
        <vt:i4>5</vt:i4>
      </vt:variant>
      <vt:variant>
        <vt:lpwstr/>
      </vt:variant>
      <vt:variant>
        <vt:lpwstr>_Toc234245521</vt:lpwstr>
      </vt:variant>
      <vt:variant>
        <vt:i4>1114167</vt:i4>
      </vt:variant>
      <vt:variant>
        <vt:i4>164</vt:i4>
      </vt:variant>
      <vt:variant>
        <vt:i4>0</vt:i4>
      </vt:variant>
      <vt:variant>
        <vt:i4>5</vt:i4>
      </vt:variant>
      <vt:variant>
        <vt:lpwstr/>
      </vt:variant>
      <vt:variant>
        <vt:lpwstr>_Toc234245520</vt:lpwstr>
      </vt:variant>
      <vt:variant>
        <vt:i4>1179703</vt:i4>
      </vt:variant>
      <vt:variant>
        <vt:i4>158</vt:i4>
      </vt:variant>
      <vt:variant>
        <vt:i4>0</vt:i4>
      </vt:variant>
      <vt:variant>
        <vt:i4>5</vt:i4>
      </vt:variant>
      <vt:variant>
        <vt:lpwstr/>
      </vt:variant>
      <vt:variant>
        <vt:lpwstr>_Toc234245519</vt:lpwstr>
      </vt:variant>
      <vt:variant>
        <vt:i4>1179703</vt:i4>
      </vt:variant>
      <vt:variant>
        <vt:i4>152</vt:i4>
      </vt:variant>
      <vt:variant>
        <vt:i4>0</vt:i4>
      </vt:variant>
      <vt:variant>
        <vt:i4>5</vt:i4>
      </vt:variant>
      <vt:variant>
        <vt:lpwstr/>
      </vt:variant>
      <vt:variant>
        <vt:lpwstr>_Toc234245518</vt:lpwstr>
      </vt:variant>
      <vt:variant>
        <vt:i4>1179703</vt:i4>
      </vt:variant>
      <vt:variant>
        <vt:i4>146</vt:i4>
      </vt:variant>
      <vt:variant>
        <vt:i4>0</vt:i4>
      </vt:variant>
      <vt:variant>
        <vt:i4>5</vt:i4>
      </vt:variant>
      <vt:variant>
        <vt:lpwstr/>
      </vt:variant>
      <vt:variant>
        <vt:lpwstr>_Toc234245517</vt:lpwstr>
      </vt:variant>
      <vt:variant>
        <vt:i4>1179703</vt:i4>
      </vt:variant>
      <vt:variant>
        <vt:i4>140</vt:i4>
      </vt:variant>
      <vt:variant>
        <vt:i4>0</vt:i4>
      </vt:variant>
      <vt:variant>
        <vt:i4>5</vt:i4>
      </vt:variant>
      <vt:variant>
        <vt:lpwstr/>
      </vt:variant>
      <vt:variant>
        <vt:lpwstr>_Toc234245516</vt:lpwstr>
      </vt:variant>
      <vt:variant>
        <vt:i4>1179703</vt:i4>
      </vt:variant>
      <vt:variant>
        <vt:i4>134</vt:i4>
      </vt:variant>
      <vt:variant>
        <vt:i4>0</vt:i4>
      </vt:variant>
      <vt:variant>
        <vt:i4>5</vt:i4>
      </vt:variant>
      <vt:variant>
        <vt:lpwstr/>
      </vt:variant>
      <vt:variant>
        <vt:lpwstr>_Toc234245515</vt:lpwstr>
      </vt:variant>
      <vt:variant>
        <vt:i4>1179703</vt:i4>
      </vt:variant>
      <vt:variant>
        <vt:i4>128</vt:i4>
      </vt:variant>
      <vt:variant>
        <vt:i4>0</vt:i4>
      </vt:variant>
      <vt:variant>
        <vt:i4>5</vt:i4>
      </vt:variant>
      <vt:variant>
        <vt:lpwstr/>
      </vt:variant>
      <vt:variant>
        <vt:lpwstr>_Toc234245514</vt:lpwstr>
      </vt:variant>
      <vt:variant>
        <vt:i4>1179703</vt:i4>
      </vt:variant>
      <vt:variant>
        <vt:i4>122</vt:i4>
      </vt:variant>
      <vt:variant>
        <vt:i4>0</vt:i4>
      </vt:variant>
      <vt:variant>
        <vt:i4>5</vt:i4>
      </vt:variant>
      <vt:variant>
        <vt:lpwstr/>
      </vt:variant>
      <vt:variant>
        <vt:lpwstr>_Toc234245513</vt:lpwstr>
      </vt:variant>
      <vt:variant>
        <vt:i4>1179703</vt:i4>
      </vt:variant>
      <vt:variant>
        <vt:i4>116</vt:i4>
      </vt:variant>
      <vt:variant>
        <vt:i4>0</vt:i4>
      </vt:variant>
      <vt:variant>
        <vt:i4>5</vt:i4>
      </vt:variant>
      <vt:variant>
        <vt:lpwstr/>
      </vt:variant>
      <vt:variant>
        <vt:lpwstr>_Toc234245512</vt:lpwstr>
      </vt:variant>
      <vt:variant>
        <vt:i4>1179703</vt:i4>
      </vt:variant>
      <vt:variant>
        <vt:i4>110</vt:i4>
      </vt:variant>
      <vt:variant>
        <vt:i4>0</vt:i4>
      </vt:variant>
      <vt:variant>
        <vt:i4>5</vt:i4>
      </vt:variant>
      <vt:variant>
        <vt:lpwstr/>
      </vt:variant>
      <vt:variant>
        <vt:lpwstr>_Toc234245511</vt:lpwstr>
      </vt:variant>
      <vt:variant>
        <vt:i4>1179703</vt:i4>
      </vt:variant>
      <vt:variant>
        <vt:i4>104</vt:i4>
      </vt:variant>
      <vt:variant>
        <vt:i4>0</vt:i4>
      </vt:variant>
      <vt:variant>
        <vt:i4>5</vt:i4>
      </vt:variant>
      <vt:variant>
        <vt:lpwstr/>
      </vt:variant>
      <vt:variant>
        <vt:lpwstr>_Toc234245510</vt:lpwstr>
      </vt:variant>
      <vt:variant>
        <vt:i4>1245239</vt:i4>
      </vt:variant>
      <vt:variant>
        <vt:i4>98</vt:i4>
      </vt:variant>
      <vt:variant>
        <vt:i4>0</vt:i4>
      </vt:variant>
      <vt:variant>
        <vt:i4>5</vt:i4>
      </vt:variant>
      <vt:variant>
        <vt:lpwstr/>
      </vt:variant>
      <vt:variant>
        <vt:lpwstr>_Toc234245509</vt:lpwstr>
      </vt:variant>
      <vt:variant>
        <vt:i4>1245239</vt:i4>
      </vt:variant>
      <vt:variant>
        <vt:i4>92</vt:i4>
      </vt:variant>
      <vt:variant>
        <vt:i4>0</vt:i4>
      </vt:variant>
      <vt:variant>
        <vt:i4>5</vt:i4>
      </vt:variant>
      <vt:variant>
        <vt:lpwstr/>
      </vt:variant>
      <vt:variant>
        <vt:lpwstr>_Toc234245508</vt:lpwstr>
      </vt:variant>
      <vt:variant>
        <vt:i4>1245239</vt:i4>
      </vt:variant>
      <vt:variant>
        <vt:i4>86</vt:i4>
      </vt:variant>
      <vt:variant>
        <vt:i4>0</vt:i4>
      </vt:variant>
      <vt:variant>
        <vt:i4>5</vt:i4>
      </vt:variant>
      <vt:variant>
        <vt:lpwstr/>
      </vt:variant>
      <vt:variant>
        <vt:lpwstr>_Toc234245507</vt:lpwstr>
      </vt:variant>
      <vt:variant>
        <vt:i4>1245239</vt:i4>
      </vt:variant>
      <vt:variant>
        <vt:i4>80</vt:i4>
      </vt:variant>
      <vt:variant>
        <vt:i4>0</vt:i4>
      </vt:variant>
      <vt:variant>
        <vt:i4>5</vt:i4>
      </vt:variant>
      <vt:variant>
        <vt:lpwstr/>
      </vt:variant>
      <vt:variant>
        <vt:lpwstr>_Toc234245506</vt:lpwstr>
      </vt:variant>
      <vt:variant>
        <vt:i4>1245239</vt:i4>
      </vt:variant>
      <vt:variant>
        <vt:i4>74</vt:i4>
      </vt:variant>
      <vt:variant>
        <vt:i4>0</vt:i4>
      </vt:variant>
      <vt:variant>
        <vt:i4>5</vt:i4>
      </vt:variant>
      <vt:variant>
        <vt:lpwstr/>
      </vt:variant>
      <vt:variant>
        <vt:lpwstr>_Toc234245505</vt:lpwstr>
      </vt:variant>
      <vt:variant>
        <vt:i4>1245239</vt:i4>
      </vt:variant>
      <vt:variant>
        <vt:i4>68</vt:i4>
      </vt:variant>
      <vt:variant>
        <vt:i4>0</vt:i4>
      </vt:variant>
      <vt:variant>
        <vt:i4>5</vt:i4>
      </vt:variant>
      <vt:variant>
        <vt:lpwstr/>
      </vt:variant>
      <vt:variant>
        <vt:lpwstr>_Toc234245504</vt:lpwstr>
      </vt:variant>
      <vt:variant>
        <vt:i4>1245239</vt:i4>
      </vt:variant>
      <vt:variant>
        <vt:i4>62</vt:i4>
      </vt:variant>
      <vt:variant>
        <vt:i4>0</vt:i4>
      </vt:variant>
      <vt:variant>
        <vt:i4>5</vt:i4>
      </vt:variant>
      <vt:variant>
        <vt:lpwstr/>
      </vt:variant>
      <vt:variant>
        <vt:lpwstr>_Toc234245503</vt:lpwstr>
      </vt:variant>
      <vt:variant>
        <vt:i4>1245239</vt:i4>
      </vt:variant>
      <vt:variant>
        <vt:i4>56</vt:i4>
      </vt:variant>
      <vt:variant>
        <vt:i4>0</vt:i4>
      </vt:variant>
      <vt:variant>
        <vt:i4>5</vt:i4>
      </vt:variant>
      <vt:variant>
        <vt:lpwstr/>
      </vt:variant>
      <vt:variant>
        <vt:lpwstr>_Toc234245502</vt:lpwstr>
      </vt:variant>
      <vt:variant>
        <vt:i4>1245239</vt:i4>
      </vt:variant>
      <vt:variant>
        <vt:i4>50</vt:i4>
      </vt:variant>
      <vt:variant>
        <vt:i4>0</vt:i4>
      </vt:variant>
      <vt:variant>
        <vt:i4>5</vt:i4>
      </vt:variant>
      <vt:variant>
        <vt:lpwstr/>
      </vt:variant>
      <vt:variant>
        <vt:lpwstr>_Toc234245501</vt:lpwstr>
      </vt:variant>
      <vt:variant>
        <vt:i4>1245239</vt:i4>
      </vt:variant>
      <vt:variant>
        <vt:i4>44</vt:i4>
      </vt:variant>
      <vt:variant>
        <vt:i4>0</vt:i4>
      </vt:variant>
      <vt:variant>
        <vt:i4>5</vt:i4>
      </vt:variant>
      <vt:variant>
        <vt:lpwstr/>
      </vt:variant>
      <vt:variant>
        <vt:lpwstr>_Toc234245500</vt:lpwstr>
      </vt:variant>
      <vt:variant>
        <vt:i4>1703990</vt:i4>
      </vt:variant>
      <vt:variant>
        <vt:i4>38</vt:i4>
      </vt:variant>
      <vt:variant>
        <vt:i4>0</vt:i4>
      </vt:variant>
      <vt:variant>
        <vt:i4>5</vt:i4>
      </vt:variant>
      <vt:variant>
        <vt:lpwstr/>
      </vt:variant>
      <vt:variant>
        <vt:lpwstr>_Toc234245499</vt:lpwstr>
      </vt:variant>
      <vt:variant>
        <vt:i4>1703990</vt:i4>
      </vt:variant>
      <vt:variant>
        <vt:i4>32</vt:i4>
      </vt:variant>
      <vt:variant>
        <vt:i4>0</vt:i4>
      </vt:variant>
      <vt:variant>
        <vt:i4>5</vt:i4>
      </vt:variant>
      <vt:variant>
        <vt:lpwstr/>
      </vt:variant>
      <vt:variant>
        <vt:lpwstr>_Toc234245498</vt:lpwstr>
      </vt:variant>
      <vt:variant>
        <vt:i4>1703990</vt:i4>
      </vt:variant>
      <vt:variant>
        <vt:i4>26</vt:i4>
      </vt:variant>
      <vt:variant>
        <vt:i4>0</vt:i4>
      </vt:variant>
      <vt:variant>
        <vt:i4>5</vt:i4>
      </vt:variant>
      <vt:variant>
        <vt:lpwstr/>
      </vt:variant>
      <vt:variant>
        <vt:lpwstr>_Toc234245497</vt:lpwstr>
      </vt:variant>
      <vt:variant>
        <vt:i4>1703990</vt:i4>
      </vt:variant>
      <vt:variant>
        <vt:i4>20</vt:i4>
      </vt:variant>
      <vt:variant>
        <vt:i4>0</vt:i4>
      </vt:variant>
      <vt:variant>
        <vt:i4>5</vt:i4>
      </vt:variant>
      <vt:variant>
        <vt:lpwstr/>
      </vt:variant>
      <vt:variant>
        <vt:lpwstr>_Toc234245496</vt:lpwstr>
      </vt:variant>
      <vt:variant>
        <vt:i4>1703990</vt:i4>
      </vt:variant>
      <vt:variant>
        <vt:i4>14</vt:i4>
      </vt:variant>
      <vt:variant>
        <vt:i4>0</vt:i4>
      </vt:variant>
      <vt:variant>
        <vt:i4>5</vt:i4>
      </vt:variant>
      <vt:variant>
        <vt:lpwstr/>
      </vt:variant>
      <vt:variant>
        <vt:lpwstr>_Toc234245495</vt:lpwstr>
      </vt:variant>
      <vt:variant>
        <vt:i4>1703990</vt:i4>
      </vt:variant>
      <vt:variant>
        <vt:i4>8</vt:i4>
      </vt:variant>
      <vt:variant>
        <vt:i4>0</vt:i4>
      </vt:variant>
      <vt:variant>
        <vt:i4>5</vt:i4>
      </vt:variant>
      <vt:variant>
        <vt:lpwstr/>
      </vt:variant>
      <vt:variant>
        <vt:lpwstr>_Toc234245494</vt:lpwstr>
      </vt:variant>
      <vt:variant>
        <vt:i4>6160475</vt:i4>
      </vt:variant>
      <vt:variant>
        <vt:i4>3</vt:i4>
      </vt:variant>
      <vt:variant>
        <vt:i4>0</vt:i4>
      </vt:variant>
      <vt:variant>
        <vt:i4>5</vt:i4>
      </vt:variant>
      <vt:variant>
        <vt:lpwstr>http://data.europa.eu/eli/dir/2003/96/oj</vt:lpwstr>
      </vt:variant>
      <vt:variant>
        <vt:lpwstr/>
      </vt:variant>
      <vt:variant>
        <vt:i4>7077984</vt:i4>
      </vt:variant>
      <vt:variant>
        <vt:i4>0</vt:i4>
      </vt:variant>
      <vt:variant>
        <vt:i4>0</vt:i4>
      </vt:variant>
      <vt:variant>
        <vt:i4>5</vt:i4>
      </vt:variant>
      <vt:variant>
        <vt:lpwstr>http://data.europa.eu/eli/reg/2023/2854/oj</vt:lpwstr>
      </vt:variant>
      <vt:variant>
        <vt:lpwstr/>
      </vt:variant>
      <vt:variant>
        <vt:i4>6160475</vt:i4>
      </vt:variant>
      <vt:variant>
        <vt:i4>30</vt:i4>
      </vt:variant>
      <vt:variant>
        <vt:i4>0</vt:i4>
      </vt:variant>
      <vt:variant>
        <vt:i4>5</vt:i4>
      </vt:variant>
      <vt:variant>
        <vt:lpwstr>http://data.europa.eu/eli/dir/2003/96/oj</vt:lpwstr>
      </vt:variant>
      <vt:variant>
        <vt:lpwstr/>
      </vt:variant>
      <vt:variant>
        <vt:i4>4325399</vt:i4>
      </vt:variant>
      <vt:variant>
        <vt:i4>27</vt:i4>
      </vt:variant>
      <vt:variant>
        <vt:i4>0</vt:i4>
      </vt:variant>
      <vt:variant>
        <vt:i4>5</vt:i4>
      </vt:variant>
      <vt:variant>
        <vt:lpwstr>http://data.europa.eu/eli/reg/2019/881/oj</vt:lpwstr>
      </vt:variant>
      <vt:variant>
        <vt:lpwstr/>
      </vt:variant>
      <vt:variant>
        <vt:i4>7602300</vt:i4>
      </vt:variant>
      <vt:variant>
        <vt:i4>24</vt:i4>
      </vt:variant>
      <vt:variant>
        <vt:i4>0</vt:i4>
      </vt:variant>
      <vt:variant>
        <vt:i4>5</vt:i4>
      </vt:variant>
      <vt:variant>
        <vt:lpwstr>https://eur-lex.europa.eu/legal-content/EN/AUTO/?uri=OJ:L:2016:123:TOC</vt:lpwstr>
      </vt:variant>
      <vt:variant>
        <vt:lpwstr/>
      </vt:variant>
      <vt:variant>
        <vt:i4>6422635</vt:i4>
      </vt:variant>
      <vt:variant>
        <vt:i4>21</vt:i4>
      </vt:variant>
      <vt:variant>
        <vt:i4>0</vt:i4>
      </vt:variant>
      <vt:variant>
        <vt:i4>5</vt:i4>
      </vt:variant>
      <vt:variant>
        <vt:lpwstr>https://web-assets.bcg.com/f5/79/77645d12463793d174af9ae00d4a/mind-the-queue-connection-reform-for-the-electricity-grid-r2.pdf</vt:lpwstr>
      </vt:variant>
      <vt:variant>
        <vt:lpwstr/>
      </vt:variant>
      <vt:variant>
        <vt:i4>6225997</vt:i4>
      </vt:variant>
      <vt:variant>
        <vt:i4>18</vt:i4>
      </vt:variant>
      <vt:variant>
        <vt:i4>0</vt:i4>
      </vt:variant>
      <vt:variant>
        <vt:i4>5</vt:i4>
      </vt:variant>
      <vt:variant>
        <vt:lpwstr>https://op.europa.eu/en/publication-detail/-/publication/08843617-9cf8-11f0-97c8-01aa75ed71a1</vt:lpwstr>
      </vt:variant>
      <vt:variant>
        <vt:lpwstr/>
      </vt:variant>
      <vt:variant>
        <vt:i4>327746</vt:i4>
      </vt:variant>
      <vt:variant>
        <vt:i4>15</vt:i4>
      </vt:variant>
      <vt:variant>
        <vt:i4>0</vt:i4>
      </vt:variant>
      <vt:variant>
        <vt:i4>5</vt:i4>
      </vt:variant>
      <vt:variant>
        <vt:lpwstr>https://ec.europa.eu/commission/presscorner/detail/en/qanda_26_902</vt:lpwstr>
      </vt:variant>
      <vt:variant>
        <vt:lpwstr/>
      </vt:variant>
      <vt:variant>
        <vt:i4>983158</vt:i4>
      </vt:variant>
      <vt:variant>
        <vt:i4>12</vt:i4>
      </vt:variant>
      <vt:variant>
        <vt:i4>0</vt:i4>
      </vt:variant>
      <vt:variant>
        <vt:i4>5</vt:i4>
      </vt:variant>
      <vt:variant>
        <vt:lpwstr>https://energy.ec.europa.eu/document/download/7fac9eea-5717-4182-a368-bd68c427ff4c_en?filename=Communication.pdf</vt:lpwstr>
      </vt:variant>
      <vt:variant>
        <vt:lpwstr/>
      </vt:variant>
      <vt:variant>
        <vt:i4>8257580</vt:i4>
      </vt:variant>
      <vt:variant>
        <vt:i4>9</vt:i4>
      </vt:variant>
      <vt:variant>
        <vt:i4>0</vt:i4>
      </vt:variant>
      <vt:variant>
        <vt:i4>5</vt:i4>
      </vt:variant>
      <vt:variant>
        <vt:lpwstr>https://www.consilium.europa.eu/media/lwhk3itd/en-20260319-european-council-conclusions.pdf</vt:lpwstr>
      </vt:variant>
      <vt:variant>
        <vt:lpwstr/>
      </vt:variant>
      <vt:variant>
        <vt:i4>7536676</vt:i4>
      </vt:variant>
      <vt:variant>
        <vt:i4>6</vt:i4>
      </vt:variant>
      <vt:variant>
        <vt:i4>0</vt:i4>
      </vt:variant>
      <vt:variant>
        <vt:i4>5</vt:i4>
      </vt:variant>
      <vt:variant>
        <vt:lpwstr>https://acer.europa.eu/sites/default/files/documents/Reports/2025-ACER-Electricity-Network-Tariff-Practices.pdf</vt:lpwstr>
      </vt:variant>
      <vt:variant>
        <vt:lpwstr/>
      </vt:variant>
      <vt:variant>
        <vt:i4>6225997</vt:i4>
      </vt:variant>
      <vt:variant>
        <vt:i4>3</vt:i4>
      </vt:variant>
      <vt:variant>
        <vt:i4>0</vt:i4>
      </vt:variant>
      <vt:variant>
        <vt:i4>5</vt:i4>
      </vt:variant>
      <vt:variant>
        <vt:lpwstr>https://op.europa.eu/en/publication-detail/-/publication/08843617-9cf8-11f0-97c8-01aa75ed71a1</vt:lpwstr>
      </vt:variant>
      <vt:variant>
        <vt:lpwstr/>
      </vt:variant>
      <vt:variant>
        <vt:i4>2687082</vt:i4>
      </vt:variant>
      <vt:variant>
        <vt:i4>0</vt:i4>
      </vt:variant>
      <vt:variant>
        <vt:i4>0</vt:i4>
      </vt:variant>
      <vt:variant>
        <vt:i4>5</vt:i4>
      </vt:variant>
      <vt:variant>
        <vt:lpwstr>https://www.acer.europa.eu/sites/default/files/documents/Publications/ACER_2024_Monitoring_Electricity_Infrastructure.pdf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2026-07-16T07:37:00Z</dcterms:created>
  <dcterms:modified xsi:type="dcterms:W3CDTF">2026-07-16T18:23:00Z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2026-07-16T07:26:20Z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aa647f52-0e69-4a22-b75f-d75f877686a8</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SJ-023</vt:lpwstr>
  </property>
</Properties>
</file>