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8E4EE" w14:textId="4FA0A9DB" w:rsidR="00237E99" w:rsidRDefault="004C7668" w:rsidP="004C7668">
      <w:pPr>
        <w:pStyle w:val="Pagedecouverture"/>
        <w:rPr>
          <w:noProof/>
          <w:lang w:val="en-GB"/>
        </w:rPr>
      </w:pPr>
      <w:bookmarkStart w:id="0" w:name="_Hlk196397814"/>
      <w:bookmarkStart w:id="1" w:name="LW_BM_COVERPAGE"/>
      <w:r>
        <w:rPr>
          <w:noProof/>
          <w:lang w:val="en-GB"/>
        </w:rPr>
        <w:pict w14:anchorId="08463A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1A5EDA2-CFCF-4532-96E3-A86DF50221E6" style="width:455.25pt;height:313.5pt">
            <v:imagedata r:id="rId8" o:title=""/>
          </v:shape>
        </w:pict>
      </w:r>
    </w:p>
    <w:bookmarkEnd w:id="1"/>
    <w:p w14:paraId="4D52DFB0" w14:textId="6348EE29" w:rsidR="00364AF2" w:rsidRPr="00364AF2" w:rsidRDefault="00364AF2" w:rsidP="00364AF2">
      <w:pPr>
        <w:pStyle w:val="Pagedecouverture"/>
        <w:rPr>
          <w:noProof/>
          <w:lang w:val="en-GB"/>
        </w:rPr>
        <w:sectPr w:rsidR="00364AF2" w:rsidRPr="00364AF2" w:rsidSect="004C766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4AE4B6D" w14:textId="3D906ED0" w:rsidR="00495182" w:rsidRPr="00495182" w:rsidRDefault="00495182" w:rsidP="00495182">
      <w:pPr>
        <w:pStyle w:val="Typedudocument"/>
        <w:rPr>
          <w:noProof/>
          <w:lang w:val="en-US"/>
        </w:rPr>
      </w:pPr>
      <w:bookmarkStart w:id="2" w:name="_GoBack"/>
      <w:bookmarkEnd w:id="2"/>
      <w:r w:rsidRPr="00495182">
        <w:rPr>
          <w:noProof/>
          <w:lang w:val="en-US"/>
        </w:rPr>
        <w:lastRenderedPageBreak/>
        <w:t>REPORT FROM THE COMMISSION TO THE EUROPEAN PARLIAMENT AND THE COUNCIL</w:t>
      </w:r>
    </w:p>
    <w:p w14:paraId="26D1BCFB" w14:textId="71CF35D9" w:rsidR="00495182" w:rsidRPr="00495182" w:rsidRDefault="00495182" w:rsidP="00495182">
      <w:pPr>
        <w:pStyle w:val="Titreobjet"/>
        <w:rPr>
          <w:noProof/>
          <w:lang w:val="en-US"/>
        </w:rPr>
      </w:pPr>
      <w:r w:rsidRPr="00495182">
        <w:rPr>
          <w:noProof/>
          <w:lang w:val="en-US"/>
        </w:rPr>
        <w:t xml:space="preserve">on the exercise of the delegation conferred to the Commission pursuant to </w:t>
      </w:r>
      <w:r w:rsidRPr="00495182">
        <w:rPr>
          <w:noProof/>
          <w:lang w:val="en-US"/>
        </w:rPr>
        <w:br/>
        <w:t>Article 31 of Regulation (EU) 2015/2283 on novel foods</w:t>
      </w:r>
      <w:r w:rsidRPr="00495182">
        <w:rPr>
          <w:noProof/>
          <w:lang w:val="en-US"/>
        </w:rPr>
        <w:br/>
      </w:r>
    </w:p>
    <w:p w14:paraId="01305BF2" w14:textId="371474CD" w:rsidR="004B11CE" w:rsidRPr="00AB675C" w:rsidRDefault="004B11CE" w:rsidP="00AB675C">
      <w:pPr>
        <w:rPr>
          <w:i/>
          <w:iCs/>
          <w:noProof/>
          <w:lang w:val="en-IE"/>
        </w:rPr>
      </w:pPr>
      <w:r>
        <w:rPr>
          <w:i/>
          <w:iCs/>
          <w:noProof/>
          <w:lang w:val="en-IE"/>
        </w:rPr>
        <w:t xml:space="preserve"> </w:t>
      </w:r>
    </w:p>
    <w:p w14:paraId="7B98FF8F" w14:textId="1A7FB2B3"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sidRPr="009B05C4">
        <w:rPr>
          <w:rFonts w:ascii="Times New Roman" w:hAnsi="Times New Roman" w:cs="Times New Roman"/>
          <w:b/>
          <w:bCs/>
          <w:smallCaps/>
          <w:noProof/>
          <w:color w:val="auto"/>
          <w:sz w:val="24"/>
          <w:szCs w:val="24"/>
        </w:rPr>
        <w:t>Introduction</w:t>
      </w:r>
    </w:p>
    <w:p w14:paraId="379114C0" w14:textId="507FABF9"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This report meets the obligation set for the Commission by Article 32(3) of Regulation (EU) 2015/2283 of the European Parliament and of the Council of 25 November 2015 on novel foods</w:t>
      </w:r>
      <w:r w:rsidRPr="00A67A8F">
        <w:rPr>
          <w:rStyle w:val="FootnoteReference"/>
          <w:rFonts w:ascii="Times New Roman" w:hAnsi="Times New Roman" w:cs="Times New Roman"/>
          <w:noProof/>
          <w:sz w:val="24"/>
          <w:szCs w:val="24"/>
          <w:lang w:val="en-IE"/>
        </w:rPr>
        <w:footnoteReference w:id="2"/>
      </w:r>
      <w:r w:rsidRPr="00A67A8F">
        <w:rPr>
          <w:rFonts w:ascii="Times New Roman" w:hAnsi="Times New Roman" w:cs="Times New Roman"/>
          <w:noProof/>
          <w:sz w:val="24"/>
          <w:szCs w:val="24"/>
          <w:lang w:val="en-IE"/>
        </w:rPr>
        <w:t xml:space="preserve"> (</w:t>
      </w:r>
      <w:r w:rsidR="00C75B6E" w:rsidRPr="00717F92">
        <w:rPr>
          <w:rFonts w:ascii="Times New Roman" w:hAnsi="Times New Roman" w:cs="Times New Roman"/>
          <w:noProof/>
          <w:sz w:val="24"/>
          <w:szCs w:val="24"/>
          <w:lang w:val="en-IE"/>
        </w:rPr>
        <w:t>‘</w:t>
      </w:r>
      <w:r w:rsidRPr="00A67A8F">
        <w:rPr>
          <w:rFonts w:ascii="Times New Roman" w:hAnsi="Times New Roman" w:cs="Times New Roman"/>
          <w:noProof/>
          <w:sz w:val="24"/>
          <w:szCs w:val="24"/>
          <w:lang w:val="en-IE"/>
        </w:rPr>
        <w:t>the Novel Foods Regulation</w:t>
      </w:r>
      <w:r w:rsidR="00C75B6E">
        <w:rPr>
          <w:rFonts w:ascii="Times New Roman" w:hAnsi="Times New Roman" w:cs="Times New Roman"/>
          <w:noProof/>
          <w:sz w:val="24"/>
          <w:szCs w:val="24"/>
          <w:lang w:val="en-IE"/>
        </w:rPr>
        <w:t>’</w:t>
      </w:r>
      <w:r w:rsidRPr="00A67A8F">
        <w:rPr>
          <w:rFonts w:ascii="Times New Roman" w:hAnsi="Times New Roman" w:cs="Times New Roman"/>
          <w:noProof/>
          <w:sz w:val="24"/>
          <w:szCs w:val="24"/>
          <w:lang w:val="en-IE"/>
        </w:rPr>
        <w:t>). The Novel Food</w:t>
      </w:r>
      <w:r w:rsidR="000534B5">
        <w:rPr>
          <w:rFonts w:ascii="Times New Roman" w:hAnsi="Times New Roman" w:cs="Times New Roman"/>
          <w:noProof/>
          <w:sz w:val="24"/>
          <w:szCs w:val="24"/>
          <w:lang w:val="en-IE"/>
        </w:rPr>
        <w:t>s</w:t>
      </w:r>
      <w:r w:rsidRPr="00A67A8F">
        <w:rPr>
          <w:rFonts w:ascii="Times New Roman" w:hAnsi="Times New Roman" w:cs="Times New Roman"/>
          <w:noProof/>
          <w:sz w:val="24"/>
          <w:szCs w:val="24"/>
          <w:lang w:val="en-IE"/>
        </w:rPr>
        <w:t xml:space="preserve"> Regulation establishes the general principles, requirements and responsibilities governing the authorisation of novel foods on the Union market, ensuring the effective functioning of the internal market while providing a high level of protection of human health and consumers</w:t>
      </w:r>
      <w:r w:rsidR="00C75B6E">
        <w:rPr>
          <w:rFonts w:ascii="Times New Roman" w:hAnsi="Times New Roman" w:cs="Times New Roman"/>
          <w:noProof/>
          <w:sz w:val="24"/>
          <w:szCs w:val="24"/>
          <w:lang w:val="en-IE"/>
        </w:rPr>
        <w:t>’</w:t>
      </w:r>
      <w:r w:rsidRPr="00A67A8F">
        <w:rPr>
          <w:rFonts w:ascii="Times New Roman" w:hAnsi="Times New Roman" w:cs="Times New Roman"/>
          <w:noProof/>
          <w:sz w:val="24"/>
          <w:szCs w:val="24"/>
          <w:lang w:val="en-IE"/>
        </w:rPr>
        <w:t xml:space="preserve"> interests.</w:t>
      </w:r>
    </w:p>
    <w:p w14:paraId="53D5D0B5" w14:textId="77777777" w:rsidR="00A67A8F" w:rsidRPr="00A67A8F" w:rsidRDefault="00A67A8F" w:rsidP="0026727B">
      <w:pPr>
        <w:spacing w:after="240"/>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Article 31 of the Novel Foods Regulation empowers the Commission to adopt delegated acts to adjust and adapt the definition of engineered nanomaterials referred to in point (f) of Article 3(2) to technical and scientific progress or to definitions agreed at international level.</w:t>
      </w:r>
    </w:p>
    <w:p w14:paraId="4CB48A1E" w14:textId="59F7D9B4"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sidRPr="009B05C4">
        <w:rPr>
          <w:rFonts w:ascii="Times New Roman" w:hAnsi="Times New Roman" w:cs="Times New Roman"/>
          <w:b/>
          <w:bCs/>
          <w:smallCaps/>
          <w:noProof/>
          <w:color w:val="auto"/>
          <w:sz w:val="24"/>
          <w:szCs w:val="24"/>
        </w:rPr>
        <w:t>Legal basis</w:t>
      </w:r>
    </w:p>
    <w:p w14:paraId="45237CFC" w14:textId="133CF685" w:rsidR="00A67A8F" w:rsidRPr="00A67A8F" w:rsidRDefault="00234226" w:rsidP="0026727B">
      <w:pPr>
        <w:spacing w:after="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According </w:t>
      </w:r>
      <w:r w:rsidR="00A67A8F" w:rsidRPr="00A67A8F">
        <w:rPr>
          <w:rFonts w:ascii="Times New Roman" w:hAnsi="Times New Roman" w:cs="Times New Roman"/>
          <w:noProof/>
          <w:sz w:val="24"/>
          <w:szCs w:val="24"/>
          <w:lang w:val="en-IE"/>
        </w:rPr>
        <w:t>to Article 32(3) of the Novel Foods Regulation, the power to adopt delegated acts under Article 31 was conferred on the Commission for an initial period of 5 years from 31 December 2015. The Commission w</w:t>
      </w:r>
      <w:r w:rsidR="00C06880">
        <w:rPr>
          <w:rFonts w:ascii="Times New Roman" w:hAnsi="Times New Roman" w:cs="Times New Roman"/>
          <w:noProof/>
          <w:sz w:val="24"/>
          <w:szCs w:val="24"/>
          <w:lang w:val="en-IE"/>
        </w:rPr>
        <w:t>as tasked to</w:t>
      </w:r>
      <w:r w:rsidR="00A67A8F" w:rsidRPr="00A67A8F">
        <w:rPr>
          <w:rFonts w:ascii="Times New Roman" w:hAnsi="Times New Roman" w:cs="Times New Roman"/>
          <w:noProof/>
          <w:sz w:val="24"/>
          <w:szCs w:val="24"/>
          <w:lang w:val="en-IE"/>
        </w:rPr>
        <w:t xml:space="preserve"> present a report on the exercise of the delegation of power conferred by the Novel Foods Regulation no later than </w:t>
      </w:r>
      <w:r w:rsidR="00B038A8">
        <w:rPr>
          <w:rFonts w:ascii="Times New Roman" w:hAnsi="Times New Roman" w:cs="Times New Roman"/>
          <w:noProof/>
          <w:sz w:val="24"/>
          <w:szCs w:val="24"/>
          <w:lang w:val="en-IE"/>
        </w:rPr>
        <w:t>9</w:t>
      </w:r>
      <w:r w:rsidRPr="00A67A8F">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months before the end of the </w:t>
      </w:r>
      <w:r w:rsidR="00B038A8">
        <w:rPr>
          <w:rFonts w:ascii="Times New Roman" w:hAnsi="Times New Roman" w:cs="Times New Roman"/>
          <w:noProof/>
          <w:sz w:val="24"/>
          <w:szCs w:val="24"/>
          <w:lang w:val="en-IE"/>
        </w:rPr>
        <w:t>5</w:t>
      </w:r>
      <w:r w:rsidR="00A67A8F" w:rsidRPr="00A67A8F">
        <w:rPr>
          <w:rFonts w:ascii="Times New Roman" w:hAnsi="Times New Roman" w:cs="Times New Roman"/>
          <w:noProof/>
          <w:sz w:val="24"/>
          <w:szCs w:val="24"/>
          <w:lang w:val="en-IE"/>
        </w:rPr>
        <w:t>-year period. The delegation of power w</w:t>
      </w:r>
      <w:r w:rsidR="00C06880">
        <w:rPr>
          <w:rFonts w:ascii="Times New Roman" w:hAnsi="Times New Roman" w:cs="Times New Roman"/>
          <w:noProof/>
          <w:sz w:val="24"/>
          <w:szCs w:val="24"/>
          <w:lang w:val="en-IE"/>
        </w:rPr>
        <w:t>as t</w:t>
      </w:r>
      <w:r w:rsidR="00A67A8F" w:rsidRPr="00A67A8F">
        <w:rPr>
          <w:rFonts w:ascii="Times New Roman" w:hAnsi="Times New Roman" w:cs="Times New Roman"/>
          <w:noProof/>
          <w:sz w:val="24"/>
          <w:szCs w:val="24"/>
          <w:lang w:val="en-IE"/>
        </w:rPr>
        <w:t>o</w:t>
      </w:r>
      <w:r w:rsidR="00C06880">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be extended tacitly for periods of </w:t>
      </w:r>
      <w:r w:rsidR="00B038A8">
        <w:rPr>
          <w:rFonts w:ascii="Times New Roman" w:hAnsi="Times New Roman" w:cs="Times New Roman"/>
          <w:noProof/>
          <w:sz w:val="24"/>
          <w:szCs w:val="24"/>
          <w:lang w:val="en-IE"/>
        </w:rPr>
        <w:t>5</w:t>
      </w:r>
      <w:r w:rsidR="00466E36">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years, unless the European Parliament or the Council opposes such extension not later than </w:t>
      </w:r>
      <w:r w:rsidR="00B038A8">
        <w:rPr>
          <w:rFonts w:ascii="Times New Roman" w:hAnsi="Times New Roman" w:cs="Times New Roman"/>
          <w:noProof/>
          <w:sz w:val="24"/>
          <w:szCs w:val="24"/>
          <w:lang w:val="en-IE"/>
        </w:rPr>
        <w:t>3</w:t>
      </w:r>
      <w:r w:rsidR="00466E36">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months before the end of each period. </w:t>
      </w:r>
    </w:p>
    <w:p w14:paraId="7D7EB273" w14:textId="63ACC84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sidRPr="009B05C4">
        <w:rPr>
          <w:rFonts w:ascii="Times New Roman" w:hAnsi="Times New Roman" w:cs="Times New Roman"/>
          <w:b/>
          <w:bCs/>
          <w:smallCaps/>
          <w:noProof/>
          <w:color w:val="auto"/>
          <w:sz w:val="24"/>
          <w:szCs w:val="24"/>
        </w:rPr>
        <w:t>Exercise of the delegation</w:t>
      </w:r>
    </w:p>
    <w:p w14:paraId="0090DCFE" w14:textId="287C0438"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 xml:space="preserve">In the exercise of the delegation </w:t>
      </w:r>
      <w:r w:rsidR="00F47812">
        <w:rPr>
          <w:rFonts w:ascii="Times New Roman" w:hAnsi="Times New Roman" w:cs="Times New Roman"/>
          <w:noProof/>
          <w:sz w:val="24"/>
          <w:szCs w:val="24"/>
          <w:lang w:val="en-IE"/>
        </w:rPr>
        <w:t>conferred</w:t>
      </w:r>
      <w:r w:rsidR="00F47812" w:rsidRPr="00A67A8F">
        <w:rPr>
          <w:rFonts w:ascii="Times New Roman" w:hAnsi="Times New Roman" w:cs="Times New Roman"/>
          <w:noProof/>
          <w:sz w:val="24"/>
          <w:szCs w:val="24"/>
          <w:lang w:val="en-IE"/>
        </w:rPr>
        <w:t xml:space="preserve"> </w:t>
      </w:r>
      <w:r w:rsidRPr="00A67A8F">
        <w:rPr>
          <w:rFonts w:ascii="Times New Roman" w:hAnsi="Times New Roman" w:cs="Times New Roman"/>
          <w:noProof/>
          <w:sz w:val="24"/>
          <w:szCs w:val="24"/>
          <w:lang w:val="en-IE"/>
        </w:rPr>
        <w:t xml:space="preserve">by Article 31 of the Novel Foods Regulation, the Commission has taken steps to adopt a delegated act to adjust and adapt the definition of engineered nanomaterials. </w:t>
      </w:r>
    </w:p>
    <w:p w14:paraId="507AAF73" w14:textId="77777777"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 xml:space="preserve">Point (f) of Article 3(2) of the Novel Foods Regulation defines ‘engineered nanomaterial’ as </w:t>
      </w:r>
    </w:p>
    <w:p w14:paraId="0DA9AAF2" w14:textId="77777777" w:rsidR="00A67A8F" w:rsidRPr="00A67A8F" w:rsidRDefault="00A67A8F" w:rsidP="00A67A8F">
      <w:pPr>
        <w:ind w:left="708"/>
        <w:jc w:val="both"/>
        <w:rPr>
          <w:rFonts w:ascii="Times New Roman" w:hAnsi="Times New Roman" w:cs="Times New Roman"/>
          <w:i/>
          <w:iCs/>
          <w:noProof/>
          <w:sz w:val="24"/>
          <w:szCs w:val="24"/>
          <w:lang w:val="en-IE"/>
        </w:rPr>
      </w:pPr>
      <w:r w:rsidRPr="00A67A8F">
        <w:rPr>
          <w:rFonts w:ascii="Times New Roman" w:hAnsi="Times New Roman" w:cs="Times New Roman"/>
          <w:noProof/>
          <w:sz w:val="24"/>
          <w:szCs w:val="24"/>
          <w:lang w:val="en-IE"/>
        </w:rPr>
        <w:t>‘</w:t>
      </w:r>
      <w:r w:rsidRPr="00A67A8F">
        <w:rPr>
          <w:rFonts w:ascii="Times New Roman" w:hAnsi="Times New Roman" w:cs="Times New Roman"/>
          <w:i/>
          <w:iCs/>
          <w:noProof/>
          <w:sz w:val="24"/>
          <w:szCs w:val="24"/>
          <w:lang w:val="en-IE"/>
        </w:rPr>
        <w:t>any intentionally produced material that has one or more dimensions of the order of 100 nm or less or that is composed of discrete functional parts, either internally or at the surface, many of which have one or more dimensions of the order of 100 nm or less, including structures, agglomerates or aggregates, which may have a size above the order of 100 nm but retain properties that are characteristic of the nanoscale.</w:t>
      </w:r>
    </w:p>
    <w:p w14:paraId="410FAE87" w14:textId="77777777" w:rsidR="00A67A8F" w:rsidRPr="00A67A8F" w:rsidRDefault="00A67A8F" w:rsidP="00A67A8F">
      <w:pPr>
        <w:ind w:left="708"/>
        <w:jc w:val="both"/>
        <w:rPr>
          <w:rFonts w:ascii="Times New Roman" w:hAnsi="Times New Roman" w:cs="Times New Roman"/>
          <w:i/>
          <w:iCs/>
          <w:noProof/>
          <w:sz w:val="24"/>
          <w:szCs w:val="24"/>
          <w:lang w:val="en-IE"/>
        </w:rPr>
      </w:pPr>
      <w:r w:rsidRPr="00A67A8F">
        <w:rPr>
          <w:rFonts w:ascii="Times New Roman" w:hAnsi="Times New Roman" w:cs="Times New Roman"/>
          <w:i/>
          <w:iCs/>
          <w:noProof/>
          <w:sz w:val="24"/>
          <w:szCs w:val="24"/>
          <w:lang w:val="en-IE"/>
        </w:rPr>
        <w:t>Properties that are characteristic of the nanoscale include:</w:t>
      </w:r>
    </w:p>
    <w:p w14:paraId="11A735C1" w14:textId="77777777" w:rsidR="00A67A8F" w:rsidRPr="00A67A8F" w:rsidRDefault="00A67A8F" w:rsidP="00A67A8F">
      <w:pPr>
        <w:ind w:left="708"/>
        <w:jc w:val="both"/>
        <w:rPr>
          <w:rFonts w:ascii="Times New Roman" w:hAnsi="Times New Roman" w:cs="Times New Roman"/>
          <w:i/>
          <w:iCs/>
          <w:noProof/>
          <w:sz w:val="24"/>
          <w:szCs w:val="24"/>
          <w:lang w:val="en-IE"/>
        </w:rPr>
      </w:pPr>
      <w:r w:rsidRPr="00A67A8F">
        <w:rPr>
          <w:rFonts w:ascii="Times New Roman" w:hAnsi="Times New Roman" w:cs="Times New Roman"/>
          <w:i/>
          <w:iCs/>
          <w:noProof/>
          <w:sz w:val="24"/>
          <w:szCs w:val="24"/>
          <w:lang w:val="en-IE"/>
        </w:rPr>
        <w:t>(i) those related to the large specific surface area of the materials considered; and/or</w:t>
      </w:r>
    </w:p>
    <w:p w14:paraId="56C5F63E" w14:textId="77777777" w:rsidR="00A67A8F" w:rsidRPr="00A67A8F" w:rsidRDefault="00A67A8F" w:rsidP="00A67A8F">
      <w:pPr>
        <w:ind w:left="708"/>
        <w:jc w:val="both"/>
        <w:rPr>
          <w:rFonts w:ascii="Times New Roman" w:hAnsi="Times New Roman" w:cs="Times New Roman"/>
          <w:noProof/>
          <w:sz w:val="24"/>
          <w:szCs w:val="24"/>
          <w:lang w:val="en-IE"/>
        </w:rPr>
      </w:pPr>
      <w:r w:rsidRPr="00A67A8F">
        <w:rPr>
          <w:rFonts w:ascii="Times New Roman" w:hAnsi="Times New Roman" w:cs="Times New Roman"/>
          <w:i/>
          <w:iCs/>
          <w:noProof/>
          <w:sz w:val="24"/>
          <w:szCs w:val="24"/>
          <w:lang w:val="en-IE"/>
        </w:rPr>
        <w:t>(ii) specific physico-chemical properties that are different from those of the non-nanoform of the same material</w:t>
      </w:r>
      <w:r w:rsidRPr="00A67A8F">
        <w:rPr>
          <w:rFonts w:ascii="Times New Roman" w:hAnsi="Times New Roman" w:cs="Times New Roman"/>
          <w:noProof/>
          <w:sz w:val="24"/>
          <w:szCs w:val="24"/>
          <w:lang w:val="en-IE"/>
        </w:rPr>
        <w:t>.’</w:t>
      </w:r>
    </w:p>
    <w:p w14:paraId="03848D28" w14:textId="77777777"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This definition built on a Commission Recommendation of 18 October 2011</w:t>
      </w:r>
      <w:r w:rsidRPr="00A67A8F">
        <w:rPr>
          <w:rStyle w:val="FootnoteReference"/>
          <w:rFonts w:ascii="Times New Roman" w:hAnsi="Times New Roman" w:cs="Times New Roman"/>
          <w:noProof/>
          <w:sz w:val="24"/>
          <w:szCs w:val="24"/>
          <w:lang w:val="en-IE"/>
        </w:rPr>
        <w:footnoteReference w:id="3"/>
      </w:r>
      <w:r w:rsidRPr="00A67A8F">
        <w:rPr>
          <w:rFonts w:ascii="Times New Roman" w:hAnsi="Times New Roman" w:cs="Times New Roman"/>
          <w:noProof/>
          <w:sz w:val="24"/>
          <w:szCs w:val="24"/>
          <w:lang w:val="en-IE"/>
        </w:rPr>
        <w:t xml:space="preserve"> that had introduced a definition of nanomaterial. </w:t>
      </w:r>
    </w:p>
    <w:p w14:paraId="091C2127" w14:textId="1F639318"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Subsequently, on 10 June 2022, a new Commission Recommendation on the definition of nanomaterials (</w:t>
      </w:r>
      <w:r w:rsidR="00C75B6E">
        <w:rPr>
          <w:rFonts w:ascii="Times New Roman" w:hAnsi="Times New Roman" w:cs="Times New Roman"/>
          <w:noProof/>
          <w:sz w:val="24"/>
          <w:szCs w:val="24"/>
          <w:lang w:val="en-IE"/>
        </w:rPr>
        <w:t>‘</w:t>
      </w:r>
      <w:r w:rsidRPr="00A67A8F">
        <w:rPr>
          <w:rFonts w:ascii="Times New Roman" w:hAnsi="Times New Roman" w:cs="Times New Roman"/>
          <w:noProof/>
          <w:sz w:val="24"/>
          <w:szCs w:val="24"/>
          <w:lang w:val="en-IE"/>
        </w:rPr>
        <w:t>the Commission Recommendation</w:t>
      </w:r>
      <w:r w:rsidR="00C75B6E">
        <w:rPr>
          <w:rFonts w:ascii="Times New Roman" w:hAnsi="Times New Roman" w:cs="Times New Roman"/>
          <w:noProof/>
          <w:sz w:val="24"/>
          <w:szCs w:val="24"/>
          <w:lang w:val="en-IE"/>
        </w:rPr>
        <w:t>’</w:t>
      </w:r>
      <w:r w:rsidRPr="00A67A8F">
        <w:rPr>
          <w:rFonts w:ascii="Times New Roman" w:hAnsi="Times New Roman" w:cs="Times New Roman"/>
          <w:noProof/>
          <w:sz w:val="24"/>
          <w:szCs w:val="24"/>
          <w:lang w:val="en-IE"/>
        </w:rPr>
        <w:t>) was adopted based on state-of-the-art technical and scientific developments</w:t>
      </w:r>
      <w:r w:rsidRPr="00A67A8F">
        <w:rPr>
          <w:rStyle w:val="FootnoteReference"/>
          <w:rFonts w:ascii="Times New Roman" w:hAnsi="Times New Roman" w:cs="Times New Roman"/>
          <w:noProof/>
          <w:sz w:val="24"/>
          <w:szCs w:val="24"/>
          <w:lang w:val="en-IE"/>
        </w:rPr>
        <w:footnoteReference w:id="4"/>
      </w:r>
      <w:r w:rsidRPr="00A67A8F">
        <w:rPr>
          <w:rFonts w:ascii="Times New Roman" w:hAnsi="Times New Roman" w:cs="Times New Roman"/>
          <w:noProof/>
          <w:sz w:val="24"/>
          <w:szCs w:val="24"/>
          <w:lang w:val="en-IE"/>
        </w:rPr>
        <w:t>. The Commission Recommendation was the result of a thorough review</w:t>
      </w:r>
      <w:r w:rsidRPr="00A67A8F">
        <w:rPr>
          <w:rStyle w:val="FootnoteReference"/>
          <w:rFonts w:ascii="Times New Roman" w:hAnsi="Times New Roman" w:cs="Times New Roman"/>
          <w:noProof/>
          <w:sz w:val="24"/>
          <w:szCs w:val="24"/>
          <w:lang w:val="en-IE"/>
        </w:rPr>
        <w:footnoteReference w:id="5"/>
      </w:r>
      <w:r w:rsidRPr="00A67A8F">
        <w:rPr>
          <w:rFonts w:ascii="Times New Roman" w:hAnsi="Times New Roman" w:cs="Times New Roman"/>
          <w:noProof/>
          <w:sz w:val="24"/>
          <w:szCs w:val="24"/>
          <w:lang w:val="en-IE"/>
        </w:rPr>
        <w:t xml:space="preserve"> and a targeted stakeholder consultation</w:t>
      </w:r>
      <w:r w:rsidRPr="00A67A8F">
        <w:rPr>
          <w:rStyle w:val="FootnoteReference"/>
          <w:rFonts w:ascii="Times New Roman" w:hAnsi="Times New Roman" w:cs="Times New Roman"/>
          <w:noProof/>
          <w:sz w:val="24"/>
          <w:szCs w:val="24"/>
          <w:lang w:val="en-IE"/>
        </w:rPr>
        <w:footnoteReference w:id="6"/>
      </w:r>
      <w:r w:rsidRPr="00A67A8F">
        <w:rPr>
          <w:rFonts w:ascii="Times New Roman" w:hAnsi="Times New Roman" w:cs="Times New Roman"/>
          <w:noProof/>
          <w:sz w:val="24"/>
          <w:szCs w:val="24"/>
          <w:lang w:val="en-IE"/>
        </w:rPr>
        <w:t xml:space="preserve"> </w:t>
      </w:r>
      <w:r w:rsidRPr="00A67A8F">
        <w:rPr>
          <w:rStyle w:val="FootnoteReference"/>
          <w:rFonts w:ascii="Times New Roman" w:hAnsi="Times New Roman" w:cs="Times New Roman"/>
          <w:noProof/>
          <w:sz w:val="24"/>
          <w:szCs w:val="24"/>
          <w:lang w:val="en-IE"/>
        </w:rPr>
        <w:footnoteReference w:id="7"/>
      </w:r>
      <w:r w:rsidRPr="00A67A8F">
        <w:rPr>
          <w:rFonts w:ascii="Times New Roman" w:hAnsi="Times New Roman" w:cs="Times New Roman"/>
          <w:noProof/>
          <w:sz w:val="24"/>
          <w:szCs w:val="24"/>
          <w:lang w:val="en-IE"/>
        </w:rPr>
        <w:t xml:space="preserve">. </w:t>
      </w:r>
    </w:p>
    <w:p w14:paraId="17308C9E" w14:textId="417EBDCC" w:rsidR="00A67A8F" w:rsidRPr="00A67A8F" w:rsidRDefault="00A67A8F" w:rsidP="00A67A8F">
      <w:pPr>
        <w:jc w:val="both"/>
        <w:rPr>
          <w:rFonts w:ascii="Times New Roman" w:hAnsi="Times New Roman" w:cs="Times New Roman"/>
          <w:noProof/>
          <w:sz w:val="24"/>
          <w:szCs w:val="24"/>
          <w:lang w:val="en-IE"/>
        </w:rPr>
      </w:pPr>
      <w:r w:rsidRPr="00A67A8F">
        <w:rPr>
          <w:rFonts w:ascii="Times New Roman" w:hAnsi="Times New Roman" w:cs="Times New Roman"/>
          <w:noProof/>
          <w:sz w:val="24"/>
          <w:szCs w:val="24"/>
          <w:lang w:val="en-IE"/>
        </w:rPr>
        <w:t>Taking into account the revised definition introduced by the Commission Recommendation, and its call to align existing legislation accordingly, since October 2022 a Commission Expert Group</w:t>
      </w:r>
      <w:r w:rsidRPr="00A67A8F">
        <w:rPr>
          <w:rStyle w:val="FootnoteReference"/>
          <w:rFonts w:ascii="Times New Roman" w:hAnsi="Times New Roman" w:cs="Times New Roman"/>
          <w:noProof/>
          <w:sz w:val="24"/>
          <w:szCs w:val="24"/>
          <w:lang w:val="en-IE"/>
        </w:rPr>
        <w:footnoteReference w:id="8"/>
      </w:r>
      <w:r w:rsidRPr="00A67A8F">
        <w:rPr>
          <w:rFonts w:ascii="Times New Roman" w:hAnsi="Times New Roman" w:cs="Times New Roman"/>
          <w:noProof/>
          <w:sz w:val="24"/>
          <w:szCs w:val="24"/>
          <w:lang w:val="en-IE"/>
        </w:rPr>
        <w:t xml:space="preserve"> composed of national experts assisted the Commission in preparing a delegated act to adjust and adapt the definition of engineered nanomaterials for the needs of the Novel Food</w:t>
      </w:r>
      <w:r w:rsidR="00F47812">
        <w:rPr>
          <w:rFonts w:ascii="Times New Roman" w:hAnsi="Times New Roman" w:cs="Times New Roman"/>
          <w:noProof/>
          <w:sz w:val="24"/>
          <w:szCs w:val="24"/>
          <w:lang w:val="en-IE"/>
        </w:rPr>
        <w:t>s</w:t>
      </w:r>
      <w:r w:rsidRPr="00A67A8F">
        <w:rPr>
          <w:rFonts w:ascii="Times New Roman" w:hAnsi="Times New Roman" w:cs="Times New Roman"/>
          <w:noProof/>
          <w:sz w:val="24"/>
          <w:szCs w:val="24"/>
          <w:lang w:val="en-IE"/>
        </w:rPr>
        <w:t xml:space="preserve"> Regulation. In that work, the </w:t>
      </w:r>
      <w:r w:rsidR="00870C1E">
        <w:rPr>
          <w:rFonts w:ascii="Times New Roman" w:hAnsi="Times New Roman" w:cs="Times New Roman"/>
          <w:noProof/>
          <w:sz w:val="24"/>
          <w:szCs w:val="24"/>
          <w:lang w:val="en-IE"/>
        </w:rPr>
        <w:t xml:space="preserve">EFSA </w:t>
      </w:r>
      <w:r w:rsidRPr="00A67A8F">
        <w:rPr>
          <w:rFonts w:ascii="Times New Roman" w:hAnsi="Times New Roman" w:cs="Times New Roman"/>
          <w:noProof/>
          <w:sz w:val="24"/>
          <w:szCs w:val="24"/>
          <w:lang w:val="en-IE"/>
        </w:rPr>
        <w:t>“Guidance on risk assessment of nanomaterials to be applied in the food and feed chain: human and animal health”</w:t>
      </w:r>
      <w:r w:rsidRPr="00A67A8F">
        <w:rPr>
          <w:rStyle w:val="FootnoteReference"/>
          <w:rFonts w:ascii="Times New Roman" w:hAnsi="Times New Roman" w:cs="Times New Roman"/>
          <w:noProof/>
          <w:sz w:val="24"/>
          <w:szCs w:val="24"/>
          <w:lang w:val="en-IE"/>
        </w:rPr>
        <w:footnoteReference w:id="9"/>
      </w:r>
      <w:r w:rsidRPr="00A67A8F">
        <w:rPr>
          <w:rFonts w:ascii="Times New Roman" w:hAnsi="Times New Roman" w:cs="Times New Roman"/>
          <w:noProof/>
          <w:sz w:val="24"/>
          <w:szCs w:val="24"/>
          <w:lang w:val="en-IE"/>
        </w:rPr>
        <w:t xml:space="preserve">, </w:t>
      </w:r>
      <w:r w:rsidR="00870C1E">
        <w:rPr>
          <w:rFonts w:ascii="Times New Roman" w:hAnsi="Times New Roman" w:cs="Times New Roman"/>
          <w:noProof/>
          <w:sz w:val="24"/>
          <w:szCs w:val="24"/>
          <w:lang w:val="en-IE"/>
        </w:rPr>
        <w:t xml:space="preserve">adopted on </w:t>
      </w:r>
      <w:r w:rsidRPr="00A67A8F">
        <w:rPr>
          <w:rFonts w:ascii="Times New Roman" w:hAnsi="Times New Roman" w:cs="Times New Roman"/>
          <w:noProof/>
          <w:sz w:val="24"/>
          <w:szCs w:val="24"/>
          <w:lang w:val="en-IE"/>
        </w:rPr>
        <w:t xml:space="preserve">30 June 2021 and published on 3 August 2021, was taken into account. </w:t>
      </w:r>
      <w:r w:rsidR="00D2150C">
        <w:rPr>
          <w:rFonts w:ascii="Times New Roman" w:hAnsi="Times New Roman" w:cs="Times New Roman"/>
          <w:noProof/>
          <w:sz w:val="24"/>
          <w:szCs w:val="24"/>
          <w:lang w:val="en-IE"/>
        </w:rPr>
        <w:t xml:space="preserve">It was also essential to draw on the experience </w:t>
      </w:r>
      <w:r w:rsidRPr="00A67A8F">
        <w:rPr>
          <w:rFonts w:ascii="Times New Roman" w:hAnsi="Times New Roman" w:cs="Times New Roman"/>
          <w:noProof/>
          <w:sz w:val="24"/>
          <w:szCs w:val="24"/>
          <w:lang w:val="en-IE"/>
        </w:rPr>
        <w:t xml:space="preserve">of the stakeholders </w:t>
      </w:r>
      <w:r w:rsidR="00D2150C">
        <w:rPr>
          <w:rFonts w:ascii="Times New Roman" w:hAnsi="Times New Roman" w:cs="Times New Roman"/>
          <w:noProof/>
          <w:sz w:val="24"/>
          <w:szCs w:val="24"/>
          <w:lang w:val="en-IE"/>
        </w:rPr>
        <w:t xml:space="preserve">in order </w:t>
      </w:r>
      <w:r w:rsidRPr="00A67A8F">
        <w:rPr>
          <w:rFonts w:ascii="Times New Roman" w:hAnsi="Times New Roman" w:cs="Times New Roman"/>
          <w:noProof/>
          <w:sz w:val="24"/>
          <w:szCs w:val="24"/>
          <w:lang w:val="en-IE"/>
        </w:rPr>
        <w:t xml:space="preserve">to identify practical issues related to the definition of engineered nanomaterials, </w:t>
      </w:r>
      <w:r w:rsidR="00D2150C">
        <w:rPr>
          <w:rFonts w:ascii="Times New Roman" w:hAnsi="Times New Roman" w:cs="Times New Roman"/>
          <w:noProof/>
          <w:sz w:val="24"/>
          <w:szCs w:val="24"/>
          <w:lang w:val="en-IE"/>
        </w:rPr>
        <w:t xml:space="preserve">and their feedback </w:t>
      </w:r>
      <w:r w:rsidR="002E43BE">
        <w:rPr>
          <w:rFonts w:ascii="Times New Roman" w:hAnsi="Times New Roman" w:cs="Times New Roman"/>
          <w:noProof/>
          <w:sz w:val="24"/>
          <w:szCs w:val="24"/>
          <w:lang w:val="en-IE"/>
        </w:rPr>
        <w:t xml:space="preserve">was </w:t>
      </w:r>
      <w:r w:rsidRPr="00A67A8F">
        <w:rPr>
          <w:rFonts w:ascii="Times New Roman" w:hAnsi="Times New Roman" w:cs="Times New Roman"/>
          <w:noProof/>
          <w:sz w:val="24"/>
          <w:szCs w:val="24"/>
          <w:lang w:val="en-IE"/>
        </w:rPr>
        <w:t xml:space="preserve">notably </w:t>
      </w:r>
      <w:r w:rsidR="002E43BE">
        <w:rPr>
          <w:rFonts w:ascii="Times New Roman" w:hAnsi="Times New Roman" w:cs="Times New Roman"/>
          <w:noProof/>
          <w:sz w:val="24"/>
          <w:szCs w:val="24"/>
          <w:lang w:val="en-IE"/>
        </w:rPr>
        <w:t xml:space="preserve">sought </w:t>
      </w:r>
      <w:r w:rsidRPr="00A67A8F">
        <w:rPr>
          <w:rFonts w:ascii="Times New Roman" w:hAnsi="Times New Roman" w:cs="Times New Roman"/>
          <w:noProof/>
          <w:sz w:val="24"/>
          <w:szCs w:val="24"/>
          <w:lang w:val="en-IE"/>
        </w:rPr>
        <w:t>alongside the consultation that took place between 30 November 2023 and 12 January 2024</w:t>
      </w:r>
      <w:r w:rsidRPr="00A67A8F">
        <w:rPr>
          <w:rStyle w:val="FootnoteReference"/>
          <w:rFonts w:ascii="Times New Roman" w:hAnsi="Times New Roman" w:cs="Times New Roman"/>
          <w:noProof/>
          <w:sz w:val="24"/>
          <w:szCs w:val="24"/>
          <w:lang w:val="en-IE"/>
        </w:rPr>
        <w:footnoteReference w:id="10"/>
      </w:r>
      <w:r w:rsidRPr="00A67A8F">
        <w:rPr>
          <w:rFonts w:ascii="Times New Roman" w:hAnsi="Times New Roman" w:cs="Times New Roman"/>
          <w:noProof/>
          <w:sz w:val="24"/>
          <w:szCs w:val="24"/>
          <w:lang w:val="en-IE"/>
        </w:rPr>
        <w:t xml:space="preserve">. </w:t>
      </w:r>
    </w:p>
    <w:p w14:paraId="6BF30821" w14:textId="4E666175" w:rsidR="00D432EB" w:rsidRPr="00A67A8F" w:rsidRDefault="00C06880" w:rsidP="00D432EB">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w:t>
      </w:r>
      <w:r w:rsidR="00A67A8F" w:rsidRPr="00A67A8F">
        <w:rPr>
          <w:rFonts w:ascii="Times New Roman" w:hAnsi="Times New Roman" w:cs="Times New Roman"/>
          <w:noProof/>
          <w:sz w:val="24"/>
          <w:szCs w:val="24"/>
          <w:lang w:val="en-IE"/>
        </w:rPr>
        <w:t xml:space="preserve"> Commission </w:t>
      </w:r>
      <w:r>
        <w:rPr>
          <w:rFonts w:ascii="Times New Roman" w:hAnsi="Times New Roman" w:cs="Times New Roman"/>
          <w:noProof/>
          <w:sz w:val="24"/>
          <w:szCs w:val="24"/>
          <w:lang w:val="en-IE"/>
        </w:rPr>
        <w:t xml:space="preserve">adopted a </w:t>
      </w:r>
      <w:r w:rsidR="00A67A8F" w:rsidRPr="00A67A8F">
        <w:rPr>
          <w:rFonts w:ascii="Times New Roman" w:hAnsi="Times New Roman" w:cs="Times New Roman"/>
          <w:noProof/>
          <w:sz w:val="24"/>
          <w:szCs w:val="24"/>
          <w:lang w:val="en-IE"/>
        </w:rPr>
        <w:t>delegated regulation amending the Novel Food</w:t>
      </w:r>
      <w:r w:rsidR="000534B5">
        <w:rPr>
          <w:rFonts w:ascii="Times New Roman" w:hAnsi="Times New Roman" w:cs="Times New Roman"/>
          <w:noProof/>
          <w:sz w:val="24"/>
          <w:szCs w:val="24"/>
          <w:lang w:val="en-IE"/>
        </w:rPr>
        <w:t>s</w:t>
      </w:r>
      <w:r w:rsidR="00A67A8F" w:rsidRPr="00A67A8F">
        <w:rPr>
          <w:rFonts w:ascii="Times New Roman" w:hAnsi="Times New Roman" w:cs="Times New Roman"/>
          <w:noProof/>
          <w:sz w:val="24"/>
          <w:szCs w:val="24"/>
          <w:lang w:val="en-IE"/>
        </w:rPr>
        <w:t xml:space="preserve"> Regulation as regards the definition of ‘engineered nanomaterials’ (</w:t>
      </w:r>
      <w:r w:rsidR="003428C9">
        <w:rPr>
          <w:rFonts w:ascii="Times New Roman" w:hAnsi="Times New Roman" w:cs="Times New Roman"/>
          <w:noProof/>
          <w:sz w:val="24"/>
          <w:szCs w:val="24"/>
          <w:lang w:val="en-IE"/>
        </w:rPr>
        <w:t>‘</w:t>
      </w:r>
      <w:r w:rsidR="00A67A8F" w:rsidRPr="00A67A8F">
        <w:rPr>
          <w:rFonts w:ascii="Times New Roman" w:hAnsi="Times New Roman" w:cs="Times New Roman"/>
          <w:noProof/>
          <w:sz w:val="24"/>
          <w:szCs w:val="24"/>
          <w:lang w:val="en-IE"/>
        </w:rPr>
        <w:t>the Commission delegated regulation</w:t>
      </w:r>
      <w:r w:rsidR="003428C9">
        <w:rPr>
          <w:rFonts w:ascii="Times New Roman" w:hAnsi="Times New Roman" w:cs="Times New Roman"/>
          <w:noProof/>
          <w:sz w:val="24"/>
          <w:szCs w:val="24"/>
          <w:lang w:val="en-IE"/>
        </w:rPr>
        <w:t>’</w:t>
      </w:r>
      <w:r w:rsidR="00A67A8F" w:rsidRPr="00A67A8F">
        <w:rPr>
          <w:rFonts w:ascii="Times New Roman" w:hAnsi="Times New Roman" w:cs="Times New Roman"/>
          <w:noProof/>
          <w:sz w:val="24"/>
          <w:szCs w:val="24"/>
          <w:lang w:val="en-IE"/>
        </w:rPr>
        <w:t>) on 14 March 2024</w:t>
      </w:r>
      <w:r w:rsidR="00A67A8F" w:rsidRPr="00A67A8F">
        <w:rPr>
          <w:rStyle w:val="FootnoteReference"/>
          <w:rFonts w:ascii="Times New Roman" w:hAnsi="Times New Roman" w:cs="Times New Roman"/>
          <w:noProof/>
          <w:sz w:val="24"/>
          <w:szCs w:val="24"/>
          <w:lang w:val="en-IE"/>
        </w:rPr>
        <w:footnoteReference w:id="11"/>
      </w:r>
      <w:r w:rsidR="00A67A8F" w:rsidRPr="00A67A8F">
        <w:rPr>
          <w:rFonts w:ascii="Times New Roman" w:hAnsi="Times New Roman" w:cs="Times New Roman"/>
          <w:noProof/>
          <w:sz w:val="24"/>
          <w:szCs w:val="24"/>
          <w:lang w:val="en-IE"/>
        </w:rPr>
        <w:t>. It aimed at ensuring the coherence of the definition of engineered nanomaterials in the EU regulatory framework, and at addressing the issues identified in the implementation of the definition of ‘engineered nanomaterials’ in the Novel Foods Regulation</w:t>
      </w:r>
      <w:r w:rsidR="00B70544">
        <w:rPr>
          <w:rFonts w:ascii="Times New Roman" w:hAnsi="Times New Roman" w:cs="Times New Roman"/>
          <w:noProof/>
          <w:sz w:val="24"/>
          <w:szCs w:val="24"/>
          <w:lang w:val="en-IE"/>
        </w:rPr>
        <w:t xml:space="preserve"> for the purposes of achieving the objectives of that Regulation</w:t>
      </w:r>
      <w:r w:rsidR="00A67A8F" w:rsidRPr="00A67A8F">
        <w:rPr>
          <w:rFonts w:ascii="Times New Roman" w:hAnsi="Times New Roman" w:cs="Times New Roman"/>
          <w:noProof/>
          <w:sz w:val="24"/>
          <w:szCs w:val="24"/>
          <w:lang w:val="en-IE"/>
        </w:rPr>
        <w:t xml:space="preserve">. </w:t>
      </w:r>
      <w:r w:rsidR="00D432EB" w:rsidRPr="00A67A8F">
        <w:rPr>
          <w:rFonts w:ascii="Times New Roman" w:hAnsi="Times New Roman" w:cs="Times New Roman"/>
          <w:noProof/>
          <w:sz w:val="24"/>
          <w:szCs w:val="24"/>
          <w:lang w:val="en-IE"/>
        </w:rPr>
        <w:t xml:space="preserve">To do so, the Commission delegated regulation </w:t>
      </w:r>
      <w:r w:rsidR="00264B02">
        <w:rPr>
          <w:rFonts w:ascii="Times New Roman" w:hAnsi="Times New Roman" w:cs="Times New Roman"/>
          <w:noProof/>
          <w:sz w:val="24"/>
          <w:szCs w:val="24"/>
          <w:lang w:val="en-IE"/>
        </w:rPr>
        <w:t>incorporated</w:t>
      </w:r>
      <w:r w:rsidR="00D432EB" w:rsidRPr="00A67A8F">
        <w:rPr>
          <w:rFonts w:ascii="Times New Roman" w:hAnsi="Times New Roman" w:cs="Times New Roman"/>
          <w:noProof/>
          <w:sz w:val="24"/>
          <w:szCs w:val="24"/>
          <w:lang w:val="en-IE"/>
        </w:rPr>
        <w:t xml:space="preserve"> the main technical elements of the general definition of engineered nanomaterials established in the Commission Recommendation</w:t>
      </w:r>
      <w:r w:rsidR="00672F53">
        <w:rPr>
          <w:rFonts w:ascii="Times New Roman" w:hAnsi="Times New Roman" w:cs="Times New Roman"/>
          <w:noProof/>
          <w:sz w:val="24"/>
          <w:szCs w:val="24"/>
          <w:lang w:val="en-IE"/>
        </w:rPr>
        <w:t xml:space="preserve">, that included </w:t>
      </w:r>
      <w:r w:rsidR="00672F53" w:rsidRPr="00A67A8F">
        <w:rPr>
          <w:rFonts w:ascii="Times New Roman" w:hAnsi="Times New Roman" w:cs="Times New Roman"/>
          <w:noProof/>
          <w:sz w:val="24"/>
          <w:szCs w:val="24"/>
          <w:lang w:val="en-IE"/>
        </w:rPr>
        <w:t>state-of-the-art technical and scientific developments</w:t>
      </w:r>
      <w:r w:rsidR="00D432EB" w:rsidRPr="00A67A8F">
        <w:rPr>
          <w:rFonts w:ascii="Times New Roman" w:hAnsi="Times New Roman" w:cs="Times New Roman"/>
          <w:noProof/>
          <w:sz w:val="24"/>
          <w:szCs w:val="24"/>
          <w:lang w:val="en-IE"/>
        </w:rPr>
        <w:t xml:space="preserve">. In particular, the </w:t>
      </w:r>
      <w:r w:rsidR="007C42CC">
        <w:rPr>
          <w:rFonts w:ascii="Times New Roman" w:hAnsi="Times New Roman" w:cs="Times New Roman"/>
          <w:noProof/>
          <w:sz w:val="24"/>
          <w:szCs w:val="24"/>
          <w:lang w:val="en-IE"/>
        </w:rPr>
        <w:t>amended</w:t>
      </w:r>
      <w:r w:rsidR="00D432EB" w:rsidRPr="00A67A8F">
        <w:rPr>
          <w:rFonts w:ascii="Times New Roman" w:hAnsi="Times New Roman" w:cs="Times New Roman"/>
          <w:noProof/>
          <w:sz w:val="24"/>
          <w:szCs w:val="24"/>
          <w:lang w:val="en-IE"/>
        </w:rPr>
        <w:t xml:space="preserve"> definition included the size limit (&lt; 100 nm), the exclusion from the definition of materials with a surface to volume ratio </w:t>
      </w:r>
      <w:r w:rsidR="00D8543F">
        <w:rPr>
          <w:rFonts w:ascii="Times New Roman" w:hAnsi="Times New Roman" w:cs="Times New Roman"/>
          <w:noProof/>
          <w:sz w:val="24"/>
          <w:szCs w:val="24"/>
          <w:lang w:val="en-IE"/>
        </w:rPr>
        <w:t>below</w:t>
      </w:r>
      <w:r w:rsidR="00D8543F" w:rsidRPr="00A67A8F">
        <w:rPr>
          <w:rFonts w:ascii="Times New Roman" w:hAnsi="Times New Roman" w:cs="Times New Roman"/>
          <w:noProof/>
          <w:sz w:val="24"/>
          <w:szCs w:val="24"/>
          <w:lang w:val="en-IE"/>
        </w:rPr>
        <w:t xml:space="preserve"> </w:t>
      </w:r>
      <w:r w:rsidR="00D432EB" w:rsidRPr="00A67A8F">
        <w:rPr>
          <w:rFonts w:ascii="Times New Roman" w:hAnsi="Times New Roman" w:cs="Times New Roman"/>
          <w:noProof/>
          <w:sz w:val="24"/>
          <w:szCs w:val="24"/>
          <w:lang w:val="en-IE"/>
        </w:rPr>
        <w:t xml:space="preserve">a certain value, the definitions of ‘particle’, ‘aggregate’ and ‘agglomerate’, and the default threshold value of 50% of particles being at the nanoscale for a material to be considered a nanomaterial. </w:t>
      </w:r>
    </w:p>
    <w:p w14:paraId="63A5A78D" w14:textId="35FCCCCD" w:rsidR="000534B5" w:rsidRPr="00A67A8F" w:rsidRDefault="00C06880" w:rsidP="000534B5">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00A67A8F" w:rsidRPr="00A67A8F">
        <w:rPr>
          <w:rFonts w:ascii="Times New Roman" w:hAnsi="Times New Roman" w:cs="Times New Roman"/>
          <w:noProof/>
          <w:sz w:val="24"/>
          <w:szCs w:val="24"/>
          <w:lang w:val="en-IE"/>
        </w:rPr>
        <w:t xml:space="preserve">n line with </w:t>
      </w:r>
      <w:r w:rsidR="00F47812">
        <w:rPr>
          <w:rFonts w:ascii="Times New Roman" w:hAnsi="Times New Roman" w:cs="Times New Roman"/>
          <w:noProof/>
          <w:sz w:val="24"/>
          <w:szCs w:val="24"/>
          <w:lang w:val="en-IE"/>
        </w:rPr>
        <w:t>procedure</w:t>
      </w:r>
      <w:r>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for </w:t>
      </w:r>
      <w:r w:rsidR="00F47812">
        <w:rPr>
          <w:rFonts w:ascii="Times New Roman" w:hAnsi="Times New Roman" w:cs="Times New Roman"/>
          <w:noProof/>
          <w:sz w:val="24"/>
          <w:szCs w:val="24"/>
          <w:lang w:val="en-IE"/>
        </w:rPr>
        <w:t>adopti</w:t>
      </w:r>
      <w:r w:rsidR="00E67F89">
        <w:rPr>
          <w:rFonts w:ascii="Times New Roman" w:hAnsi="Times New Roman" w:cs="Times New Roman"/>
          <w:noProof/>
          <w:sz w:val="24"/>
          <w:szCs w:val="24"/>
          <w:lang w:val="en-IE"/>
        </w:rPr>
        <w:t>ng</w:t>
      </w:r>
      <w:r w:rsidR="00F47812">
        <w:rPr>
          <w:rFonts w:ascii="Times New Roman" w:hAnsi="Times New Roman" w:cs="Times New Roman"/>
          <w:noProof/>
          <w:sz w:val="24"/>
          <w:szCs w:val="24"/>
          <w:lang w:val="en-IE"/>
        </w:rPr>
        <w:t xml:space="preserve"> </w:t>
      </w:r>
      <w:r w:rsidR="00A67A8F" w:rsidRPr="00A67A8F">
        <w:rPr>
          <w:rFonts w:ascii="Times New Roman" w:hAnsi="Times New Roman" w:cs="Times New Roman"/>
          <w:noProof/>
          <w:sz w:val="24"/>
          <w:szCs w:val="24"/>
          <w:lang w:val="en-IE"/>
        </w:rPr>
        <w:t xml:space="preserve">delegated acts, the Commission delegated regulation was sent for scrutiny </w:t>
      </w:r>
      <w:r>
        <w:rPr>
          <w:rFonts w:ascii="Times New Roman" w:hAnsi="Times New Roman" w:cs="Times New Roman"/>
          <w:noProof/>
          <w:sz w:val="24"/>
          <w:szCs w:val="24"/>
          <w:lang w:val="en-IE"/>
        </w:rPr>
        <w:t>to the</w:t>
      </w:r>
      <w:r w:rsidR="00A67A8F" w:rsidRPr="00A67A8F">
        <w:rPr>
          <w:rFonts w:ascii="Times New Roman" w:hAnsi="Times New Roman" w:cs="Times New Roman"/>
          <w:noProof/>
          <w:sz w:val="24"/>
          <w:szCs w:val="24"/>
          <w:lang w:val="en-IE"/>
        </w:rPr>
        <w:t xml:space="preserve"> European Parliament and Council. On 24 April 2024, the European Parliament objected </w:t>
      </w:r>
      <w:r>
        <w:rPr>
          <w:rFonts w:ascii="Times New Roman" w:hAnsi="Times New Roman" w:cs="Times New Roman"/>
          <w:noProof/>
          <w:sz w:val="24"/>
          <w:szCs w:val="24"/>
          <w:lang w:val="en-IE"/>
        </w:rPr>
        <w:t xml:space="preserve">to </w:t>
      </w:r>
      <w:r w:rsidR="00A67A8F" w:rsidRPr="00A67A8F">
        <w:rPr>
          <w:rFonts w:ascii="Times New Roman" w:hAnsi="Times New Roman" w:cs="Times New Roman"/>
          <w:noProof/>
          <w:sz w:val="24"/>
          <w:szCs w:val="24"/>
          <w:lang w:val="en-IE"/>
        </w:rPr>
        <w:t>the</w:t>
      </w:r>
      <w:r w:rsidR="00364AF2">
        <w:rPr>
          <w:rFonts w:ascii="Times New Roman" w:hAnsi="Times New Roman" w:cs="Times New Roman"/>
          <w:noProof/>
          <w:sz w:val="24"/>
          <w:szCs w:val="24"/>
          <w:lang w:val="en-IE"/>
        </w:rPr>
        <w:t xml:space="preserve"> </w:t>
      </w:r>
      <w:r w:rsidR="00F47812" w:rsidRPr="00A67A8F">
        <w:rPr>
          <w:rFonts w:ascii="Times New Roman" w:hAnsi="Times New Roman" w:cs="Times New Roman"/>
          <w:noProof/>
          <w:sz w:val="24"/>
          <w:szCs w:val="24"/>
          <w:lang w:val="en-IE"/>
        </w:rPr>
        <w:t>Commission delegated regulation</w:t>
      </w:r>
      <w:r w:rsidR="00A67A8F" w:rsidRPr="00A67A8F">
        <w:rPr>
          <w:rStyle w:val="FootnoteReference"/>
          <w:rFonts w:ascii="Times New Roman" w:hAnsi="Times New Roman" w:cs="Times New Roman"/>
          <w:noProof/>
          <w:sz w:val="24"/>
          <w:szCs w:val="24"/>
          <w:lang w:val="en-IE"/>
        </w:rPr>
        <w:footnoteReference w:id="12"/>
      </w:r>
      <w:r w:rsidR="00936556">
        <w:rPr>
          <w:rFonts w:ascii="Times New Roman" w:hAnsi="Times New Roman" w:cs="Times New Roman"/>
          <w:noProof/>
          <w:sz w:val="24"/>
          <w:szCs w:val="24"/>
          <w:lang w:val="en-IE"/>
        </w:rPr>
        <w:t>.</w:t>
      </w:r>
      <w:r w:rsidR="00A67A8F" w:rsidRPr="00A67A8F">
        <w:rPr>
          <w:rFonts w:ascii="Times New Roman" w:hAnsi="Times New Roman" w:cs="Times New Roman"/>
          <w:noProof/>
          <w:sz w:val="24"/>
          <w:szCs w:val="24"/>
          <w:lang w:val="en-IE"/>
        </w:rPr>
        <w:t xml:space="preserve"> In its objection, the European Parliament argued that the Commission delegated regulation was not compatible with the aim and the content of the Novel Foods Regulation and exceeded the delegated powers conferred by Article 31 of that Regulation.</w:t>
      </w:r>
      <w:r w:rsidR="003F4E91">
        <w:rPr>
          <w:rFonts w:ascii="Times New Roman" w:hAnsi="Times New Roman" w:cs="Times New Roman"/>
          <w:noProof/>
          <w:sz w:val="24"/>
          <w:szCs w:val="24"/>
          <w:lang w:val="en-IE"/>
        </w:rPr>
        <w:t xml:space="preserve"> </w:t>
      </w:r>
      <w:r w:rsidR="00E67F89">
        <w:rPr>
          <w:rFonts w:ascii="Times New Roman" w:hAnsi="Times New Roman" w:cs="Times New Roman"/>
          <w:noProof/>
          <w:sz w:val="24"/>
          <w:szCs w:val="24"/>
          <w:lang w:val="en-IE"/>
        </w:rPr>
        <w:t>On 29 August 2024, t</w:t>
      </w:r>
      <w:r w:rsidR="003F4E91">
        <w:rPr>
          <w:rFonts w:ascii="Times New Roman" w:hAnsi="Times New Roman" w:cs="Times New Roman"/>
          <w:noProof/>
          <w:sz w:val="24"/>
          <w:szCs w:val="24"/>
          <w:lang w:val="en-IE"/>
        </w:rPr>
        <w:t xml:space="preserve">he Commission </w:t>
      </w:r>
      <w:r w:rsidR="0029135B">
        <w:rPr>
          <w:rFonts w:ascii="Times New Roman" w:hAnsi="Times New Roman" w:cs="Times New Roman"/>
          <w:noProof/>
          <w:sz w:val="24"/>
          <w:szCs w:val="24"/>
          <w:lang w:val="en-IE"/>
        </w:rPr>
        <w:t>responded</w:t>
      </w:r>
      <w:r w:rsidR="003F4E91">
        <w:rPr>
          <w:rFonts w:ascii="Times New Roman" w:hAnsi="Times New Roman" w:cs="Times New Roman"/>
          <w:noProof/>
          <w:sz w:val="24"/>
          <w:szCs w:val="24"/>
          <w:lang w:val="en-IE"/>
        </w:rPr>
        <w:t xml:space="preserve"> officially to the European Parliament</w:t>
      </w:r>
      <w:r w:rsidR="00E67F89">
        <w:rPr>
          <w:rFonts w:ascii="Times New Roman" w:hAnsi="Times New Roman" w:cs="Times New Roman"/>
          <w:noProof/>
          <w:sz w:val="24"/>
          <w:szCs w:val="24"/>
          <w:lang w:val="en-IE"/>
        </w:rPr>
        <w:t>’s objection</w:t>
      </w:r>
      <w:r w:rsidR="003F4E91">
        <w:rPr>
          <w:rStyle w:val="FootnoteReference"/>
          <w:rFonts w:ascii="Times New Roman" w:hAnsi="Times New Roman" w:cs="Times New Roman"/>
          <w:noProof/>
          <w:sz w:val="24"/>
          <w:szCs w:val="24"/>
          <w:lang w:val="en-IE"/>
        </w:rPr>
        <w:footnoteReference w:id="13"/>
      </w:r>
      <w:r w:rsidR="003F4E91">
        <w:rPr>
          <w:rFonts w:ascii="Times New Roman" w:hAnsi="Times New Roman" w:cs="Times New Roman"/>
          <w:noProof/>
          <w:sz w:val="24"/>
          <w:szCs w:val="24"/>
          <w:lang w:val="en-IE"/>
        </w:rPr>
        <w:t xml:space="preserve">. </w:t>
      </w:r>
      <w:r w:rsidR="000534B5" w:rsidRPr="00A67A8F">
        <w:rPr>
          <w:rFonts w:ascii="Times New Roman" w:hAnsi="Times New Roman" w:cs="Times New Roman"/>
          <w:noProof/>
          <w:sz w:val="24"/>
          <w:szCs w:val="24"/>
          <w:lang w:val="en-IE"/>
        </w:rPr>
        <w:t>In view of th</w:t>
      </w:r>
      <w:r w:rsidR="00E67F89">
        <w:rPr>
          <w:rFonts w:ascii="Times New Roman" w:hAnsi="Times New Roman" w:cs="Times New Roman"/>
          <w:noProof/>
          <w:sz w:val="24"/>
          <w:szCs w:val="24"/>
          <w:lang w:val="en-IE"/>
        </w:rPr>
        <w:t>at</w:t>
      </w:r>
      <w:r w:rsidR="000534B5" w:rsidRPr="00A67A8F">
        <w:rPr>
          <w:rFonts w:ascii="Times New Roman" w:hAnsi="Times New Roman" w:cs="Times New Roman"/>
          <w:noProof/>
          <w:sz w:val="24"/>
          <w:szCs w:val="24"/>
          <w:lang w:val="en-IE"/>
        </w:rPr>
        <w:t xml:space="preserve"> objection, the Commission delegated regulation did not enter into force. The definition of ‘engineered nanomaterial’ of point (f) of Article 3(2) of the Novel Foods Regulation therefore remains unchanged. </w:t>
      </w:r>
    </w:p>
    <w:p w14:paraId="545AD6F6" w14:textId="6519A71C" w:rsidR="00A67A8F" w:rsidRPr="00A67A8F" w:rsidRDefault="00A67A8F" w:rsidP="000375B3">
      <w:pPr>
        <w:jc w:val="both"/>
        <w:rPr>
          <w:rFonts w:ascii="Times New Roman" w:hAnsi="Times New Roman" w:cs="Times New Roman"/>
          <w:b/>
          <w:bCs/>
          <w:noProof/>
          <w:sz w:val="24"/>
          <w:szCs w:val="24"/>
          <w:highlight w:val="yellow"/>
          <w:lang w:val="en-IE"/>
        </w:rPr>
      </w:pPr>
    </w:p>
    <w:p w14:paraId="3BF57BCD" w14:textId="64A40250" w:rsidR="00A67A8F" w:rsidRPr="009B05C4" w:rsidRDefault="00A67A8F" w:rsidP="009B05C4">
      <w:pPr>
        <w:pStyle w:val="Heading1"/>
        <w:numPr>
          <w:ilvl w:val="0"/>
          <w:numId w:val="1"/>
        </w:numPr>
        <w:spacing w:before="0" w:after="240" w:line="240" w:lineRule="auto"/>
        <w:ind w:left="567" w:hanging="567"/>
        <w:jc w:val="both"/>
        <w:rPr>
          <w:rFonts w:ascii="Times New Roman" w:hAnsi="Times New Roman" w:cs="Times New Roman"/>
          <w:b/>
          <w:bCs/>
          <w:smallCaps/>
          <w:noProof/>
          <w:color w:val="auto"/>
          <w:sz w:val="24"/>
          <w:szCs w:val="24"/>
        </w:rPr>
      </w:pPr>
      <w:r w:rsidRPr="009B05C4">
        <w:rPr>
          <w:rFonts w:ascii="Times New Roman" w:hAnsi="Times New Roman" w:cs="Times New Roman"/>
          <w:b/>
          <w:bCs/>
          <w:smallCaps/>
          <w:noProof/>
          <w:color w:val="auto"/>
          <w:sz w:val="24"/>
          <w:szCs w:val="24"/>
        </w:rPr>
        <w:t>Conclusion</w:t>
      </w:r>
    </w:p>
    <w:p w14:paraId="64E19785" w14:textId="51B0A1D8" w:rsidR="00717F92" w:rsidRDefault="00364AF2" w:rsidP="00936556">
      <w:pPr>
        <w:jc w:val="both"/>
        <w:rPr>
          <w:rFonts w:ascii="Times New Roman" w:hAnsi="Times New Roman" w:cs="Times New Roman"/>
          <w:noProof/>
          <w:sz w:val="24"/>
          <w:szCs w:val="24"/>
          <w:lang w:val="en-IE"/>
        </w:rPr>
      </w:pPr>
      <w:r w:rsidRPr="00364AF2">
        <w:rPr>
          <w:rFonts w:ascii="Times New Roman" w:hAnsi="Times New Roman" w:cs="Times New Roman"/>
          <w:noProof/>
          <w:sz w:val="24"/>
          <w:szCs w:val="24"/>
          <w:lang w:val="en-IE"/>
        </w:rPr>
        <w:t xml:space="preserve">The Commission has over the past </w:t>
      </w:r>
      <w:r>
        <w:rPr>
          <w:rFonts w:ascii="Times New Roman" w:hAnsi="Times New Roman" w:cs="Times New Roman"/>
          <w:noProof/>
          <w:sz w:val="24"/>
          <w:szCs w:val="24"/>
          <w:lang w:val="en-IE"/>
        </w:rPr>
        <w:t>y</w:t>
      </w:r>
      <w:r w:rsidRPr="00364AF2">
        <w:rPr>
          <w:rFonts w:ascii="Times New Roman" w:hAnsi="Times New Roman" w:cs="Times New Roman"/>
          <w:noProof/>
          <w:sz w:val="24"/>
          <w:szCs w:val="24"/>
          <w:lang w:val="en-IE"/>
        </w:rPr>
        <w:t xml:space="preserve">ears </w:t>
      </w:r>
      <w:r>
        <w:rPr>
          <w:rFonts w:ascii="Times New Roman" w:hAnsi="Times New Roman" w:cs="Times New Roman"/>
          <w:noProof/>
          <w:sz w:val="24"/>
          <w:szCs w:val="24"/>
          <w:lang w:val="en-IE"/>
        </w:rPr>
        <w:t xml:space="preserve">taken steps to </w:t>
      </w:r>
      <w:r w:rsidRPr="00364AF2">
        <w:rPr>
          <w:rFonts w:ascii="Times New Roman" w:hAnsi="Times New Roman" w:cs="Times New Roman"/>
          <w:noProof/>
          <w:sz w:val="24"/>
          <w:szCs w:val="24"/>
          <w:lang w:val="en-IE"/>
        </w:rPr>
        <w:t xml:space="preserve">exercise the delegated powers conferred to it under </w:t>
      </w:r>
      <w:r w:rsidR="003C3825">
        <w:rPr>
          <w:rFonts w:ascii="Times New Roman" w:hAnsi="Times New Roman" w:cs="Times New Roman"/>
          <w:noProof/>
          <w:sz w:val="24"/>
          <w:szCs w:val="24"/>
          <w:lang w:val="en-IE"/>
        </w:rPr>
        <w:t xml:space="preserve">Article 31 of </w:t>
      </w:r>
      <w:r>
        <w:rPr>
          <w:rFonts w:ascii="Times New Roman" w:hAnsi="Times New Roman" w:cs="Times New Roman"/>
          <w:noProof/>
          <w:sz w:val="24"/>
          <w:szCs w:val="24"/>
          <w:lang w:val="en-IE"/>
        </w:rPr>
        <w:t>the Novel Foods R</w:t>
      </w:r>
      <w:r w:rsidRPr="00364AF2">
        <w:rPr>
          <w:rFonts w:ascii="Times New Roman" w:hAnsi="Times New Roman" w:cs="Times New Roman"/>
          <w:noProof/>
          <w:sz w:val="24"/>
          <w:szCs w:val="24"/>
          <w:lang w:val="en-IE"/>
        </w:rPr>
        <w:t>egulation</w:t>
      </w:r>
      <w:r>
        <w:rPr>
          <w:rFonts w:ascii="Times New Roman" w:hAnsi="Times New Roman" w:cs="Times New Roman"/>
          <w:noProof/>
          <w:sz w:val="24"/>
          <w:szCs w:val="24"/>
          <w:lang w:val="en-IE"/>
        </w:rPr>
        <w:t xml:space="preserve">. </w:t>
      </w:r>
      <w:r w:rsidRPr="00364AF2">
        <w:rPr>
          <w:rFonts w:ascii="Times New Roman" w:hAnsi="Times New Roman" w:cs="Times New Roman"/>
          <w:noProof/>
          <w:sz w:val="24"/>
          <w:szCs w:val="24"/>
          <w:lang w:val="en-IE"/>
        </w:rPr>
        <w:t>The Commission sees the need to extend the empowerment because</w:t>
      </w:r>
      <w:r w:rsidR="00A85F19" w:rsidRPr="00A85F19">
        <w:rPr>
          <w:rFonts w:ascii="Times New Roman" w:hAnsi="Times New Roman" w:cs="Times New Roman"/>
          <w:noProof/>
          <w:sz w:val="24"/>
          <w:szCs w:val="24"/>
          <w:lang w:val="en-IE"/>
        </w:rPr>
        <w:t xml:space="preserve"> </w:t>
      </w:r>
      <w:r w:rsidR="00A85F19">
        <w:rPr>
          <w:rFonts w:ascii="Times New Roman" w:hAnsi="Times New Roman" w:cs="Times New Roman"/>
          <w:noProof/>
          <w:sz w:val="24"/>
          <w:szCs w:val="24"/>
          <w:lang w:val="en-IE"/>
        </w:rPr>
        <w:t xml:space="preserve">it is </w:t>
      </w:r>
      <w:r w:rsidR="00AF36B6">
        <w:rPr>
          <w:rFonts w:ascii="Times New Roman" w:hAnsi="Times New Roman" w:cs="Times New Roman"/>
          <w:noProof/>
          <w:sz w:val="24"/>
          <w:szCs w:val="24"/>
          <w:lang w:val="en-IE"/>
        </w:rPr>
        <w:t>essential</w:t>
      </w:r>
      <w:r w:rsidR="003F132A">
        <w:rPr>
          <w:rFonts w:ascii="Times New Roman" w:hAnsi="Times New Roman" w:cs="Times New Roman"/>
          <w:noProof/>
          <w:sz w:val="24"/>
          <w:szCs w:val="24"/>
          <w:lang w:val="en-IE"/>
        </w:rPr>
        <w:t xml:space="preserve"> to ensure </w:t>
      </w:r>
      <w:r w:rsidR="009B2320" w:rsidRPr="009B2320">
        <w:rPr>
          <w:rFonts w:ascii="Times New Roman" w:hAnsi="Times New Roman" w:cs="Times New Roman"/>
          <w:noProof/>
          <w:sz w:val="24"/>
          <w:szCs w:val="24"/>
          <w:lang w:val="ga-IE"/>
        </w:rPr>
        <w:t>that the definition of engineered nanomaterials referred to in point (f) of Article 3(2) of the Novel Foods Regulation is adapted to technical and scientific progress or to definitions agreed at international level</w:t>
      </w:r>
      <w:r w:rsidR="005C5F67" w:rsidRPr="00CC1F62">
        <w:rPr>
          <w:rFonts w:ascii="Times New Roman" w:hAnsi="Times New Roman" w:cs="Times New Roman"/>
          <w:noProof/>
          <w:sz w:val="24"/>
          <w:szCs w:val="24"/>
          <w:lang w:val="en-IE"/>
        </w:rPr>
        <w:t>.</w:t>
      </w:r>
      <w:r w:rsidR="00717F92" w:rsidRPr="00717F92">
        <w:rPr>
          <w:rFonts w:ascii="Segoe UI" w:eastAsia="Times New Roman" w:hAnsi="Segoe UI" w:cs="Segoe UI"/>
          <w:noProof/>
          <w:sz w:val="18"/>
          <w:szCs w:val="18"/>
          <w:lang w:val="en-IE" w:eastAsia="en-IE"/>
        </w:rPr>
        <w:t xml:space="preserve"> </w:t>
      </w:r>
      <w:r w:rsidR="00717F92" w:rsidRPr="00717F92">
        <w:rPr>
          <w:rFonts w:ascii="Times New Roman" w:hAnsi="Times New Roman" w:cs="Times New Roman"/>
          <w:noProof/>
          <w:sz w:val="24"/>
          <w:szCs w:val="24"/>
          <w:lang w:val="en-IE"/>
        </w:rPr>
        <w:t xml:space="preserve">This </w:t>
      </w:r>
      <w:r w:rsidR="00717F92">
        <w:rPr>
          <w:rFonts w:ascii="Times New Roman" w:hAnsi="Times New Roman" w:cs="Times New Roman"/>
          <w:noProof/>
          <w:sz w:val="24"/>
          <w:szCs w:val="24"/>
          <w:lang w:val="en-IE"/>
        </w:rPr>
        <w:t xml:space="preserve">technical </w:t>
      </w:r>
      <w:r w:rsidR="00717F92" w:rsidRPr="00717F92">
        <w:rPr>
          <w:rFonts w:ascii="Times New Roman" w:hAnsi="Times New Roman" w:cs="Times New Roman"/>
          <w:noProof/>
          <w:sz w:val="24"/>
          <w:szCs w:val="24"/>
          <w:lang w:val="en-IE"/>
        </w:rPr>
        <w:t xml:space="preserve">alignment is fundamental to </w:t>
      </w:r>
      <w:r w:rsidR="00717F92" w:rsidRPr="00717F92">
        <w:rPr>
          <w:rFonts w:ascii="Times New Roman" w:eastAsia="Times New Roman" w:hAnsi="Times New Roman" w:cs="Times New Roman"/>
          <w:noProof/>
          <w:sz w:val="24"/>
          <w:szCs w:val="24"/>
          <w:lang w:val="en-IE" w:eastAsia="en-IE"/>
        </w:rPr>
        <w:t xml:space="preserve">guarantee </w:t>
      </w:r>
      <w:r w:rsidR="00717F92" w:rsidRPr="00717F92">
        <w:rPr>
          <w:rFonts w:ascii="Times New Roman" w:hAnsi="Times New Roman" w:cs="Times New Roman"/>
          <w:noProof/>
          <w:sz w:val="24"/>
          <w:szCs w:val="24"/>
          <w:lang w:val="en-IE"/>
        </w:rPr>
        <w:t xml:space="preserve">the level playing field on internal market while providing a high level of protection of human health and consumers’ interests, which are the purposes of the Novel Foods Regulation. With the continuation of the </w:t>
      </w:r>
      <w:r w:rsidR="00717F92" w:rsidRPr="00717F92">
        <w:rPr>
          <w:rFonts w:ascii="Times New Roman" w:hAnsi="Times New Roman" w:cs="Times New Roman"/>
          <w:i/>
          <w:iCs/>
          <w:noProof/>
          <w:sz w:val="24"/>
          <w:szCs w:val="24"/>
          <w:lang w:val="en-IE"/>
        </w:rPr>
        <w:t>statu</w:t>
      </w:r>
      <w:r w:rsidR="004D4142">
        <w:rPr>
          <w:rFonts w:ascii="Times New Roman" w:hAnsi="Times New Roman" w:cs="Times New Roman"/>
          <w:i/>
          <w:iCs/>
          <w:noProof/>
          <w:sz w:val="24"/>
          <w:szCs w:val="24"/>
          <w:lang w:val="en-IE"/>
        </w:rPr>
        <w:t>s</w:t>
      </w:r>
      <w:r w:rsidR="00717F92" w:rsidRPr="00717F92">
        <w:rPr>
          <w:rFonts w:ascii="Times New Roman" w:hAnsi="Times New Roman" w:cs="Times New Roman"/>
          <w:i/>
          <w:iCs/>
          <w:noProof/>
          <w:sz w:val="24"/>
          <w:szCs w:val="24"/>
          <w:lang w:val="en-IE"/>
        </w:rPr>
        <w:t xml:space="preserve"> quo</w:t>
      </w:r>
      <w:r w:rsidR="00717F92" w:rsidRPr="00717F92">
        <w:rPr>
          <w:rFonts w:ascii="Times New Roman" w:hAnsi="Times New Roman" w:cs="Times New Roman"/>
          <w:noProof/>
          <w:sz w:val="24"/>
          <w:szCs w:val="24"/>
          <w:lang w:val="en-IE"/>
        </w:rPr>
        <w:t xml:space="preserve">, materials that should be defined as ‘engineered nanomaterials’ will continue not being defined as such, thereby depriving consumers from receiving the necessary information about their presence in products. </w:t>
      </w:r>
    </w:p>
    <w:p w14:paraId="0722F3BF" w14:textId="05333AC8" w:rsidR="000F5DCE" w:rsidRPr="00A67A8F" w:rsidRDefault="00364AF2" w:rsidP="00936556">
      <w:pPr>
        <w:jc w:val="both"/>
        <w:rPr>
          <w:rFonts w:ascii="Times New Roman" w:hAnsi="Times New Roman" w:cs="Times New Roman"/>
          <w:noProof/>
          <w:sz w:val="24"/>
          <w:szCs w:val="24"/>
          <w:lang w:val="en-IE"/>
        </w:rPr>
      </w:pPr>
      <w:r w:rsidRPr="00364AF2">
        <w:rPr>
          <w:rFonts w:ascii="Times New Roman" w:hAnsi="Times New Roman" w:cs="Times New Roman"/>
          <w:noProof/>
          <w:sz w:val="24"/>
          <w:szCs w:val="24"/>
          <w:lang w:val="en-IE"/>
        </w:rPr>
        <w:t xml:space="preserve">With this report the Commission complies with the reporting requirement under Article </w:t>
      </w:r>
      <w:r w:rsidR="003C3825">
        <w:rPr>
          <w:rFonts w:ascii="Times New Roman" w:hAnsi="Times New Roman" w:cs="Times New Roman"/>
          <w:noProof/>
          <w:sz w:val="24"/>
          <w:szCs w:val="24"/>
          <w:lang w:val="en-IE"/>
        </w:rPr>
        <w:t xml:space="preserve">32(3) of </w:t>
      </w:r>
      <w:r w:rsidRPr="00364AF2">
        <w:rPr>
          <w:rFonts w:ascii="Times New Roman" w:hAnsi="Times New Roman" w:cs="Times New Roman"/>
          <w:noProof/>
          <w:sz w:val="24"/>
          <w:szCs w:val="24"/>
          <w:lang w:val="en-IE"/>
        </w:rPr>
        <w:t xml:space="preserve">the </w:t>
      </w:r>
      <w:r w:rsidR="00D8543F">
        <w:rPr>
          <w:rFonts w:ascii="Times New Roman" w:hAnsi="Times New Roman" w:cs="Times New Roman"/>
          <w:noProof/>
          <w:sz w:val="24"/>
          <w:szCs w:val="24"/>
          <w:lang w:val="en-IE"/>
        </w:rPr>
        <w:t xml:space="preserve">Novel Foods </w:t>
      </w:r>
      <w:r w:rsidRPr="00364AF2">
        <w:rPr>
          <w:rFonts w:ascii="Times New Roman" w:hAnsi="Times New Roman" w:cs="Times New Roman"/>
          <w:noProof/>
          <w:sz w:val="24"/>
          <w:szCs w:val="24"/>
          <w:lang w:val="en-IE"/>
        </w:rPr>
        <w:t xml:space="preserve">Regulation and </w:t>
      </w:r>
      <w:r w:rsidR="00A67A8F" w:rsidRPr="00A67A8F">
        <w:rPr>
          <w:rFonts w:ascii="Times New Roman" w:hAnsi="Times New Roman" w:cs="Times New Roman"/>
          <w:noProof/>
          <w:sz w:val="24"/>
          <w:szCs w:val="24"/>
          <w:lang w:val="en-IE"/>
        </w:rPr>
        <w:t>invites the European Parliament and the Council to take note of this report.</w:t>
      </w:r>
      <w:bookmarkEnd w:id="0"/>
    </w:p>
    <w:sectPr w:rsidR="000F5DCE" w:rsidRPr="00A67A8F" w:rsidSect="00A67A8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DB0F3" w14:textId="77777777" w:rsidR="00B72237" w:rsidRDefault="00B72237" w:rsidP="00237E99">
      <w:pPr>
        <w:spacing w:after="0" w:line="240" w:lineRule="auto"/>
      </w:pPr>
      <w:r>
        <w:separator/>
      </w:r>
    </w:p>
  </w:endnote>
  <w:endnote w:type="continuationSeparator" w:id="0">
    <w:p w14:paraId="051A4B64" w14:textId="77777777" w:rsidR="00B72237" w:rsidRDefault="00B72237" w:rsidP="00237E99">
      <w:pPr>
        <w:spacing w:after="0" w:line="240" w:lineRule="auto"/>
      </w:pPr>
      <w:r>
        <w:continuationSeparator/>
      </w:r>
    </w:p>
  </w:endnote>
  <w:endnote w:type="continuationNotice" w:id="1">
    <w:p w14:paraId="724BEE94" w14:textId="77777777" w:rsidR="00B72237" w:rsidRDefault="00B722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5FF03" w14:textId="13B10538" w:rsidR="004C7668" w:rsidRPr="004C7668" w:rsidRDefault="004C7668" w:rsidP="004C7668">
    <w:pPr>
      <w:pStyle w:val="FooterCoverPage"/>
      <w:rPr>
        <w:rFonts w:ascii="Arial" w:hAnsi="Arial" w:cs="Arial"/>
        <w:b/>
        <w:sz w:val="48"/>
      </w:rPr>
    </w:pPr>
    <w:r w:rsidRPr="004C7668">
      <w:rPr>
        <w:rFonts w:ascii="Arial" w:hAnsi="Arial" w:cs="Arial"/>
        <w:b/>
        <w:sz w:val="48"/>
      </w:rPr>
      <w:t>EN</w:t>
    </w:r>
    <w:r w:rsidRPr="004C7668">
      <w:rPr>
        <w:rFonts w:ascii="Arial" w:hAnsi="Arial" w:cs="Arial"/>
        <w:b/>
        <w:sz w:val="48"/>
      </w:rPr>
      <w:tab/>
    </w:r>
    <w:r w:rsidRPr="004C7668">
      <w:rPr>
        <w:rFonts w:ascii="Arial" w:hAnsi="Arial" w:cs="Arial"/>
        <w:b/>
        <w:sz w:val="48"/>
      </w:rPr>
      <w:tab/>
    </w:r>
    <w:r w:rsidRPr="004C7668">
      <w:tab/>
    </w:r>
    <w:r w:rsidRPr="004C766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19176" w14:textId="0A3605C0" w:rsidR="004C7668" w:rsidRPr="004C7668" w:rsidRDefault="004C7668" w:rsidP="004C7668">
    <w:pPr>
      <w:pStyle w:val="FooterCoverPage"/>
      <w:rPr>
        <w:rFonts w:ascii="Arial" w:hAnsi="Arial" w:cs="Arial"/>
        <w:b/>
        <w:sz w:val="48"/>
      </w:rPr>
    </w:pPr>
    <w:r w:rsidRPr="004C7668">
      <w:rPr>
        <w:rFonts w:ascii="Arial" w:hAnsi="Arial" w:cs="Arial"/>
        <w:b/>
        <w:sz w:val="48"/>
      </w:rPr>
      <w:t>EN</w:t>
    </w:r>
    <w:r w:rsidRPr="004C7668">
      <w:rPr>
        <w:rFonts w:ascii="Arial" w:hAnsi="Arial" w:cs="Arial"/>
        <w:b/>
        <w:sz w:val="48"/>
      </w:rPr>
      <w:tab/>
    </w:r>
    <w:r w:rsidRPr="004C7668">
      <w:rPr>
        <w:rFonts w:ascii="Arial" w:hAnsi="Arial" w:cs="Arial"/>
        <w:b/>
        <w:sz w:val="48"/>
      </w:rPr>
      <w:tab/>
    </w:r>
    <w:r w:rsidRPr="004C7668">
      <w:tab/>
    </w:r>
    <w:r w:rsidRPr="004C766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2819" w14:textId="77777777" w:rsidR="004C7668" w:rsidRPr="004C7668" w:rsidRDefault="004C7668" w:rsidP="004C766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4DF1C" w14:textId="77777777" w:rsidR="00364AF2" w:rsidRPr="00A67A8F" w:rsidRDefault="00364AF2" w:rsidP="00A67A8F">
    <w:pPr>
      <w:pStyle w:val="FooterCoverPage"/>
      <w:rPr>
        <w:rFonts w:ascii="Arial" w:hAnsi="Arial" w:cs="Arial"/>
        <w:b/>
        <w:sz w:val="48"/>
      </w:rPr>
    </w:pPr>
    <w:r w:rsidRPr="00A67A8F">
      <w:rPr>
        <w:rFonts w:ascii="Arial" w:hAnsi="Arial" w:cs="Arial"/>
        <w:b/>
        <w:sz w:val="48"/>
      </w:rPr>
      <w:t>EN</w:t>
    </w:r>
    <w:r w:rsidRPr="00A67A8F">
      <w:rPr>
        <w:rFonts w:ascii="Arial" w:hAnsi="Arial" w:cs="Arial"/>
        <w:b/>
        <w:sz w:val="48"/>
      </w:rPr>
      <w:tab/>
    </w:r>
    <w:r w:rsidRPr="00A67A8F">
      <w:rPr>
        <w:rFonts w:ascii="Arial" w:hAnsi="Arial" w:cs="Arial"/>
        <w:b/>
        <w:sz w:val="48"/>
      </w:rPr>
      <w:tab/>
    </w:r>
    <w:r w:rsidRPr="00A67A8F">
      <w:tab/>
    </w:r>
    <w:r w:rsidRPr="00A67A8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307838"/>
      <w:docPartObj>
        <w:docPartGallery w:val="Page Numbers (Bottom of Page)"/>
        <w:docPartUnique/>
      </w:docPartObj>
    </w:sdtPr>
    <w:sdtEndPr>
      <w:rPr>
        <w:noProof/>
      </w:rPr>
    </w:sdtEndPr>
    <w:sdtContent>
      <w:p w14:paraId="78B757F2" w14:textId="256DD332" w:rsidR="000722B8" w:rsidRDefault="000722B8">
        <w:pPr>
          <w:pStyle w:val="Footer"/>
          <w:jc w:val="center"/>
        </w:pPr>
        <w:r>
          <w:fldChar w:fldCharType="begin"/>
        </w:r>
        <w:r>
          <w:instrText xml:space="preserve"> PAGE   \* MERGEFORMAT </w:instrText>
        </w:r>
        <w:r>
          <w:fldChar w:fldCharType="separate"/>
        </w:r>
        <w:r w:rsidR="004C7668">
          <w:rPr>
            <w:noProof/>
          </w:rPr>
          <w:t>1</w:t>
        </w:r>
        <w:r>
          <w:rPr>
            <w:noProof/>
          </w:rPr>
          <w:fldChar w:fldCharType="end"/>
        </w:r>
      </w:p>
    </w:sdtContent>
  </w:sdt>
  <w:p w14:paraId="43A2FF1D" w14:textId="5CC04FA7" w:rsidR="00364AF2" w:rsidRPr="000722B8" w:rsidRDefault="00364AF2" w:rsidP="000722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801A6" w14:textId="77777777" w:rsidR="00364AF2" w:rsidRDefault="00364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B1941" w14:textId="77777777" w:rsidR="00B72237" w:rsidRDefault="00B72237" w:rsidP="00237E99">
      <w:pPr>
        <w:spacing w:after="0" w:line="240" w:lineRule="auto"/>
      </w:pPr>
      <w:r>
        <w:separator/>
      </w:r>
    </w:p>
  </w:footnote>
  <w:footnote w:type="continuationSeparator" w:id="0">
    <w:p w14:paraId="00399E2C" w14:textId="77777777" w:rsidR="00B72237" w:rsidRDefault="00B72237" w:rsidP="00237E99">
      <w:pPr>
        <w:spacing w:after="0" w:line="240" w:lineRule="auto"/>
      </w:pPr>
      <w:r>
        <w:continuationSeparator/>
      </w:r>
    </w:p>
  </w:footnote>
  <w:footnote w:type="continuationNotice" w:id="1">
    <w:p w14:paraId="66A4735C" w14:textId="77777777" w:rsidR="00B72237" w:rsidRDefault="00B72237">
      <w:pPr>
        <w:spacing w:after="0" w:line="240" w:lineRule="auto"/>
      </w:pPr>
    </w:p>
  </w:footnote>
  <w:footnote w:id="2">
    <w:p w14:paraId="23D962EA" w14:textId="77777777" w:rsidR="00A67A8F" w:rsidRPr="009B05C4" w:rsidRDefault="00A67A8F" w:rsidP="00A67A8F">
      <w:pPr>
        <w:pStyle w:val="FootnoteText"/>
        <w:jc w:val="both"/>
        <w:rPr>
          <w:rFonts w:ascii="Times New Roman" w:hAnsi="Times New Roman" w:cs="Times New Roman"/>
          <w:lang w:val="en-IE"/>
        </w:rPr>
      </w:pPr>
      <w:r w:rsidRPr="009B05C4">
        <w:rPr>
          <w:rStyle w:val="FootnoteReference"/>
          <w:rFonts w:ascii="Times New Roman" w:hAnsi="Times New Roman" w:cs="Times New Roman"/>
        </w:rPr>
        <w:footnoteRef/>
      </w:r>
      <w:r w:rsidRPr="009B05C4">
        <w:rPr>
          <w:rFonts w:ascii="Times New Roman" w:hAnsi="Times New Roman" w:cs="Times New Roman"/>
          <w:lang w:val="en-IE"/>
        </w:rPr>
        <w:t xml:space="preserve"> 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 OJ L 327, 11.12.2015, p. 1. </w:t>
      </w:r>
    </w:p>
  </w:footnote>
  <w:footnote w:id="3">
    <w:p w14:paraId="65B477E2" w14:textId="77777777" w:rsidR="00A67A8F" w:rsidRPr="00A67A8F" w:rsidRDefault="00A67A8F" w:rsidP="00A67A8F">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Commission Recommendation of 18 October 2011 on the definition of nanomaterial (2011/696/EU). OJ L 275, 20.10.2011, p. 38.</w:t>
      </w:r>
    </w:p>
  </w:footnote>
  <w:footnote w:id="4">
    <w:p w14:paraId="576800E0" w14:textId="77777777" w:rsidR="00A67A8F" w:rsidRPr="00A67A8F" w:rsidRDefault="00A67A8F" w:rsidP="00A67A8F">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Commission Recommendation of 10 June 2022 on the definition of nanomaterial (C/2022/3689). OJ C 229, 14.6.2022, p. 1. </w:t>
      </w:r>
    </w:p>
  </w:footnote>
  <w:footnote w:id="5">
    <w:p w14:paraId="4BF6812B" w14:textId="77777777" w:rsidR="00A67A8F" w:rsidRPr="00A67A8F" w:rsidRDefault="00A67A8F" w:rsidP="00A67A8F">
      <w:pPr>
        <w:pStyle w:val="FootnoteText"/>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Commission’s Joint Research Centre’s (JRC) Science for Policy reports:</w:t>
      </w:r>
    </w:p>
    <w:p w14:paraId="4AC628C2" w14:textId="77777777" w:rsidR="00A67A8F" w:rsidRPr="00A67A8F" w:rsidRDefault="00A67A8F" w:rsidP="00A67A8F">
      <w:pPr>
        <w:pStyle w:val="FootnoteText"/>
        <w:jc w:val="both"/>
        <w:rPr>
          <w:rFonts w:ascii="Times New Roman" w:hAnsi="Times New Roman" w:cs="Times New Roman"/>
          <w:lang w:val="en-IE"/>
        </w:rPr>
      </w:pPr>
      <w:r w:rsidRPr="00A67A8F">
        <w:rPr>
          <w:rFonts w:ascii="Times New Roman" w:hAnsi="Times New Roman" w:cs="Times New Roman"/>
          <w:lang w:val="en-IE"/>
        </w:rPr>
        <w:t>- ‘Towards a review of the EC Recommendation for a definition of the term “nanomaterial’ - Part 1: Compilation of information concerning the experience with the definition’. EUR 26567 EN; doi:10.2788/36237 (2014).</w:t>
      </w:r>
    </w:p>
    <w:p w14:paraId="2F168806" w14:textId="77777777" w:rsidR="00A67A8F" w:rsidRPr="00A67A8F" w:rsidRDefault="00A67A8F" w:rsidP="00A67A8F">
      <w:pPr>
        <w:pStyle w:val="FootnoteText"/>
        <w:jc w:val="both"/>
        <w:rPr>
          <w:rFonts w:ascii="Times New Roman" w:hAnsi="Times New Roman" w:cs="Times New Roman"/>
          <w:lang w:val="en-IE"/>
        </w:rPr>
      </w:pPr>
      <w:r w:rsidRPr="00A67A8F">
        <w:rPr>
          <w:rFonts w:ascii="Times New Roman" w:hAnsi="Times New Roman" w:cs="Times New Roman"/>
          <w:lang w:val="en-IE"/>
        </w:rPr>
        <w:t>- ‘Towards a review of the EC Recommendation for a definition of the term “nanomaterial - Part 2: Assessment of collected information concerning the experience with the definition’. EUR 26744 EN; doi: 10.2787/97286 (2014).</w:t>
      </w:r>
    </w:p>
    <w:p w14:paraId="0E6D1717" w14:textId="77777777" w:rsidR="00A67A8F" w:rsidRPr="00A67A8F" w:rsidRDefault="00A67A8F" w:rsidP="00A67A8F">
      <w:pPr>
        <w:pStyle w:val="FootnoteText"/>
        <w:spacing w:after="120"/>
        <w:jc w:val="both"/>
        <w:rPr>
          <w:rFonts w:ascii="Times New Roman" w:hAnsi="Times New Roman" w:cs="Times New Roman"/>
          <w:lang w:val="en-IE"/>
        </w:rPr>
      </w:pPr>
      <w:r w:rsidRPr="00A67A8F">
        <w:rPr>
          <w:rFonts w:ascii="Times New Roman" w:hAnsi="Times New Roman" w:cs="Times New Roman"/>
          <w:lang w:val="en-IE"/>
        </w:rPr>
        <w:t xml:space="preserve">- ‘Towards a review of the EC Recommendation for a definition of the term “nanomaterial - Part 3: Scientific-technical evaluation of options to clarify the definition and to facilitate its implementation’. EUR 27240 EN; doi:10.2788/678452 (2015). </w:t>
      </w:r>
    </w:p>
    <w:p w14:paraId="0A1B76B8" w14:textId="77777777" w:rsidR="00A67A8F" w:rsidRPr="00A67A8F" w:rsidRDefault="00A67A8F" w:rsidP="00A67A8F">
      <w:pPr>
        <w:pStyle w:val="FootnoteText"/>
        <w:jc w:val="both"/>
        <w:rPr>
          <w:rFonts w:ascii="Times New Roman" w:hAnsi="Times New Roman" w:cs="Times New Roman"/>
          <w:lang w:val="en-IE"/>
        </w:rPr>
      </w:pPr>
      <w:r w:rsidRPr="00A67A8F">
        <w:rPr>
          <w:rFonts w:ascii="Times New Roman" w:hAnsi="Times New Roman" w:cs="Times New Roman"/>
          <w:lang w:val="en-IE"/>
        </w:rPr>
        <w:t xml:space="preserve">JRC reports: </w:t>
      </w:r>
    </w:p>
    <w:p w14:paraId="5AA62E82" w14:textId="77777777" w:rsidR="00A67A8F" w:rsidRPr="00A67A8F" w:rsidRDefault="00A67A8F" w:rsidP="00A67A8F">
      <w:pPr>
        <w:pStyle w:val="FootnoteText"/>
        <w:jc w:val="both"/>
        <w:rPr>
          <w:rFonts w:ascii="Times New Roman" w:hAnsi="Times New Roman" w:cs="Times New Roman"/>
          <w:lang w:val="en-IE"/>
        </w:rPr>
      </w:pPr>
      <w:r w:rsidRPr="00A67A8F">
        <w:rPr>
          <w:rFonts w:ascii="Times New Roman" w:hAnsi="Times New Roman" w:cs="Times New Roman"/>
          <w:lang w:val="en-IE"/>
        </w:rPr>
        <w:t>- ‘An overview of concepts and terms used in the European Commission’s definition of nanomaterial’. EUR 29647 EN; doi:10.2760/459136 (2019).</w:t>
      </w:r>
    </w:p>
    <w:p w14:paraId="34531DE0" w14:textId="77777777" w:rsidR="00A67A8F" w:rsidRPr="00A67A8F" w:rsidRDefault="00A67A8F" w:rsidP="00A67A8F">
      <w:pPr>
        <w:pStyle w:val="FootnoteText"/>
        <w:spacing w:after="120"/>
        <w:jc w:val="both"/>
        <w:rPr>
          <w:rFonts w:ascii="Times New Roman" w:hAnsi="Times New Roman" w:cs="Times New Roman"/>
          <w:lang w:val="en-IE"/>
        </w:rPr>
      </w:pPr>
      <w:r w:rsidRPr="00A67A8F">
        <w:rPr>
          <w:rFonts w:ascii="Times New Roman" w:hAnsi="Times New Roman" w:cs="Times New Roman"/>
          <w:lang w:val="en-IE"/>
        </w:rPr>
        <w:t xml:space="preserve">- ‘Identification of nanomaterials through measurements’. EUR 29942 EN; doi:10.2760/053982 (2019). </w:t>
      </w:r>
    </w:p>
  </w:footnote>
  <w:footnote w:id="6">
    <w:p w14:paraId="73ADDC62" w14:textId="77777777" w:rsidR="00A67A8F" w:rsidRPr="00A67A8F" w:rsidRDefault="00A67A8F" w:rsidP="00A67A8F">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The targeted stakeholder consultation run between 6 May and 30 June 2021. </w:t>
      </w:r>
    </w:p>
  </w:footnote>
  <w:footnote w:id="7">
    <w:p w14:paraId="6FEC9CC6" w14:textId="364404C4" w:rsidR="00A67A8F" w:rsidRPr="00A67A8F" w:rsidRDefault="00A67A8F" w:rsidP="009B05C4">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The results of the review and the stakeholder consultation  are explained in the Commission staff working document (SWD(2022)150) accompanying the Commission Recommendation.</w:t>
      </w:r>
    </w:p>
  </w:footnote>
  <w:footnote w:id="8">
    <w:p w14:paraId="63475DD3" w14:textId="19C05F23" w:rsidR="00A67A8F" w:rsidRPr="00A67A8F" w:rsidRDefault="00A67A8F" w:rsidP="00A67A8F">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hyperlink r:id="rId1" w:history="1">
        <w:r w:rsidRPr="009A74AC">
          <w:rPr>
            <w:rStyle w:val="Hyperlink"/>
            <w:rFonts w:ascii="Times New Roman" w:hAnsi="Times New Roman" w:cs="Times New Roman"/>
            <w:lang w:val="en-IE"/>
          </w:rPr>
          <w:t>https://ec.europa.eu/transparency/expert-groups-register/screen/expert-groups/consult?lang=en&amp;do=groupDetail.groupDetail&amp;groupID=3560&amp;Lang=EN</w:t>
        </w:r>
      </w:hyperlink>
      <w:r w:rsidRPr="00A67A8F">
        <w:rPr>
          <w:rFonts w:ascii="Times New Roman" w:hAnsi="Times New Roman" w:cs="Times New Roman"/>
          <w:lang w:val="en-IE"/>
        </w:rPr>
        <w:t xml:space="preserve"> </w:t>
      </w:r>
    </w:p>
  </w:footnote>
  <w:footnote w:id="9">
    <w:p w14:paraId="43E75845" w14:textId="77777777" w:rsidR="00A67A8F" w:rsidRPr="00A67A8F" w:rsidRDefault="00A67A8F" w:rsidP="00A67A8F">
      <w:pPr>
        <w:pStyle w:val="FootnoteText"/>
        <w:spacing w:after="120"/>
        <w:jc w:val="both"/>
        <w:rPr>
          <w:rFonts w:ascii="Times New Roman" w:hAnsi="Times New Roman" w:cs="Times New Roman"/>
          <w:lang w:val="en-IE"/>
        </w:rPr>
      </w:pPr>
      <w:r w:rsidRPr="00A67A8F">
        <w:rPr>
          <w:rStyle w:val="FootnoteReference"/>
          <w:rFonts w:ascii="Times New Roman" w:hAnsi="Times New Roman" w:cs="Times New Roman"/>
        </w:rPr>
        <w:footnoteRef/>
      </w:r>
      <w:r w:rsidRPr="00A67A8F">
        <w:rPr>
          <w:rFonts w:ascii="Times New Roman" w:hAnsi="Times New Roman" w:cs="Times New Roman"/>
          <w:lang w:val="en-IE"/>
        </w:rPr>
        <w:t xml:space="preserve"> </w:t>
      </w:r>
      <w:hyperlink r:id="rId2" w:history="1">
        <w:r w:rsidRPr="00A67A8F">
          <w:rPr>
            <w:rStyle w:val="Hyperlink"/>
            <w:rFonts w:ascii="Times New Roman" w:hAnsi="Times New Roman" w:cs="Times New Roman"/>
            <w:lang w:val="en-IE"/>
          </w:rPr>
          <w:t>https://www.efsa.europa.eu/en/efsajournal/pub/6768</w:t>
        </w:r>
      </w:hyperlink>
      <w:r w:rsidRPr="00A67A8F">
        <w:rPr>
          <w:rFonts w:ascii="Times New Roman" w:hAnsi="Times New Roman" w:cs="Times New Roman"/>
          <w:lang w:val="en-IE"/>
        </w:rPr>
        <w:t xml:space="preserve"> </w:t>
      </w:r>
    </w:p>
  </w:footnote>
  <w:footnote w:id="10">
    <w:p w14:paraId="1D322922" w14:textId="77777777" w:rsidR="00A67A8F" w:rsidRPr="009B05C4" w:rsidRDefault="00A67A8F" w:rsidP="00A67A8F">
      <w:pPr>
        <w:pStyle w:val="FootnoteText"/>
        <w:spacing w:after="120"/>
        <w:rPr>
          <w:rFonts w:ascii="Times New Roman" w:hAnsi="Times New Roman" w:cs="Times New Roman"/>
          <w:lang w:val="en-IE"/>
        </w:rPr>
      </w:pPr>
      <w:r w:rsidRPr="009B05C4">
        <w:rPr>
          <w:rStyle w:val="FootnoteReference"/>
          <w:rFonts w:ascii="Times New Roman" w:hAnsi="Times New Roman" w:cs="Times New Roman"/>
        </w:rPr>
        <w:footnoteRef/>
      </w:r>
      <w:r w:rsidRPr="009B05C4">
        <w:rPr>
          <w:rFonts w:ascii="Times New Roman" w:hAnsi="Times New Roman" w:cs="Times New Roman"/>
          <w:lang w:val="en-IE"/>
        </w:rPr>
        <w:t xml:space="preserve"> </w:t>
      </w:r>
      <w:hyperlink r:id="rId3" w:history="1">
        <w:r w:rsidRPr="009B05C4">
          <w:rPr>
            <w:rStyle w:val="Hyperlink"/>
            <w:rFonts w:ascii="Times New Roman" w:hAnsi="Times New Roman" w:cs="Times New Roman"/>
            <w:lang w:val="en-IE"/>
          </w:rPr>
          <w:t>https://ec.europa.eu/info/law/better-regulation/have-your-say/initiatives/14049-Revision-of-the-definition-of-engineered-nanomaterial-in-food_en</w:t>
        </w:r>
      </w:hyperlink>
      <w:r w:rsidRPr="009B05C4">
        <w:rPr>
          <w:rFonts w:ascii="Times New Roman" w:hAnsi="Times New Roman" w:cs="Times New Roman"/>
          <w:lang w:val="en-IE"/>
        </w:rPr>
        <w:t xml:space="preserve"> </w:t>
      </w:r>
    </w:p>
  </w:footnote>
  <w:footnote w:id="11">
    <w:p w14:paraId="2860BD91" w14:textId="77777777" w:rsidR="00A67A8F" w:rsidRPr="009B05C4" w:rsidRDefault="00A67A8F" w:rsidP="00A67A8F">
      <w:pPr>
        <w:pStyle w:val="FootnoteText"/>
        <w:jc w:val="both"/>
        <w:rPr>
          <w:rFonts w:ascii="Times New Roman" w:hAnsi="Times New Roman" w:cs="Times New Roman"/>
          <w:lang w:val="es-ES"/>
        </w:rPr>
      </w:pPr>
      <w:r w:rsidRPr="009B05C4">
        <w:rPr>
          <w:rStyle w:val="FootnoteReference"/>
          <w:rFonts w:ascii="Times New Roman" w:hAnsi="Times New Roman" w:cs="Times New Roman"/>
        </w:rPr>
        <w:footnoteRef/>
      </w:r>
      <w:r w:rsidRPr="009B05C4">
        <w:rPr>
          <w:rFonts w:ascii="Times New Roman" w:hAnsi="Times New Roman" w:cs="Times New Roman"/>
          <w:lang w:val="en-IE"/>
        </w:rPr>
        <w:t xml:space="preserve"> Commission delegated regulation (EU) …/… of 14.3.2024 amending Regulation (EU) 2015/2283 of the European Parliament and of the Council on novel foods as regards the definition of ‘engineered nanomaterials’. </w:t>
      </w:r>
      <w:r w:rsidRPr="009B05C4">
        <w:rPr>
          <w:rFonts w:ascii="Times New Roman" w:hAnsi="Times New Roman" w:cs="Times New Roman"/>
          <w:lang w:val="es-ES"/>
        </w:rPr>
        <w:t xml:space="preserve">C(2024) 1612 final. </w:t>
      </w:r>
    </w:p>
    <w:p w14:paraId="225530B4" w14:textId="09A12C58" w:rsidR="00A67A8F" w:rsidRPr="00936556" w:rsidRDefault="004C7668" w:rsidP="009B05C4">
      <w:pPr>
        <w:pStyle w:val="FootnoteText"/>
        <w:spacing w:after="120"/>
        <w:rPr>
          <w:rFonts w:ascii="Times New Roman" w:hAnsi="Times New Roman" w:cs="Times New Roman"/>
          <w:lang w:val="es-ES"/>
        </w:rPr>
      </w:pPr>
      <w:hyperlink r:id="rId4" w:history="1">
        <w:r w:rsidR="00936556" w:rsidRPr="00936556">
          <w:rPr>
            <w:rStyle w:val="Hyperlink"/>
            <w:rFonts w:ascii="Times New Roman" w:hAnsi="Times New Roman" w:cs="Times New Roman"/>
            <w:lang w:val="es-ES"/>
          </w:rPr>
          <w:t>https://eur-lex.europa.eu/legal-content/EN/TXT/PDF/?uri=PI_COM:C(2024)1612</w:t>
        </w:r>
      </w:hyperlink>
      <w:r w:rsidR="00936556" w:rsidRPr="00936556">
        <w:rPr>
          <w:rFonts w:ascii="Times New Roman" w:hAnsi="Times New Roman" w:cs="Times New Roman"/>
          <w:lang w:val="es-ES"/>
        </w:rPr>
        <w:t xml:space="preserve"> </w:t>
      </w:r>
    </w:p>
  </w:footnote>
  <w:footnote w:id="12">
    <w:p w14:paraId="393A38BE" w14:textId="77777777" w:rsidR="00A67A8F" w:rsidRPr="009B05C4" w:rsidRDefault="00A67A8F" w:rsidP="00A67A8F">
      <w:pPr>
        <w:pStyle w:val="FootnoteText"/>
        <w:jc w:val="both"/>
        <w:rPr>
          <w:rFonts w:ascii="Times New Roman" w:hAnsi="Times New Roman" w:cs="Times New Roman"/>
          <w:lang w:val="en-IE"/>
        </w:rPr>
      </w:pPr>
      <w:r w:rsidRPr="009B05C4">
        <w:rPr>
          <w:rStyle w:val="FootnoteReference"/>
          <w:rFonts w:ascii="Times New Roman" w:hAnsi="Times New Roman" w:cs="Times New Roman"/>
        </w:rPr>
        <w:footnoteRef/>
      </w:r>
      <w:bookmarkStart w:id="3" w:name="_Hlk210041832"/>
      <w:r w:rsidRPr="009B05C4">
        <w:rPr>
          <w:rFonts w:ascii="Times New Roman" w:hAnsi="Times New Roman" w:cs="Times New Roman"/>
          <w:lang w:val="en-IE"/>
        </w:rPr>
        <w:t xml:space="preserve"> Objection to a delegated act: Novel foods - the definition of ‘engineered nanomaterials’. European Parliament resolution of 24 April 2024 on the Commission delegated regulation of 14 March 2024 amending Regulation (EU) 2015/2283 of the European Parliament and of the Council on novel foods as regards the definition of ‘engineered nanomaterials’.  C(2024)01612 – 2024/2691(DEA). </w:t>
      </w:r>
    </w:p>
    <w:p w14:paraId="099F9237" w14:textId="77777777" w:rsidR="00A67A8F" w:rsidRPr="009B05C4" w:rsidRDefault="004C7668" w:rsidP="00A67A8F">
      <w:pPr>
        <w:pStyle w:val="FootnoteText"/>
        <w:spacing w:after="120"/>
        <w:rPr>
          <w:rFonts w:ascii="Times New Roman" w:hAnsi="Times New Roman" w:cs="Times New Roman"/>
          <w:lang w:val="en-IE"/>
        </w:rPr>
      </w:pPr>
      <w:hyperlink r:id="rId5" w:history="1">
        <w:r w:rsidR="00A67A8F" w:rsidRPr="009B05C4">
          <w:rPr>
            <w:rStyle w:val="Hyperlink"/>
            <w:rFonts w:ascii="Times New Roman" w:hAnsi="Times New Roman" w:cs="Times New Roman"/>
            <w:lang w:val="en-IE"/>
          </w:rPr>
          <w:t>https://www.europarl.europa.eu/doceo/document/TA-9-2024-0316_EN.pdf</w:t>
        </w:r>
      </w:hyperlink>
      <w:r w:rsidR="00A67A8F" w:rsidRPr="009B05C4">
        <w:rPr>
          <w:rFonts w:ascii="Times New Roman" w:hAnsi="Times New Roman" w:cs="Times New Roman"/>
          <w:lang w:val="en-IE"/>
        </w:rPr>
        <w:t xml:space="preserve"> </w:t>
      </w:r>
      <w:bookmarkEnd w:id="3"/>
    </w:p>
  </w:footnote>
  <w:footnote w:id="13">
    <w:p w14:paraId="076C3495" w14:textId="707FC730" w:rsidR="003F4E91" w:rsidRPr="003F4E91" w:rsidRDefault="003F4E91" w:rsidP="003F4E91">
      <w:pPr>
        <w:pStyle w:val="FootnoteText"/>
        <w:jc w:val="both"/>
        <w:rPr>
          <w:rFonts w:ascii="Times New Roman" w:hAnsi="Times New Roman" w:cs="Times New Roman"/>
          <w:lang w:val="en-IE"/>
        </w:rPr>
      </w:pPr>
      <w:r w:rsidRPr="003F4E91">
        <w:rPr>
          <w:rFonts w:ascii="Times New Roman" w:hAnsi="Times New Roman" w:cs="Times New Roman"/>
          <w:vertAlign w:val="superscript"/>
          <w:lang w:val="en-IE"/>
        </w:rPr>
        <w:footnoteRef/>
      </w:r>
      <w:r w:rsidRPr="003F4E91">
        <w:rPr>
          <w:rFonts w:ascii="Times New Roman" w:hAnsi="Times New Roman" w:cs="Times New Roman"/>
          <w:vertAlign w:val="superscript"/>
          <w:lang w:val="en-IE"/>
        </w:rPr>
        <w:t xml:space="preserve"> </w:t>
      </w:r>
      <w:r w:rsidRPr="003F4E91">
        <w:rPr>
          <w:rFonts w:ascii="Times New Roman" w:hAnsi="Times New Roman" w:cs="Times New Roman"/>
          <w:lang w:val="en-IE"/>
        </w:rPr>
        <w:t>Document SP(2024)399. Follow up to the European Parliament non-legislative resolution on the Commission delegated regulation of 14 March 2024 amending Regulation (EU) 2015/2283 of the European Parliament and of the Council on novel foods as regards the definition of ‘engineered nanomaterials’.</w:t>
      </w:r>
      <w:r>
        <w:rPr>
          <w:rFonts w:ascii="Times New Roman" w:hAnsi="Times New Roman" w:cs="Times New Roman"/>
          <w:lang w:val="en-IE"/>
        </w:rPr>
        <w:t xml:space="preserve"> </w:t>
      </w:r>
    </w:p>
    <w:p w14:paraId="2B2F1227" w14:textId="1DEF0348" w:rsidR="003F4E91" w:rsidRPr="001216EB" w:rsidRDefault="004C7668" w:rsidP="003F4E91">
      <w:pPr>
        <w:pStyle w:val="FootnoteText"/>
        <w:spacing w:after="120"/>
        <w:rPr>
          <w:rStyle w:val="Hyperlink"/>
          <w:rFonts w:ascii="Times New Roman" w:hAnsi="Times New Roman" w:cs="Times New Roman"/>
          <w:lang w:val="en-IE"/>
        </w:rPr>
      </w:pPr>
      <w:hyperlink r:id="rId6" w:history="1">
        <w:r w:rsidR="003F4E91" w:rsidRPr="001216EB">
          <w:rPr>
            <w:rStyle w:val="Hyperlink"/>
            <w:rFonts w:ascii="Times New Roman" w:hAnsi="Times New Roman" w:cs="Times New Roman"/>
            <w:lang w:val="en-IE"/>
          </w:rPr>
          <w:t>https://oeil.secure.europarl.europa.eu/oeil/en/procedure-file?reference=2024/2691(DEA)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C40C4" w14:textId="77777777" w:rsidR="004C7668" w:rsidRPr="004C7668" w:rsidRDefault="004C7668" w:rsidP="004C766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85D5B" w14:textId="77777777" w:rsidR="004C7668" w:rsidRPr="004C7668" w:rsidRDefault="004C7668" w:rsidP="004C766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43799" w14:textId="77777777" w:rsidR="004C7668" w:rsidRPr="004C7668" w:rsidRDefault="004C7668" w:rsidP="004C766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8E7F" w14:textId="77777777" w:rsidR="00364AF2" w:rsidRDefault="00364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38527" w14:textId="77777777" w:rsidR="00364AF2" w:rsidRDefault="00364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4455" w14:textId="77777777" w:rsidR="00364AF2" w:rsidRDefault="00364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80596"/>
    <w:multiLevelType w:val="hybridMultilevel"/>
    <w:tmpl w:val="E7042C62"/>
    <w:lvl w:ilvl="0" w:tplc="F78650B8">
      <w:start w:val="1"/>
      <w:numFmt w:val="bullet"/>
      <w:lvlText w:val=""/>
      <w:lvlJc w:val="left"/>
      <w:pPr>
        <w:ind w:left="717" w:hanging="360"/>
      </w:pPr>
      <w:rPr>
        <w:rFonts w:ascii="Symbol" w:hAnsi="Symbol" w:hint="default"/>
      </w:rPr>
    </w:lvl>
    <w:lvl w:ilvl="1" w:tplc="F370A738" w:tentative="1">
      <w:start w:val="1"/>
      <w:numFmt w:val="bullet"/>
      <w:lvlText w:val="o"/>
      <w:lvlJc w:val="left"/>
      <w:pPr>
        <w:ind w:left="1437" w:hanging="360"/>
      </w:pPr>
      <w:rPr>
        <w:rFonts w:ascii="Courier New" w:hAnsi="Courier New" w:cs="Courier New" w:hint="default"/>
      </w:rPr>
    </w:lvl>
    <w:lvl w:ilvl="2" w:tplc="979A71F6" w:tentative="1">
      <w:start w:val="1"/>
      <w:numFmt w:val="bullet"/>
      <w:lvlText w:val=""/>
      <w:lvlJc w:val="left"/>
      <w:pPr>
        <w:ind w:left="2157" w:hanging="360"/>
      </w:pPr>
      <w:rPr>
        <w:rFonts w:ascii="Wingdings" w:hAnsi="Wingdings" w:hint="default"/>
      </w:rPr>
    </w:lvl>
    <w:lvl w:ilvl="3" w:tplc="856A9346" w:tentative="1">
      <w:start w:val="1"/>
      <w:numFmt w:val="bullet"/>
      <w:lvlText w:val=""/>
      <w:lvlJc w:val="left"/>
      <w:pPr>
        <w:ind w:left="2877" w:hanging="360"/>
      </w:pPr>
      <w:rPr>
        <w:rFonts w:ascii="Symbol" w:hAnsi="Symbol" w:hint="default"/>
      </w:rPr>
    </w:lvl>
    <w:lvl w:ilvl="4" w:tplc="5AFA9CAE" w:tentative="1">
      <w:start w:val="1"/>
      <w:numFmt w:val="bullet"/>
      <w:lvlText w:val="o"/>
      <w:lvlJc w:val="left"/>
      <w:pPr>
        <w:ind w:left="3597" w:hanging="360"/>
      </w:pPr>
      <w:rPr>
        <w:rFonts w:ascii="Courier New" w:hAnsi="Courier New" w:cs="Courier New" w:hint="default"/>
      </w:rPr>
    </w:lvl>
    <w:lvl w:ilvl="5" w:tplc="411EA1C0" w:tentative="1">
      <w:start w:val="1"/>
      <w:numFmt w:val="bullet"/>
      <w:lvlText w:val=""/>
      <w:lvlJc w:val="left"/>
      <w:pPr>
        <w:ind w:left="4317" w:hanging="360"/>
      </w:pPr>
      <w:rPr>
        <w:rFonts w:ascii="Wingdings" w:hAnsi="Wingdings" w:hint="default"/>
      </w:rPr>
    </w:lvl>
    <w:lvl w:ilvl="6" w:tplc="B1547A0E" w:tentative="1">
      <w:start w:val="1"/>
      <w:numFmt w:val="bullet"/>
      <w:lvlText w:val=""/>
      <w:lvlJc w:val="left"/>
      <w:pPr>
        <w:ind w:left="5037" w:hanging="360"/>
      </w:pPr>
      <w:rPr>
        <w:rFonts w:ascii="Symbol" w:hAnsi="Symbol" w:hint="default"/>
      </w:rPr>
    </w:lvl>
    <w:lvl w:ilvl="7" w:tplc="FF062DCE" w:tentative="1">
      <w:start w:val="1"/>
      <w:numFmt w:val="bullet"/>
      <w:lvlText w:val="o"/>
      <w:lvlJc w:val="left"/>
      <w:pPr>
        <w:ind w:left="5757" w:hanging="360"/>
      </w:pPr>
      <w:rPr>
        <w:rFonts w:ascii="Courier New" w:hAnsi="Courier New" w:cs="Courier New" w:hint="default"/>
      </w:rPr>
    </w:lvl>
    <w:lvl w:ilvl="8" w:tplc="B6906AB2" w:tentative="1">
      <w:start w:val="1"/>
      <w:numFmt w:val="bullet"/>
      <w:lvlText w:val=""/>
      <w:lvlJc w:val="left"/>
      <w:pPr>
        <w:ind w:left="6477" w:hanging="360"/>
      </w:pPr>
      <w:rPr>
        <w:rFonts w:ascii="Wingdings" w:hAnsi="Wingdings" w:hint="default"/>
      </w:rPr>
    </w:lvl>
  </w:abstractNum>
  <w:abstractNum w:abstractNumId="1" w15:restartNumberingAfterBreak="0">
    <w:nsid w:val="21572E5A"/>
    <w:multiLevelType w:val="hybridMultilevel"/>
    <w:tmpl w:val="79D098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5684083"/>
    <w:multiLevelType w:val="hybridMultilevel"/>
    <w:tmpl w:val="4BCC2700"/>
    <w:lvl w:ilvl="0" w:tplc="8674A4E8">
      <w:start w:val="1"/>
      <w:numFmt w:val="bullet"/>
      <w:lvlText w:val=""/>
      <w:lvlJc w:val="left"/>
      <w:pPr>
        <w:ind w:left="1146" w:hanging="360"/>
      </w:pPr>
      <w:rPr>
        <w:rFonts w:ascii="Symbol" w:hAnsi="Symbol" w:hint="default"/>
      </w:rPr>
    </w:lvl>
    <w:lvl w:ilvl="1" w:tplc="0A3C015C" w:tentative="1">
      <w:start w:val="1"/>
      <w:numFmt w:val="bullet"/>
      <w:lvlText w:val="o"/>
      <w:lvlJc w:val="left"/>
      <w:pPr>
        <w:ind w:left="1866" w:hanging="360"/>
      </w:pPr>
      <w:rPr>
        <w:rFonts w:ascii="Courier New" w:hAnsi="Courier New" w:cs="Courier New" w:hint="default"/>
      </w:rPr>
    </w:lvl>
    <w:lvl w:ilvl="2" w:tplc="6A70CAA6" w:tentative="1">
      <w:start w:val="1"/>
      <w:numFmt w:val="bullet"/>
      <w:lvlText w:val=""/>
      <w:lvlJc w:val="left"/>
      <w:pPr>
        <w:ind w:left="2586" w:hanging="360"/>
      </w:pPr>
      <w:rPr>
        <w:rFonts w:ascii="Wingdings" w:hAnsi="Wingdings" w:hint="default"/>
      </w:rPr>
    </w:lvl>
    <w:lvl w:ilvl="3" w:tplc="E7EAB5A4" w:tentative="1">
      <w:start w:val="1"/>
      <w:numFmt w:val="bullet"/>
      <w:lvlText w:val=""/>
      <w:lvlJc w:val="left"/>
      <w:pPr>
        <w:ind w:left="3306" w:hanging="360"/>
      </w:pPr>
      <w:rPr>
        <w:rFonts w:ascii="Symbol" w:hAnsi="Symbol" w:hint="default"/>
      </w:rPr>
    </w:lvl>
    <w:lvl w:ilvl="4" w:tplc="DDF2237E" w:tentative="1">
      <w:start w:val="1"/>
      <w:numFmt w:val="bullet"/>
      <w:lvlText w:val="o"/>
      <w:lvlJc w:val="left"/>
      <w:pPr>
        <w:ind w:left="4026" w:hanging="360"/>
      </w:pPr>
      <w:rPr>
        <w:rFonts w:ascii="Courier New" w:hAnsi="Courier New" w:cs="Courier New" w:hint="default"/>
      </w:rPr>
    </w:lvl>
    <w:lvl w:ilvl="5" w:tplc="E4B2FE36" w:tentative="1">
      <w:start w:val="1"/>
      <w:numFmt w:val="bullet"/>
      <w:lvlText w:val=""/>
      <w:lvlJc w:val="left"/>
      <w:pPr>
        <w:ind w:left="4746" w:hanging="360"/>
      </w:pPr>
      <w:rPr>
        <w:rFonts w:ascii="Wingdings" w:hAnsi="Wingdings" w:hint="default"/>
      </w:rPr>
    </w:lvl>
    <w:lvl w:ilvl="6" w:tplc="F77E5A6A" w:tentative="1">
      <w:start w:val="1"/>
      <w:numFmt w:val="bullet"/>
      <w:lvlText w:val=""/>
      <w:lvlJc w:val="left"/>
      <w:pPr>
        <w:ind w:left="5466" w:hanging="360"/>
      </w:pPr>
      <w:rPr>
        <w:rFonts w:ascii="Symbol" w:hAnsi="Symbol" w:hint="default"/>
      </w:rPr>
    </w:lvl>
    <w:lvl w:ilvl="7" w:tplc="E798684E" w:tentative="1">
      <w:start w:val="1"/>
      <w:numFmt w:val="bullet"/>
      <w:lvlText w:val="o"/>
      <w:lvlJc w:val="left"/>
      <w:pPr>
        <w:ind w:left="6186" w:hanging="360"/>
      </w:pPr>
      <w:rPr>
        <w:rFonts w:ascii="Courier New" w:hAnsi="Courier New" w:cs="Courier New" w:hint="default"/>
      </w:rPr>
    </w:lvl>
    <w:lvl w:ilvl="8" w:tplc="EB20B67C" w:tentative="1">
      <w:start w:val="1"/>
      <w:numFmt w:val="bullet"/>
      <w:lvlText w:val=""/>
      <w:lvlJc w:val="left"/>
      <w:pPr>
        <w:ind w:left="6906" w:hanging="360"/>
      </w:pPr>
      <w:rPr>
        <w:rFonts w:ascii="Wingdings" w:hAnsi="Wingdings" w:hint="default"/>
      </w:rPr>
    </w:lvl>
  </w:abstractNum>
  <w:abstractNum w:abstractNumId="3" w15:restartNumberingAfterBreak="0">
    <w:nsid w:val="29EB570A"/>
    <w:multiLevelType w:val="hybridMultilevel"/>
    <w:tmpl w:val="2918DCAA"/>
    <w:lvl w:ilvl="0" w:tplc="177AEA4C">
      <w:start w:val="5"/>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9E64E2"/>
    <w:multiLevelType w:val="multilevel"/>
    <w:tmpl w:val="E4729308"/>
    <w:lvl w:ilvl="0">
      <w:start w:val="3"/>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31401E64"/>
    <w:multiLevelType w:val="multilevel"/>
    <w:tmpl w:val="271E09AC"/>
    <w:lvl w:ilvl="0">
      <w:start w:val="4"/>
      <w:numFmt w:val="decimal"/>
      <w:lvlText w:val="%1"/>
      <w:lvlJc w:val="left"/>
      <w:pPr>
        <w:ind w:left="480" w:hanging="480"/>
      </w:pPr>
      <w:rPr>
        <w:rFonts w:hint="default"/>
      </w:rPr>
    </w:lvl>
    <w:lvl w:ilvl="1">
      <w:start w:val="2"/>
      <w:numFmt w:val="decimal"/>
      <w:lvlText w:val="%1.%2"/>
      <w:lvlJc w:val="left"/>
      <w:pPr>
        <w:ind w:left="547" w:hanging="480"/>
      </w:pPr>
      <w:rPr>
        <w:rFonts w:hint="default"/>
      </w:rPr>
    </w:lvl>
    <w:lvl w:ilvl="2">
      <w:start w:val="1"/>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6" w15:restartNumberingAfterBreak="0">
    <w:nsid w:val="3181508F"/>
    <w:multiLevelType w:val="hybridMultilevel"/>
    <w:tmpl w:val="B1A46BE4"/>
    <w:lvl w:ilvl="0" w:tplc="6D2A73AE">
      <w:start w:val="1"/>
      <w:numFmt w:val="bullet"/>
      <w:pStyle w:val="bullet1"/>
      <w:lvlText w:val=""/>
      <w:lvlJc w:val="left"/>
      <w:pPr>
        <w:ind w:left="720" w:hanging="360"/>
      </w:pPr>
      <w:rPr>
        <w:rFonts w:ascii="Symbol" w:hAnsi="Symbol" w:hint="default"/>
        <w:b/>
        <w:i w:val="0"/>
        <w:color w:val="325BAA"/>
        <w:sz w:val="24"/>
      </w:rPr>
    </w:lvl>
    <w:lvl w:ilvl="1" w:tplc="D758FE2C">
      <w:start w:val="1"/>
      <w:numFmt w:val="bullet"/>
      <w:lvlText w:val="o"/>
      <w:lvlJc w:val="left"/>
      <w:pPr>
        <w:ind w:left="1440" w:hanging="360"/>
      </w:pPr>
      <w:rPr>
        <w:rFonts w:ascii="Courier New" w:hAnsi="Courier New" w:hint="default"/>
        <w:color w:val="44546A" w:themeColor="text2"/>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7AB5D85"/>
    <w:multiLevelType w:val="hybridMultilevel"/>
    <w:tmpl w:val="56067EFC"/>
    <w:lvl w:ilvl="0" w:tplc="15C4706C">
      <w:start w:val="4"/>
      <w:numFmt w:val="bullet"/>
      <w:lvlText w:val="-"/>
      <w:lvlJc w:val="left"/>
      <w:pPr>
        <w:ind w:left="927" w:hanging="360"/>
      </w:pPr>
      <w:rPr>
        <w:rFonts w:ascii="Times New Roman" w:eastAsiaTheme="minorHAnsi" w:hAnsi="Times New Roman" w:cs="Times New Roman" w:hint="default"/>
      </w:rPr>
    </w:lvl>
    <w:lvl w:ilvl="1" w:tplc="18090003">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8" w15:restartNumberingAfterBreak="0">
    <w:nsid w:val="3DB92A87"/>
    <w:multiLevelType w:val="multilevel"/>
    <w:tmpl w:val="E83AADB6"/>
    <w:styleLink w:val="Bullets"/>
    <w:lvl w:ilvl="0">
      <w:start w:val="1"/>
      <w:numFmt w:val="bullet"/>
      <w:pStyle w:val="Bullet10"/>
      <w:lvlText w:val=""/>
      <w:lvlJc w:val="left"/>
      <w:pPr>
        <w:tabs>
          <w:tab w:val="num" w:pos="1020"/>
        </w:tabs>
        <w:ind w:left="1380" w:hanging="340"/>
      </w:pPr>
      <w:rPr>
        <w:rFonts w:ascii="Wingdings" w:hAnsi="Wingdings" w:hint="default"/>
        <w:color w:val="002395"/>
        <w:sz w:val="24"/>
      </w:rPr>
    </w:lvl>
    <w:lvl w:ilvl="1">
      <w:start w:val="1"/>
      <w:numFmt w:val="bullet"/>
      <w:pStyle w:val="Bullet2"/>
      <w:lvlText w:val="-"/>
      <w:lvlJc w:val="left"/>
      <w:pPr>
        <w:tabs>
          <w:tab w:val="num" w:pos="1361"/>
        </w:tabs>
        <w:ind w:left="1721" w:hanging="341"/>
      </w:pPr>
      <w:rPr>
        <w:rFonts w:ascii="Arial" w:hAnsi="Arial" w:hint="default"/>
        <w:color w:val="auto"/>
        <w:sz w:val="24"/>
      </w:rPr>
    </w:lvl>
    <w:lvl w:ilvl="2">
      <w:start w:val="1"/>
      <w:numFmt w:val="bullet"/>
      <w:pStyle w:val="Bullet3"/>
      <w:lvlText w:val="◦"/>
      <w:lvlJc w:val="left"/>
      <w:pPr>
        <w:tabs>
          <w:tab w:val="num" w:pos="1701"/>
        </w:tabs>
        <w:ind w:left="2061" w:hanging="340"/>
      </w:pPr>
      <w:rPr>
        <w:rFonts w:ascii="Arial" w:hAnsi="Arial" w:hint="default"/>
        <w:color w:val="44546A" w:themeColor="text2"/>
        <w:sz w:val="28"/>
      </w:rPr>
    </w:lvl>
    <w:lvl w:ilvl="3">
      <w:start w:val="1"/>
      <w:numFmt w:val="decimal"/>
      <w:lvlText w:val=""/>
      <w:lvlJc w:val="left"/>
      <w:pPr>
        <w:tabs>
          <w:tab w:val="num" w:pos="1701"/>
        </w:tabs>
        <w:ind w:left="2061" w:firstLine="0"/>
      </w:pPr>
    </w:lvl>
    <w:lvl w:ilvl="4">
      <w:start w:val="1"/>
      <w:numFmt w:val="decimal"/>
      <w:lvlText w:val=""/>
      <w:lvlJc w:val="left"/>
      <w:pPr>
        <w:tabs>
          <w:tab w:val="num" w:pos="1701"/>
        </w:tabs>
        <w:ind w:left="2061" w:firstLine="0"/>
      </w:pPr>
    </w:lvl>
    <w:lvl w:ilvl="5">
      <w:start w:val="1"/>
      <w:numFmt w:val="decimal"/>
      <w:lvlText w:val=""/>
      <w:lvlJc w:val="left"/>
      <w:pPr>
        <w:tabs>
          <w:tab w:val="num" w:pos="1701"/>
        </w:tabs>
        <w:ind w:left="2061" w:firstLine="0"/>
      </w:pPr>
    </w:lvl>
    <w:lvl w:ilvl="6">
      <w:start w:val="1"/>
      <w:numFmt w:val="decimal"/>
      <w:lvlText w:val=""/>
      <w:lvlJc w:val="left"/>
      <w:pPr>
        <w:tabs>
          <w:tab w:val="num" w:pos="1701"/>
        </w:tabs>
        <w:ind w:left="2061" w:firstLine="0"/>
      </w:pPr>
    </w:lvl>
    <w:lvl w:ilvl="7">
      <w:start w:val="1"/>
      <w:numFmt w:val="decimal"/>
      <w:lvlText w:val=""/>
      <w:lvlJc w:val="left"/>
      <w:pPr>
        <w:tabs>
          <w:tab w:val="num" w:pos="1701"/>
        </w:tabs>
        <w:ind w:left="2061" w:firstLine="0"/>
      </w:pPr>
    </w:lvl>
    <w:lvl w:ilvl="8">
      <w:start w:val="1"/>
      <w:numFmt w:val="decimal"/>
      <w:lvlText w:val=""/>
      <w:lvlJc w:val="left"/>
      <w:pPr>
        <w:tabs>
          <w:tab w:val="num" w:pos="1701"/>
        </w:tabs>
        <w:ind w:left="2061" w:firstLine="0"/>
      </w:pPr>
    </w:lvl>
  </w:abstractNum>
  <w:abstractNum w:abstractNumId="9" w15:restartNumberingAfterBreak="0">
    <w:nsid w:val="48FD631D"/>
    <w:multiLevelType w:val="hybridMultilevel"/>
    <w:tmpl w:val="562EAE2A"/>
    <w:lvl w:ilvl="0" w:tplc="A9A6CB26">
      <w:start w:val="1"/>
      <w:numFmt w:val="bullet"/>
      <w:lvlText w:val=""/>
      <w:lvlJc w:val="left"/>
      <w:pPr>
        <w:ind w:left="720" w:hanging="360"/>
      </w:pPr>
      <w:rPr>
        <w:rFonts w:ascii="Symbol" w:hAnsi="Symbol" w:hint="default"/>
      </w:rPr>
    </w:lvl>
    <w:lvl w:ilvl="1" w:tplc="00A4DBB4" w:tentative="1">
      <w:start w:val="1"/>
      <w:numFmt w:val="bullet"/>
      <w:lvlText w:val="o"/>
      <w:lvlJc w:val="left"/>
      <w:pPr>
        <w:ind w:left="1440" w:hanging="360"/>
      </w:pPr>
      <w:rPr>
        <w:rFonts w:ascii="Courier New" w:hAnsi="Courier New" w:cs="Courier New" w:hint="default"/>
      </w:rPr>
    </w:lvl>
    <w:lvl w:ilvl="2" w:tplc="2BD292FC" w:tentative="1">
      <w:start w:val="1"/>
      <w:numFmt w:val="bullet"/>
      <w:lvlText w:val=""/>
      <w:lvlJc w:val="left"/>
      <w:pPr>
        <w:ind w:left="2160" w:hanging="360"/>
      </w:pPr>
      <w:rPr>
        <w:rFonts w:ascii="Wingdings" w:hAnsi="Wingdings" w:hint="default"/>
      </w:rPr>
    </w:lvl>
    <w:lvl w:ilvl="3" w:tplc="657CA22C" w:tentative="1">
      <w:start w:val="1"/>
      <w:numFmt w:val="bullet"/>
      <w:lvlText w:val=""/>
      <w:lvlJc w:val="left"/>
      <w:pPr>
        <w:ind w:left="2880" w:hanging="360"/>
      </w:pPr>
      <w:rPr>
        <w:rFonts w:ascii="Symbol" w:hAnsi="Symbol" w:hint="default"/>
      </w:rPr>
    </w:lvl>
    <w:lvl w:ilvl="4" w:tplc="F4447C56" w:tentative="1">
      <w:start w:val="1"/>
      <w:numFmt w:val="bullet"/>
      <w:lvlText w:val="o"/>
      <w:lvlJc w:val="left"/>
      <w:pPr>
        <w:ind w:left="3600" w:hanging="360"/>
      </w:pPr>
      <w:rPr>
        <w:rFonts w:ascii="Courier New" w:hAnsi="Courier New" w:cs="Courier New" w:hint="default"/>
      </w:rPr>
    </w:lvl>
    <w:lvl w:ilvl="5" w:tplc="4BFA0540" w:tentative="1">
      <w:start w:val="1"/>
      <w:numFmt w:val="bullet"/>
      <w:lvlText w:val=""/>
      <w:lvlJc w:val="left"/>
      <w:pPr>
        <w:ind w:left="4320" w:hanging="360"/>
      </w:pPr>
      <w:rPr>
        <w:rFonts w:ascii="Wingdings" w:hAnsi="Wingdings" w:hint="default"/>
      </w:rPr>
    </w:lvl>
    <w:lvl w:ilvl="6" w:tplc="B13CEB3C" w:tentative="1">
      <w:start w:val="1"/>
      <w:numFmt w:val="bullet"/>
      <w:lvlText w:val=""/>
      <w:lvlJc w:val="left"/>
      <w:pPr>
        <w:ind w:left="5040" w:hanging="360"/>
      </w:pPr>
      <w:rPr>
        <w:rFonts w:ascii="Symbol" w:hAnsi="Symbol" w:hint="default"/>
      </w:rPr>
    </w:lvl>
    <w:lvl w:ilvl="7" w:tplc="053630AA" w:tentative="1">
      <w:start w:val="1"/>
      <w:numFmt w:val="bullet"/>
      <w:lvlText w:val="o"/>
      <w:lvlJc w:val="left"/>
      <w:pPr>
        <w:ind w:left="5760" w:hanging="360"/>
      </w:pPr>
      <w:rPr>
        <w:rFonts w:ascii="Courier New" w:hAnsi="Courier New" w:cs="Courier New" w:hint="default"/>
      </w:rPr>
    </w:lvl>
    <w:lvl w:ilvl="8" w:tplc="5ED0DAEE" w:tentative="1">
      <w:start w:val="1"/>
      <w:numFmt w:val="bullet"/>
      <w:lvlText w:val=""/>
      <w:lvlJc w:val="left"/>
      <w:pPr>
        <w:ind w:left="6480" w:hanging="360"/>
      </w:pPr>
      <w:rPr>
        <w:rFonts w:ascii="Wingdings" w:hAnsi="Wingdings" w:hint="default"/>
      </w:rPr>
    </w:lvl>
  </w:abstractNum>
  <w:abstractNum w:abstractNumId="10" w15:restartNumberingAfterBreak="0">
    <w:nsid w:val="4CA62FAB"/>
    <w:multiLevelType w:val="multilevel"/>
    <w:tmpl w:val="37761D92"/>
    <w:lvl w:ilvl="0">
      <w:start w:val="5"/>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1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B0F1622"/>
    <w:multiLevelType w:val="multilevel"/>
    <w:tmpl w:val="AD504C8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3443B2"/>
    <w:multiLevelType w:val="hybridMultilevel"/>
    <w:tmpl w:val="3D7066DE"/>
    <w:lvl w:ilvl="0" w:tplc="D7766BD4">
      <w:start w:val="1"/>
      <w:numFmt w:val="bullet"/>
      <w:lvlText w:val=""/>
      <w:lvlJc w:val="left"/>
      <w:pPr>
        <w:ind w:left="785" w:hanging="360"/>
      </w:pPr>
      <w:rPr>
        <w:rFonts w:ascii="Symbol" w:hAnsi="Symbol" w:hint="default"/>
        <w:color w:val="000000" w:themeColor="text1"/>
      </w:rPr>
    </w:lvl>
    <w:lvl w:ilvl="1" w:tplc="2C0A0003">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3" w15:restartNumberingAfterBreak="0">
    <w:nsid w:val="6A213D33"/>
    <w:multiLevelType w:val="hybridMultilevel"/>
    <w:tmpl w:val="FE2A2CDE"/>
    <w:lvl w:ilvl="0" w:tplc="F1F6EA6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30A2623"/>
    <w:multiLevelType w:val="hybridMultilevel"/>
    <w:tmpl w:val="DCC635C2"/>
    <w:lvl w:ilvl="0" w:tplc="080C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 w15:restartNumberingAfterBreak="0">
    <w:nsid w:val="77F715FC"/>
    <w:multiLevelType w:val="hybridMultilevel"/>
    <w:tmpl w:val="0EDEC80A"/>
    <w:lvl w:ilvl="0" w:tplc="F4F6028E">
      <w:start w:val="1"/>
      <w:numFmt w:val="bullet"/>
      <w:lvlText w:val=""/>
      <w:lvlJc w:val="left"/>
      <w:pPr>
        <w:ind w:left="1287" w:hanging="360"/>
      </w:pPr>
      <w:rPr>
        <w:rFonts w:ascii="Symbol" w:hAnsi="Symbol" w:hint="default"/>
      </w:rPr>
    </w:lvl>
    <w:lvl w:ilvl="1" w:tplc="6E729528" w:tentative="1">
      <w:start w:val="1"/>
      <w:numFmt w:val="bullet"/>
      <w:lvlText w:val="o"/>
      <w:lvlJc w:val="left"/>
      <w:pPr>
        <w:ind w:left="2007" w:hanging="360"/>
      </w:pPr>
      <w:rPr>
        <w:rFonts w:ascii="Courier New" w:hAnsi="Courier New" w:cs="Courier New" w:hint="default"/>
      </w:rPr>
    </w:lvl>
    <w:lvl w:ilvl="2" w:tplc="A0D20E7A" w:tentative="1">
      <w:start w:val="1"/>
      <w:numFmt w:val="bullet"/>
      <w:lvlText w:val=""/>
      <w:lvlJc w:val="left"/>
      <w:pPr>
        <w:ind w:left="2727" w:hanging="360"/>
      </w:pPr>
      <w:rPr>
        <w:rFonts w:ascii="Wingdings" w:hAnsi="Wingdings" w:hint="default"/>
      </w:rPr>
    </w:lvl>
    <w:lvl w:ilvl="3" w:tplc="BFF0CD38" w:tentative="1">
      <w:start w:val="1"/>
      <w:numFmt w:val="bullet"/>
      <w:lvlText w:val=""/>
      <w:lvlJc w:val="left"/>
      <w:pPr>
        <w:ind w:left="3447" w:hanging="360"/>
      </w:pPr>
      <w:rPr>
        <w:rFonts w:ascii="Symbol" w:hAnsi="Symbol" w:hint="default"/>
      </w:rPr>
    </w:lvl>
    <w:lvl w:ilvl="4" w:tplc="8C227FA2" w:tentative="1">
      <w:start w:val="1"/>
      <w:numFmt w:val="bullet"/>
      <w:lvlText w:val="o"/>
      <w:lvlJc w:val="left"/>
      <w:pPr>
        <w:ind w:left="4167" w:hanging="360"/>
      </w:pPr>
      <w:rPr>
        <w:rFonts w:ascii="Courier New" w:hAnsi="Courier New" w:cs="Courier New" w:hint="default"/>
      </w:rPr>
    </w:lvl>
    <w:lvl w:ilvl="5" w:tplc="0B0C3560" w:tentative="1">
      <w:start w:val="1"/>
      <w:numFmt w:val="bullet"/>
      <w:lvlText w:val=""/>
      <w:lvlJc w:val="left"/>
      <w:pPr>
        <w:ind w:left="4887" w:hanging="360"/>
      </w:pPr>
      <w:rPr>
        <w:rFonts w:ascii="Wingdings" w:hAnsi="Wingdings" w:hint="default"/>
      </w:rPr>
    </w:lvl>
    <w:lvl w:ilvl="6" w:tplc="305E16D0" w:tentative="1">
      <w:start w:val="1"/>
      <w:numFmt w:val="bullet"/>
      <w:lvlText w:val=""/>
      <w:lvlJc w:val="left"/>
      <w:pPr>
        <w:ind w:left="5607" w:hanging="360"/>
      </w:pPr>
      <w:rPr>
        <w:rFonts w:ascii="Symbol" w:hAnsi="Symbol" w:hint="default"/>
      </w:rPr>
    </w:lvl>
    <w:lvl w:ilvl="7" w:tplc="A4468756" w:tentative="1">
      <w:start w:val="1"/>
      <w:numFmt w:val="bullet"/>
      <w:lvlText w:val="o"/>
      <w:lvlJc w:val="left"/>
      <w:pPr>
        <w:ind w:left="6327" w:hanging="360"/>
      </w:pPr>
      <w:rPr>
        <w:rFonts w:ascii="Courier New" w:hAnsi="Courier New" w:cs="Courier New" w:hint="default"/>
      </w:rPr>
    </w:lvl>
    <w:lvl w:ilvl="8" w:tplc="5344BC1A" w:tentative="1">
      <w:start w:val="1"/>
      <w:numFmt w:val="bullet"/>
      <w:lvlText w:val=""/>
      <w:lvlJc w:val="left"/>
      <w:pPr>
        <w:ind w:left="7047" w:hanging="360"/>
      </w:pPr>
      <w:rPr>
        <w:rFonts w:ascii="Wingdings" w:hAnsi="Wingdings" w:hint="default"/>
      </w:rPr>
    </w:lvl>
  </w:abstractNum>
  <w:abstractNum w:abstractNumId="16" w15:restartNumberingAfterBreak="0">
    <w:nsid w:val="7BE01280"/>
    <w:multiLevelType w:val="multilevel"/>
    <w:tmpl w:val="AF00417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F37455F"/>
    <w:multiLevelType w:val="hybridMultilevel"/>
    <w:tmpl w:val="CDB8B546"/>
    <w:lvl w:ilvl="0" w:tplc="B4B625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9"/>
  </w:num>
  <w:num w:numId="4">
    <w:abstractNumId w:val="0"/>
  </w:num>
  <w:num w:numId="5">
    <w:abstractNumId w:val="15"/>
  </w:num>
  <w:num w:numId="6">
    <w:abstractNumId w:val="8"/>
  </w:num>
  <w:num w:numId="7">
    <w:abstractNumId w:val="6"/>
  </w:num>
  <w:num w:numId="8">
    <w:abstractNumId w:val="13"/>
  </w:num>
  <w:num w:numId="9">
    <w:abstractNumId w:val="14"/>
  </w:num>
  <w:num w:numId="10">
    <w:abstractNumId w:val="3"/>
  </w:num>
  <w:num w:numId="11">
    <w:abstractNumId w:val="1"/>
  </w:num>
  <w:num w:numId="12">
    <w:abstractNumId w:val="17"/>
  </w:num>
  <w:num w:numId="13">
    <w:abstractNumId w:val="5"/>
  </w:num>
  <w:num w:numId="14">
    <w:abstractNumId w:val="7"/>
  </w:num>
  <w:num w:numId="15">
    <w:abstractNumId w:val="4"/>
  </w:num>
  <w:num w:numId="16">
    <w:abstractNumId w:val="12"/>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1A5EDA2-CFCF-4532-96E3-A86DF50221E6"/>
    <w:docVar w:name="LW_COVERPAGE_TYPE" w:val="1"/>
    <w:docVar w:name="LW_CROSSREFERENCE" w:val="&lt;UNUSED&gt;"/>
    <w:docVar w:name="LW_DocType" w:val="NORMAL"/>
    <w:docVar w:name="LW_EMISSION" w:val="4.2.2026"/>
    <w:docVar w:name="LW_EMISSION_ISODATE" w:val="2026-02-0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xercise of the delegation conferred to the Commission pursuant to _x000b_Article 31 of Regulation (EU) 2015/2283 on novel foods_x000b_"/>
    <w:docVar w:name="LW_TYPE.DOC.CP" w:val="REPORT FROM THE COMMISSION TO THE EUROPEAN PARLIAMENT AND THE COUNCIL"/>
    <w:docVar w:name="LwApiVersions" w:val="LW4CoDe 1.24.5.0; LW 9.2, Build 20251112"/>
  </w:docVars>
  <w:rsids>
    <w:rsidRoot w:val="00237E99"/>
    <w:rsid w:val="00000257"/>
    <w:rsid w:val="000008D2"/>
    <w:rsid w:val="00002023"/>
    <w:rsid w:val="000028E1"/>
    <w:rsid w:val="00007C79"/>
    <w:rsid w:val="00012E7B"/>
    <w:rsid w:val="00014099"/>
    <w:rsid w:val="00014A68"/>
    <w:rsid w:val="00014DB3"/>
    <w:rsid w:val="0001654C"/>
    <w:rsid w:val="00016E3C"/>
    <w:rsid w:val="00020EDA"/>
    <w:rsid w:val="000231C3"/>
    <w:rsid w:val="00023D65"/>
    <w:rsid w:val="00025BC2"/>
    <w:rsid w:val="00026DF9"/>
    <w:rsid w:val="00026EAB"/>
    <w:rsid w:val="000275BD"/>
    <w:rsid w:val="00035D4D"/>
    <w:rsid w:val="00035DB8"/>
    <w:rsid w:val="000367BB"/>
    <w:rsid w:val="000375B3"/>
    <w:rsid w:val="00037B6C"/>
    <w:rsid w:val="000419BF"/>
    <w:rsid w:val="00043973"/>
    <w:rsid w:val="00045556"/>
    <w:rsid w:val="00045BB2"/>
    <w:rsid w:val="0005197F"/>
    <w:rsid w:val="00053325"/>
    <w:rsid w:val="000534B5"/>
    <w:rsid w:val="00055DB7"/>
    <w:rsid w:val="00056CCF"/>
    <w:rsid w:val="000612D7"/>
    <w:rsid w:val="0006131B"/>
    <w:rsid w:val="00061A60"/>
    <w:rsid w:val="00065D50"/>
    <w:rsid w:val="00066C5B"/>
    <w:rsid w:val="000674B2"/>
    <w:rsid w:val="00070241"/>
    <w:rsid w:val="00070DB3"/>
    <w:rsid w:val="00070E5D"/>
    <w:rsid w:val="000722B8"/>
    <w:rsid w:val="00072342"/>
    <w:rsid w:val="00076A87"/>
    <w:rsid w:val="00077009"/>
    <w:rsid w:val="00080FC9"/>
    <w:rsid w:val="000810AC"/>
    <w:rsid w:val="000859FA"/>
    <w:rsid w:val="000862C6"/>
    <w:rsid w:val="0008699A"/>
    <w:rsid w:val="0008738A"/>
    <w:rsid w:val="00087C55"/>
    <w:rsid w:val="00090B0E"/>
    <w:rsid w:val="00093574"/>
    <w:rsid w:val="00094651"/>
    <w:rsid w:val="00095559"/>
    <w:rsid w:val="00097138"/>
    <w:rsid w:val="000A000C"/>
    <w:rsid w:val="000A24EC"/>
    <w:rsid w:val="000A3569"/>
    <w:rsid w:val="000A5CD4"/>
    <w:rsid w:val="000A6FAF"/>
    <w:rsid w:val="000B0A31"/>
    <w:rsid w:val="000B1402"/>
    <w:rsid w:val="000B1AF3"/>
    <w:rsid w:val="000B3315"/>
    <w:rsid w:val="000B3880"/>
    <w:rsid w:val="000B3D07"/>
    <w:rsid w:val="000B4394"/>
    <w:rsid w:val="000B6D65"/>
    <w:rsid w:val="000C0719"/>
    <w:rsid w:val="000C0D4F"/>
    <w:rsid w:val="000C1477"/>
    <w:rsid w:val="000C2580"/>
    <w:rsid w:val="000C3F53"/>
    <w:rsid w:val="000C7718"/>
    <w:rsid w:val="000D1A21"/>
    <w:rsid w:val="000D4D3B"/>
    <w:rsid w:val="000D57F2"/>
    <w:rsid w:val="000E1769"/>
    <w:rsid w:val="000E462E"/>
    <w:rsid w:val="000E4A38"/>
    <w:rsid w:val="000E7416"/>
    <w:rsid w:val="000E74C0"/>
    <w:rsid w:val="000E794A"/>
    <w:rsid w:val="000F0AD2"/>
    <w:rsid w:val="000F116D"/>
    <w:rsid w:val="000F20CD"/>
    <w:rsid w:val="000F2541"/>
    <w:rsid w:val="000F353F"/>
    <w:rsid w:val="000F5746"/>
    <w:rsid w:val="000F5DCE"/>
    <w:rsid w:val="000F78BD"/>
    <w:rsid w:val="00100023"/>
    <w:rsid w:val="0010011E"/>
    <w:rsid w:val="001031EF"/>
    <w:rsid w:val="0010473C"/>
    <w:rsid w:val="00104A8D"/>
    <w:rsid w:val="00105D5E"/>
    <w:rsid w:val="0010742A"/>
    <w:rsid w:val="001117D7"/>
    <w:rsid w:val="001118FC"/>
    <w:rsid w:val="00111C81"/>
    <w:rsid w:val="00112095"/>
    <w:rsid w:val="00113A8A"/>
    <w:rsid w:val="00117869"/>
    <w:rsid w:val="00120061"/>
    <w:rsid w:val="00120643"/>
    <w:rsid w:val="001216EB"/>
    <w:rsid w:val="00121E46"/>
    <w:rsid w:val="001235E1"/>
    <w:rsid w:val="00123B96"/>
    <w:rsid w:val="00124C93"/>
    <w:rsid w:val="00125C55"/>
    <w:rsid w:val="00126581"/>
    <w:rsid w:val="00126B23"/>
    <w:rsid w:val="001270C9"/>
    <w:rsid w:val="001308A4"/>
    <w:rsid w:val="00130C20"/>
    <w:rsid w:val="0013154E"/>
    <w:rsid w:val="001320D5"/>
    <w:rsid w:val="0013264E"/>
    <w:rsid w:val="00135794"/>
    <w:rsid w:val="001363A2"/>
    <w:rsid w:val="001412E3"/>
    <w:rsid w:val="0014178D"/>
    <w:rsid w:val="00144929"/>
    <w:rsid w:val="00145FAE"/>
    <w:rsid w:val="0014606E"/>
    <w:rsid w:val="00151071"/>
    <w:rsid w:val="00153C08"/>
    <w:rsid w:val="00154C84"/>
    <w:rsid w:val="00156090"/>
    <w:rsid w:val="00161BB2"/>
    <w:rsid w:val="00167191"/>
    <w:rsid w:val="001708DE"/>
    <w:rsid w:val="0017230D"/>
    <w:rsid w:val="00174B40"/>
    <w:rsid w:val="001778A5"/>
    <w:rsid w:val="00177B63"/>
    <w:rsid w:val="00181AFE"/>
    <w:rsid w:val="00183564"/>
    <w:rsid w:val="001844AA"/>
    <w:rsid w:val="00185054"/>
    <w:rsid w:val="00185C0C"/>
    <w:rsid w:val="00186A2D"/>
    <w:rsid w:val="00187B0E"/>
    <w:rsid w:val="00187D86"/>
    <w:rsid w:val="001928D5"/>
    <w:rsid w:val="001943A1"/>
    <w:rsid w:val="00194D5E"/>
    <w:rsid w:val="00196D0C"/>
    <w:rsid w:val="00197B37"/>
    <w:rsid w:val="001A28EE"/>
    <w:rsid w:val="001A40B0"/>
    <w:rsid w:val="001B29E6"/>
    <w:rsid w:val="001B356B"/>
    <w:rsid w:val="001B4306"/>
    <w:rsid w:val="001B4939"/>
    <w:rsid w:val="001B56DF"/>
    <w:rsid w:val="001B56FE"/>
    <w:rsid w:val="001B5D79"/>
    <w:rsid w:val="001B7B6D"/>
    <w:rsid w:val="001B7D14"/>
    <w:rsid w:val="001B7DF2"/>
    <w:rsid w:val="001B7F3F"/>
    <w:rsid w:val="001C1C85"/>
    <w:rsid w:val="001C3FC8"/>
    <w:rsid w:val="001C4F73"/>
    <w:rsid w:val="001C7150"/>
    <w:rsid w:val="001D0B0D"/>
    <w:rsid w:val="001D45BA"/>
    <w:rsid w:val="001D5291"/>
    <w:rsid w:val="001D6DB9"/>
    <w:rsid w:val="001E0150"/>
    <w:rsid w:val="001E2B9C"/>
    <w:rsid w:val="001E3C23"/>
    <w:rsid w:val="001E3DEE"/>
    <w:rsid w:val="001E431F"/>
    <w:rsid w:val="001E4865"/>
    <w:rsid w:val="001E5062"/>
    <w:rsid w:val="001E6A07"/>
    <w:rsid w:val="001E7372"/>
    <w:rsid w:val="001E785F"/>
    <w:rsid w:val="001E7A31"/>
    <w:rsid w:val="001F1124"/>
    <w:rsid w:val="001F19D7"/>
    <w:rsid w:val="001F2F81"/>
    <w:rsid w:val="001F42C6"/>
    <w:rsid w:val="001F4968"/>
    <w:rsid w:val="001F55A4"/>
    <w:rsid w:val="001F62ED"/>
    <w:rsid w:val="00200527"/>
    <w:rsid w:val="0020132E"/>
    <w:rsid w:val="00201869"/>
    <w:rsid w:val="00201E99"/>
    <w:rsid w:val="00203C62"/>
    <w:rsid w:val="0020766C"/>
    <w:rsid w:val="00213328"/>
    <w:rsid w:val="0021476F"/>
    <w:rsid w:val="0021518F"/>
    <w:rsid w:val="00216A47"/>
    <w:rsid w:val="00220960"/>
    <w:rsid w:val="00221708"/>
    <w:rsid w:val="00222A43"/>
    <w:rsid w:val="0022390A"/>
    <w:rsid w:val="0022497F"/>
    <w:rsid w:val="00224AD6"/>
    <w:rsid w:val="00225FFC"/>
    <w:rsid w:val="00230CC0"/>
    <w:rsid w:val="00231BA0"/>
    <w:rsid w:val="00232E82"/>
    <w:rsid w:val="00234226"/>
    <w:rsid w:val="00237E99"/>
    <w:rsid w:val="0024295C"/>
    <w:rsid w:val="00243099"/>
    <w:rsid w:val="00244530"/>
    <w:rsid w:val="0024522E"/>
    <w:rsid w:val="002452E4"/>
    <w:rsid w:val="002463F1"/>
    <w:rsid w:val="0025082E"/>
    <w:rsid w:val="00250C18"/>
    <w:rsid w:val="00257143"/>
    <w:rsid w:val="00260B34"/>
    <w:rsid w:val="002611D0"/>
    <w:rsid w:val="002634BF"/>
    <w:rsid w:val="00264B02"/>
    <w:rsid w:val="0026536B"/>
    <w:rsid w:val="00265A39"/>
    <w:rsid w:val="0026727B"/>
    <w:rsid w:val="002702BA"/>
    <w:rsid w:val="002709AF"/>
    <w:rsid w:val="00274C57"/>
    <w:rsid w:val="002767DE"/>
    <w:rsid w:val="00284F51"/>
    <w:rsid w:val="002854CC"/>
    <w:rsid w:val="00286556"/>
    <w:rsid w:val="0029135B"/>
    <w:rsid w:val="00293515"/>
    <w:rsid w:val="002935F5"/>
    <w:rsid w:val="00293BD9"/>
    <w:rsid w:val="002969BA"/>
    <w:rsid w:val="002A0AE7"/>
    <w:rsid w:val="002A33C6"/>
    <w:rsid w:val="002A4B10"/>
    <w:rsid w:val="002B2533"/>
    <w:rsid w:val="002B26D8"/>
    <w:rsid w:val="002B52E2"/>
    <w:rsid w:val="002B5C23"/>
    <w:rsid w:val="002B6E5A"/>
    <w:rsid w:val="002C269D"/>
    <w:rsid w:val="002C2B5F"/>
    <w:rsid w:val="002C396C"/>
    <w:rsid w:val="002C4C8C"/>
    <w:rsid w:val="002C503E"/>
    <w:rsid w:val="002C5B7F"/>
    <w:rsid w:val="002C6EEE"/>
    <w:rsid w:val="002C7405"/>
    <w:rsid w:val="002D0B34"/>
    <w:rsid w:val="002D0C21"/>
    <w:rsid w:val="002D2C61"/>
    <w:rsid w:val="002D33D3"/>
    <w:rsid w:val="002E0D3A"/>
    <w:rsid w:val="002E1D38"/>
    <w:rsid w:val="002E2F97"/>
    <w:rsid w:val="002E330E"/>
    <w:rsid w:val="002E43BE"/>
    <w:rsid w:val="002F1F80"/>
    <w:rsid w:val="002F321C"/>
    <w:rsid w:val="002F343C"/>
    <w:rsid w:val="002F4C57"/>
    <w:rsid w:val="002F4F76"/>
    <w:rsid w:val="00301888"/>
    <w:rsid w:val="00304583"/>
    <w:rsid w:val="00306107"/>
    <w:rsid w:val="00310882"/>
    <w:rsid w:val="003108AE"/>
    <w:rsid w:val="00312917"/>
    <w:rsid w:val="00312EA1"/>
    <w:rsid w:val="00314A6A"/>
    <w:rsid w:val="003159D9"/>
    <w:rsid w:val="00316E51"/>
    <w:rsid w:val="00317832"/>
    <w:rsid w:val="00320D41"/>
    <w:rsid w:val="003273E6"/>
    <w:rsid w:val="0032745A"/>
    <w:rsid w:val="00327DE2"/>
    <w:rsid w:val="00331C9F"/>
    <w:rsid w:val="003323A6"/>
    <w:rsid w:val="0033374E"/>
    <w:rsid w:val="00334AFE"/>
    <w:rsid w:val="00334C7F"/>
    <w:rsid w:val="00335FD6"/>
    <w:rsid w:val="00336292"/>
    <w:rsid w:val="0034092E"/>
    <w:rsid w:val="00340DF0"/>
    <w:rsid w:val="003428C9"/>
    <w:rsid w:val="00343ED3"/>
    <w:rsid w:val="00344F06"/>
    <w:rsid w:val="00345798"/>
    <w:rsid w:val="0034698E"/>
    <w:rsid w:val="00353DA6"/>
    <w:rsid w:val="00355ED3"/>
    <w:rsid w:val="003602B1"/>
    <w:rsid w:val="00361D92"/>
    <w:rsid w:val="00363F86"/>
    <w:rsid w:val="00364AF2"/>
    <w:rsid w:val="00370BDA"/>
    <w:rsid w:val="00372454"/>
    <w:rsid w:val="00372AB9"/>
    <w:rsid w:val="003739EF"/>
    <w:rsid w:val="0038137B"/>
    <w:rsid w:val="003819E0"/>
    <w:rsid w:val="0038729B"/>
    <w:rsid w:val="00392BA5"/>
    <w:rsid w:val="00393868"/>
    <w:rsid w:val="00393C5D"/>
    <w:rsid w:val="0039646E"/>
    <w:rsid w:val="00396699"/>
    <w:rsid w:val="00396B83"/>
    <w:rsid w:val="003A13CF"/>
    <w:rsid w:val="003A16F6"/>
    <w:rsid w:val="003A191D"/>
    <w:rsid w:val="003A3809"/>
    <w:rsid w:val="003B1FE0"/>
    <w:rsid w:val="003B2C77"/>
    <w:rsid w:val="003B3539"/>
    <w:rsid w:val="003B3A21"/>
    <w:rsid w:val="003B4447"/>
    <w:rsid w:val="003B4964"/>
    <w:rsid w:val="003B54F7"/>
    <w:rsid w:val="003C0BAB"/>
    <w:rsid w:val="003C1BE2"/>
    <w:rsid w:val="003C1D30"/>
    <w:rsid w:val="003C3825"/>
    <w:rsid w:val="003C5D6A"/>
    <w:rsid w:val="003C5EF2"/>
    <w:rsid w:val="003D0F97"/>
    <w:rsid w:val="003D14D7"/>
    <w:rsid w:val="003D4898"/>
    <w:rsid w:val="003D624E"/>
    <w:rsid w:val="003D77E3"/>
    <w:rsid w:val="003E017F"/>
    <w:rsid w:val="003E01D7"/>
    <w:rsid w:val="003E1CCD"/>
    <w:rsid w:val="003E1EB8"/>
    <w:rsid w:val="003E33AE"/>
    <w:rsid w:val="003E4B72"/>
    <w:rsid w:val="003E5F27"/>
    <w:rsid w:val="003E6CF5"/>
    <w:rsid w:val="003E6FB4"/>
    <w:rsid w:val="003F0064"/>
    <w:rsid w:val="003F132A"/>
    <w:rsid w:val="003F1378"/>
    <w:rsid w:val="003F1722"/>
    <w:rsid w:val="003F1C24"/>
    <w:rsid w:val="003F4779"/>
    <w:rsid w:val="003F4D89"/>
    <w:rsid w:val="003F4E91"/>
    <w:rsid w:val="003F5AFA"/>
    <w:rsid w:val="003F6669"/>
    <w:rsid w:val="0040349F"/>
    <w:rsid w:val="00404C7F"/>
    <w:rsid w:val="0040660B"/>
    <w:rsid w:val="00407639"/>
    <w:rsid w:val="004124CA"/>
    <w:rsid w:val="004128FD"/>
    <w:rsid w:val="00412E7C"/>
    <w:rsid w:val="004146E7"/>
    <w:rsid w:val="00417907"/>
    <w:rsid w:val="00422A52"/>
    <w:rsid w:val="00426D1A"/>
    <w:rsid w:val="00431646"/>
    <w:rsid w:val="00432584"/>
    <w:rsid w:val="00432A87"/>
    <w:rsid w:val="00433FFD"/>
    <w:rsid w:val="004357EF"/>
    <w:rsid w:val="00435B21"/>
    <w:rsid w:val="00436535"/>
    <w:rsid w:val="00437D29"/>
    <w:rsid w:val="004407DE"/>
    <w:rsid w:val="00440C65"/>
    <w:rsid w:val="0044617E"/>
    <w:rsid w:val="004514B1"/>
    <w:rsid w:val="0045262E"/>
    <w:rsid w:val="00454027"/>
    <w:rsid w:val="0045596C"/>
    <w:rsid w:val="00456B99"/>
    <w:rsid w:val="00457CCE"/>
    <w:rsid w:val="00462354"/>
    <w:rsid w:val="004629CB"/>
    <w:rsid w:val="00466E36"/>
    <w:rsid w:val="00467369"/>
    <w:rsid w:val="00467776"/>
    <w:rsid w:val="00467944"/>
    <w:rsid w:val="00467ADF"/>
    <w:rsid w:val="004703EF"/>
    <w:rsid w:val="00470CB9"/>
    <w:rsid w:val="00470F85"/>
    <w:rsid w:val="004711F2"/>
    <w:rsid w:val="00471BF5"/>
    <w:rsid w:val="004735ED"/>
    <w:rsid w:val="00475279"/>
    <w:rsid w:val="004771ED"/>
    <w:rsid w:val="004808C2"/>
    <w:rsid w:val="00480F48"/>
    <w:rsid w:val="00481D2A"/>
    <w:rsid w:val="00481F97"/>
    <w:rsid w:val="00485100"/>
    <w:rsid w:val="00485C80"/>
    <w:rsid w:val="00491EC1"/>
    <w:rsid w:val="00492342"/>
    <w:rsid w:val="0049296C"/>
    <w:rsid w:val="00493615"/>
    <w:rsid w:val="00493AB4"/>
    <w:rsid w:val="00495182"/>
    <w:rsid w:val="004A0C0D"/>
    <w:rsid w:val="004A0EAD"/>
    <w:rsid w:val="004A2841"/>
    <w:rsid w:val="004B0494"/>
    <w:rsid w:val="004B11CE"/>
    <w:rsid w:val="004B1DE2"/>
    <w:rsid w:val="004C139A"/>
    <w:rsid w:val="004C1F14"/>
    <w:rsid w:val="004C2499"/>
    <w:rsid w:val="004C2878"/>
    <w:rsid w:val="004C2A7C"/>
    <w:rsid w:val="004C334B"/>
    <w:rsid w:val="004C3DF1"/>
    <w:rsid w:val="004C7668"/>
    <w:rsid w:val="004C7C0C"/>
    <w:rsid w:val="004C7E7D"/>
    <w:rsid w:val="004D4142"/>
    <w:rsid w:val="004D48E9"/>
    <w:rsid w:val="004D734D"/>
    <w:rsid w:val="004E1C95"/>
    <w:rsid w:val="004E26EC"/>
    <w:rsid w:val="004E276A"/>
    <w:rsid w:val="004E2779"/>
    <w:rsid w:val="004E4767"/>
    <w:rsid w:val="004E537B"/>
    <w:rsid w:val="004E75A3"/>
    <w:rsid w:val="004F0E0E"/>
    <w:rsid w:val="004F19EF"/>
    <w:rsid w:val="004F2481"/>
    <w:rsid w:val="004F66A4"/>
    <w:rsid w:val="004F7904"/>
    <w:rsid w:val="004F7A3B"/>
    <w:rsid w:val="00500D7C"/>
    <w:rsid w:val="00502B5E"/>
    <w:rsid w:val="005038D9"/>
    <w:rsid w:val="00504DC3"/>
    <w:rsid w:val="005112C3"/>
    <w:rsid w:val="00511A5E"/>
    <w:rsid w:val="005123E3"/>
    <w:rsid w:val="00512F9A"/>
    <w:rsid w:val="0052261E"/>
    <w:rsid w:val="00523AE2"/>
    <w:rsid w:val="0052407C"/>
    <w:rsid w:val="00525E0A"/>
    <w:rsid w:val="00526726"/>
    <w:rsid w:val="005268E6"/>
    <w:rsid w:val="00526D75"/>
    <w:rsid w:val="00531DBE"/>
    <w:rsid w:val="00534133"/>
    <w:rsid w:val="00537E8F"/>
    <w:rsid w:val="00540358"/>
    <w:rsid w:val="00540361"/>
    <w:rsid w:val="00540A11"/>
    <w:rsid w:val="005460DB"/>
    <w:rsid w:val="00546D46"/>
    <w:rsid w:val="0055031F"/>
    <w:rsid w:val="005505C3"/>
    <w:rsid w:val="005578C7"/>
    <w:rsid w:val="00557DCC"/>
    <w:rsid w:val="00560057"/>
    <w:rsid w:val="0056406D"/>
    <w:rsid w:val="00564281"/>
    <w:rsid w:val="00566570"/>
    <w:rsid w:val="00571B90"/>
    <w:rsid w:val="00572449"/>
    <w:rsid w:val="00572DCF"/>
    <w:rsid w:val="00573144"/>
    <w:rsid w:val="0057369F"/>
    <w:rsid w:val="00576F4A"/>
    <w:rsid w:val="005827CF"/>
    <w:rsid w:val="00582FA2"/>
    <w:rsid w:val="005840A7"/>
    <w:rsid w:val="00586BE6"/>
    <w:rsid w:val="00587E46"/>
    <w:rsid w:val="00593136"/>
    <w:rsid w:val="0059508B"/>
    <w:rsid w:val="0059646B"/>
    <w:rsid w:val="005969D1"/>
    <w:rsid w:val="005A3001"/>
    <w:rsid w:val="005A71A8"/>
    <w:rsid w:val="005B0C8D"/>
    <w:rsid w:val="005B2CC9"/>
    <w:rsid w:val="005B3EDA"/>
    <w:rsid w:val="005B3EEE"/>
    <w:rsid w:val="005C1421"/>
    <w:rsid w:val="005C1776"/>
    <w:rsid w:val="005C208B"/>
    <w:rsid w:val="005C2426"/>
    <w:rsid w:val="005C44B0"/>
    <w:rsid w:val="005C46C8"/>
    <w:rsid w:val="005C56E2"/>
    <w:rsid w:val="005C5F67"/>
    <w:rsid w:val="005C7385"/>
    <w:rsid w:val="005D123D"/>
    <w:rsid w:val="005D1853"/>
    <w:rsid w:val="005D3CBB"/>
    <w:rsid w:val="005D46C5"/>
    <w:rsid w:val="005D5F3C"/>
    <w:rsid w:val="005E49CC"/>
    <w:rsid w:val="005E5DCF"/>
    <w:rsid w:val="005F404C"/>
    <w:rsid w:val="006006BF"/>
    <w:rsid w:val="00600BDC"/>
    <w:rsid w:val="00600CAD"/>
    <w:rsid w:val="00605198"/>
    <w:rsid w:val="0060603A"/>
    <w:rsid w:val="00612A38"/>
    <w:rsid w:val="00613CB0"/>
    <w:rsid w:val="00616E53"/>
    <w:rsid w:val="006255BE"/>
    <w:rsid w:val="006270F2"/>
    <w:rsid w:val="006309F4"/>
    <w:rsid w:val="006314AF"/>
    <w:rsid w:val="00632216"/>
    <w:rsid w:val="006353B0"/>
    <w:rsid w:val="00636F42"/>
    <w:rsid w:val="00640EE3"/>
    <w:rsid w:val="006412C5"/>
    <w:rsid w:val="0064712B"/>
    <w:rsid w:val="0064758A"/>
    <w:rsid w:val="0065149B"/>
    <w:rsid w:val="0065544D"/>
    <w:rsid w:val="006554E4"/>
    <w:rsid w:val="00655FE4"/>
    <w:rsid w:val="0065644D"/>
    <w:rsid w:val="00656A1F"/>
    <w:rsid w:val="00656A89"/>
    <w:rsid w:val="00657152"/>
    <w:rsid w:val="0066723D"/>
    <w:rsid w:val="0066728C"/>
    <w:rsid w:val="00667409"/>
    <w:rsid w:val="00670F79"/>
    <w:rsid w:val="00672F53"/>
    <w:rsid w:val="00675B6B"/>
    <w:rsid w:val="00680115"/>
    <w:rsid w:val="006803D7"/>
    <w:rsid w:val="00680480"/>
    <w:rsid w:val="00680D3C"/>
    <w:rsid w:val="00681388"/>
    <w:rsid w:val="00681838"/>
    <w:rsid w:val="00682FD2"/>
    <w:rsid w:val="00685935"/>
    <w:rsid w:val="00686430"/>
    <w:rsid w:val="006877BA"/>
    <w:rsid w:val="00687974"/>
    <w:rsid w:val="00691F4B"/>
    <w:rsid w:val="0069250C"/>
    <w:rsid w:val="00692C97"/>
    <w:rsid w:val="0069348F"/>
    <w:rsid w:val="006945C7"/>
    <w:rsid w:val="00694DB6"/>
    <w:rsid w:val="0069523D"/>
    <w:rsid w:val="006A0F22"/>
    <w:rsid w:val="006A2765"/>
    <w:rsid w:val="006A4E98"/>
    <w:rsid w:val="006A67D1"/>
    <w:rsid w:val="006A6CE0"/>
    <w:rsid w:val="006A76E5"/>
    <w:rsid w:val="006B1C5D"/>
    <w:rsid w:val="006B214E"/>
    <w:rsid w:val="006B23A2"/>
    <w:rsid w:val="006B32BF"/>
    <w:rsid w:val="006B3CC7"/>
    <w:rsid w:val="006B57A3"/>
    <w:rsid w:val="006B5C07"/>
    <w:rsid w:val="006C1B82"/>
    <w:rsid w:val="006C2779"/>
    <w:rsid w:val="006C2E98"/>
    <w:rsid w:val="006C4593"/>
    <w:rsid w:val="006C6818"/>
    <w:rsid w:val="006D19EC"/>
    <w:rsid w:val="006D4490"/>
    <w:rsid w:val="006D5548"/>
    <w:rsid w:val="006D782A"/>
    <w:rsid w:val="006E063A"/>
    <w:rsid w:val="006E181D"/>
    <w:rsid w:val="006E5EF0"/>
    <w:rsid w:val="006F1684"/>
    <w:rsid w:val="006F1CC8"/>
    <w:rsid w:val="006F460A"/>
    <w:rsid w:val="006F5774"/>
    <w:rsid w:val="006F6728"/>
    <w:rsid w:val="00700764"/>
    <w:rsid w:val="007008C6"/>
    <w:rsid w:val="00702077"/>
    <w:rsid w:val="00706E93"/>
    <w:rsid w:val="0071182D"/>
    <w:rsid w:val="00713828"/>
    <w:rsid w:val="00717447"/>
    <w:rsid w:val="007175AA"/>
    <w:rsid w:val="00717F92"/>
    <w:rsid w:val="0072103D"/>
    <w:rsid w:val="00723962"/>
    <w:rsid w:val="0072422C"/>
    <w:rsid w:val="007262DB"/>
    <w:rsid w:val="00727048"/>
    <w:rsid w:val="00727B3C"/>
    <w:rsid w:val="00731FFF"/>
    <w:rsid w:val="0073233E"/>
    <w:rsid w:val="0073527F"/>
    <w:rsid w:val="00735F00"/>
    <w:rsid w:val="00737341"/>
    <w:rsid w:val="00737BF6"/>
    <w:rsid w:val="0074211B"/>
    <w:rsid w:val="0074223C"/>
    <w:rsid w:val="00743DC3"/>
    <w:rsid w:val="0074455E"/>
    <w:rsid w:val="00745293"/>
    <w:rsid w:val="007465C9"/>
    <w:rsid w:val="00746B2A"/>
    <w:rsid w:val="00747E72"/>
    <w:rsid w:val="00751E41"/>
    <w:rsid w:val="007561FC"/>
    <w:rsid w:val="00756413"/>
    <w:rsid w:val="00756841"/>
    <w:rsid w:val="00756C23"/>
    <w:rsid w:val="007609A3"/>
    <w:rsid w:val="0076104E"/>
    <w:rsid w:val="0076438F"/>
    <w:rsid w:val="0076444B"/>
    <w:rsid w:val="00765C3A"/>
    <w:rsid w:val="00766E63"/>
    <w:rsid w:val="0077024E"/>
    <w:rsid w:val="007717EC"/>
    <w:rsid w:val="00772D74"/>
    <w:rsid w:val="00777CE2"/>
    <w:rsid w:val="00781892"/>
    <w:rsid w:val="007823D1"/>
    <w:rsid w:val="00784037"/>
    <w:rsid w:val="007858CC"/>
    <w:rsid w:val="00785911"/>
    <w:rsid w:val="007859D3"/>
    <w:rsid w:val="0078649C"/>
    <w:rsid w:val="00791B33"/>
    <w:rsid w:val="00792315"/>
    <w:rsid w:val="00792800"/>
    <w:rsid w:val="007946DE"/>
    <w:rsid w:val="007966F0"/>
    <w:rsid w:val="007A0DCB"/>
    <w:rsid w:val="007A452C"/>
    <w:rsid w:val="007A500C"/>
    <w:rsid w:val="007A5679"/>
    <w:rsid w:val="007A5A59"/>
    <w:rsid w:val="007A654B"/>
    <w:rsid w:val="007A72F6"/>
    <w:rsid w:val="007A7CE5"/>
    <w:rsid w:val="007B2655"/>
    <w:rsid w:val="007B2D63"/>
    <w:rsid w:val="007B3E49"/>
    <w:rsid w:val="007B662B"/>
    <w:rsid w:val="007C16C7"/>
    <w:rsid w:val="007C42CC"/>
    <w:rsid w:val="007C4700"/>
    <w:rsid w:val="007D1176"/>
    <w:rsid w:val="007D2E57"/>
    <w:rsid w:val="007D3339"/>
    <w:rsid w:val="007D3C74"/>
    <w:rsid w:val="007D4541"/>
    <w:rsid w:val="007D4BCA"/>
    <w:rsid w:val="007D4F91"/>
    <w:rsid w:val="007D6856"/>
    <w:rsid w:val="007D77C4"/>
    <w:rsid w:val="007D7D4C"/>
    <w:rsid w:val="007E2E97"/>
    <w:rsid w:val="007E5ED3"/>
    <w:rsid w:val="007E668C"/>
    <w:rsid w:val="007F0EFB"/>
    <w:rsid w:val="007F7FA4"/>
    <w:rsid w:val="008028CC"/>
    <w:rsid w:val="00803BCC"/>
    <w:rsid w:val="0080520A"/>
    <w:rsid w:val="00806160"/>
    <w:rsid w:val="00810781"/>
    <w:rsid w:val="008108E7"/>
    <w:rsid w:val="00810A81"/>
    <w:rsid w:val="00810F81"/>
    <w:rsid w:val="00811FFB"/>
    <w:rsid w:val="00812072"/>
    <w:rsid w:val="008144F3"/>
    <w:rsid w:val="008145F2"/>
    <w:rsid w:val="00817236"/>
    <w:rsid w:val="00817FD6"/>
    <w:rsid w:val="00821301"/>
    <w:rsid w:val="00822A7C"/>
    <w:rsid w:val="00823C4E"/>
    <w:rsid w:val="00824A3F"/>
    <w:rsid w:val="008264CA"/>
    <w:rsid w:val="0083105E"/>
    <w:rsid w:val="0083131E"/>
    <w:rsid w:val="0083360F"/>
    <w:rsid w:val="00833723"/>
    <w:rsid w:val="00834BFD"/>
    <w:rsid w:val="00837F7E"/>
    <w:rsid w:val="0084269A"/>
    <w:rsid w:val="00842891"/>
    <w:rsid w:val="00845027"/>
    <w:rsid w:val="00845281"/>
    <w:rsid w:val="00847C1E"/>
    <w:rsid w:val="00854BE6"/>
    <w:rsid w:val="00854D2B"/>
    <w:rsid w:val="008615B1"/>
    <w:rsid w:val="008627D6"/>
    <w:rsid w:val="008632D9"/>
    <w:rsid w:val="0087039F"/>
    <w:rsid w:val="00870C1E"/>
    <w:rsid w:val="00873546"/>
    <w:rsid w:val="00877A2F"/>
    <w:rsid w:val="0088158A"/>
    <w:rsid w:val="00891EAE"/>
    <w:rsid w:val="00891FC7"/>
    <w:rsid w:val="00893815"/>
    <w:rsid w:val="00895CC2"/>
    <w:rsid w:val="00897CD3"/>
    <w:rsid w:val="008A0D9F"/>
    <w:rsid w:val="008A2DC5"/>
    <w:rsid w:val="008A2E1A"/>
    <w:rsid w:val="008A2E4D"/>
    <w:rsid w:val="008A44CE"/>
    <w:rsid w:val="008A4520"/>
    <w:rsid w:val="008A6433"/>
    <w:rsid w:val="008A7E07"/>
    <w:rsid w:val="008B05A1"/>
    <w:rsid w:val="008B0FB0"/>
    <w:rsid w:val="008B251C"/>
    <w:rsid w:val="008B288B"/>
    <w:rsid w:val="008B2C91"/>
    <w:rsid w:val="008B2F12"/>
    <w:rsid w:val="008B37C3"/>
    <w:rsid w:val="008B400C"/>
    <w:rsid w:val="008B4BF3"/>
    <w:rsid w:val="008B641C"/>
    <w:rsid w:val="008B797E"/>
    <w:rsid w:val="008C0487"/>
    <w:rsid w:val="008C0750"/>
    <w:rsid w:val="008C1BB8"/>
    <w:rsid w:val="008C3B04"/>
    <w:rsid w:val="008C403E"/>
    <w:rsid w:val="008C51C3"/>
    <w:rsid w:val="008C6018"/>
    <w:rsid w:val="008D3F23"/>
    <w:rsid w:val="008D45E6"/>
    <w:rsid w:val="008D4F52"/>
    <w:rsid w:val="008D5252"/>
    <w:rsid w:val="008D63D9"/>
    <w:rsid w:val="008E2190"/>
    <w:rsid w:val="008E4ECE"/>
    <w:rsid w:val="008E507C"/>
    <w:rsid w:val="008E644A"/>
    <w:rsid w:val="008E7181"/>
    <w:rsid w:val="008E7E0A"/>
    <w:rsid w:val="008F1429"/>
    <w:rsid w:val="008F464A"/>
    <w:rsid w:val="008F7BBC"/>
    <w:rsid w:val="009030EB"/>
    <w:rsid w:val="009042E1"/>
    <w:rsid w:val="00906A3C"/>
    <w:rsid w:val="00906DF5"/>
    <w:rsid w:val="00910FD1"/>
    <w:rsid w:val="009148D7"/>
    <w:rsid w:val="00920808"/>
    <w:rsid w:val="00920B34"/>
    <w:rsid w:val="00920E5C"/>
    <w:rsid w:val="009215AA"/>
    <w:rsid w:val="0092198D"/>
    <w:rsid w:val="009224C9"/>
    <w:rsid w:val="00922A4C"/>
    <w:rsid w:val="009233AD"/>
    <w:rsid w:val="0092550C"/>
    <w:rsid w:val="00926109"/>
    <w:rsid w:val="00926E4D"/>
    <w:rsid w:val="009272F7"/>
    <w:rsid w:val="009336E6"/>
    <w:rsid w:val="00933FB6"/>
    <w:rsid w:val="0093545F"/>
    <w:rsid w:val="00935732"/>
    <w:rsid w:val="009357FA"/>
    <w:rsid w:val="00936556"/>
    <w:rsid w:val="00937BCF"/>
    <w:rsid w:val="00937D62"/>
    <w:rsid w:val="0094143D"/>
    <w:rsid w:val="00942E25"/>
    <w:rsid w:val="00942F01"/>
    <w:rsid w:val="00946439"/>
    <w:rsid w:val="009467F0"/>
    <w:rsid w:val="009479A9"/>
    <w:rsid w:val="00952425"/>
    <w:rsid w:val="009545F5"/>
    <w:rsid w:val="00956480"/>
    <w:rsid w:val="00963BDB"/>
    <w:rsid w:val="00964405"/>
    <w:rsid w:val="009646D7"/>
    <w:rsid w:val="00965474"/>
    <w:rsid w:val="00966AFC"/>
    <w:rsid w:val="00970F8E"/>
    <w:rsid w:val="0097152C"/>
    <w:rsid w:val="00973834"/>
    <w:rsid w:val="0097454D"/>
    <w:rsid w:val="009770FB"/>
    <w:rsid w:val="009778FE"/>
    <w:rsid w:val="00983D8A"/>
    <w:rsid w:val="00985466"/>
    <w:rsid w:val="009866D6"/>
    <w:rsid w:val="00990806"/>
    <w:rsid w:val="00992403"/>
    <w:rsid w:val="00993936"/>
    <w:rsid w:val="00993CB1"/>
    <w:rsid w:val="00995501"/>
    <w:rsid w:val="00996CC5"/>
    <w:rsid w:val="00996D08"/>
    <w:rsid w:val="0099704B"/>
    <w:rsid w:val="0099706A"/>
    <w:rsid w:val="009A0768"/>
    <w:rsid w:val="009A0D29"/>
    <w:rsid w:val="009A2A24"/>
    <w:rsid w:val="009A2E53"/>
    <w:rsid w:val="009A4432"/>
    <w:rsid w:val="009A6694"/>
    <w:rsid w:val="009A6E1C"/>
    <w:rsid w:val="009B02E2"/>
    <w:rsid w:val="009B05C4"/>
    <w:rsid w:val="009B2320"/>
    <w:rsid w:val="009B24AE"/>
    <w:rsid w:val="009B340B"/>
    <w:rsid w:val="009B62BE"/>
    <w:rsid w:val="009C1ABF"/>
    <w:rsid w:val="009C3CFB"/>
    <w:rsid w:val="009C4A8F"/>
    <w:rsid w:val="009C5A16"/>
    <w:rsid w:val="009C6DB0"/>
    <w:rsid w:val="009C6FB2"/>
    <w:rsid w:val="009D3944"/>
    <w:rsid w:val="009D3B06"/>
    <w:rsid w:val="009D3F29"/>
    <w:rsid w:val="009D436F"/>
    <w:rsid w:val="009E0C86"/>
    <w:rsid w:val="009E2A6A"/>
    <w:rsid w:val="009E4676"/>
    <w:rsid w:val="009E4E78"/>
    <w:rsid w:val="009E7116"/>
    <w:rsid w:val="009E7D94"/>
    <w:rsid w:val="009F2C7A"/>
    <w:rsid w:val="009F2CC3"/>
    <w:rsid w:val="009F3D1B"/>
    <w:rsid w:val="009F6E54"/>
    <w:rsid w:val="00A01BF5"/>
    <w:rsid w:val="00A0355B"/>
    <w:rsid w:val="00A03A75"/>
    <w:rsid w:val="00A03C1B"/>
    <w:rsid w:val="00A0749E"/>
    <w:rsid w:val="00A07827"/>
    <w:rsid w:val="00A10EEA"/>
    <w:rsid w:val="00A10F31"/>
    <w:rsid w:val="00A11DA9"/>
    <w:rsid w:val="00A11E77"/>
    <w:rsid w:val="00A16554"/>
    <w:rsid w:val="00A17C5A"/>
    <w:rsid w:val="00A20108"/>
    <w:rsid w:val="00A20B98"/>
    <w:rsid w:val="00A21C48"/>
    <w:rsid w:val="00A21F74"/>
    <w:rsid w:val="00A23587"/>
    <w:rsid w:val="00A23B95"/>
    <w:rsid w:val="00A23EC0"/>
    <w:rsid w:val="00A2420D"/>
    <w:rsid w:val="00A24A90"/>
    <w:rsid w:val="00A24CAA"/>
    <w:rsid w:val="00A2648D"/>
    <w:rsid w:val="00A26931"/>
    <w:rsid w:val="00A269F2"/>
    <w:rsid w:val="00A27D0C"/>
    <w:rsid w:val="00A31D30"/>
    <w:rsid w:val="00A34FF8"/>
    <w:rsid w:val="00A3640B"/>
    <w:rsid w:val="00A36AD7"/>
    <w:rsid w:val="00A3796E"/>
    <w:rsid w:val="00A4088A"/>
    <w:rsid w:val="00A42031"/>
    <w:rsid w:val="00A43C10"/>
    <w:rsid w:val="00A46B8E"/>
    <w:rsid w:val="00A46C8D"/>
    <w:rsid w:val="00A46D3E"/>
    <w:rsid w:val="00A46E0E"/>
    <w:rsid w:val="00A47CAD"/>
    <w:rsid w:val="00A50CE0"/>
    <w:rsid w:val="00A5217B"/>
    <w:rsid w:val="00A52BB2"/>
    <w:rsid w:val="00A55DEA"/>
    <w:rsid w:val="00A570E6"/>
    <w:rsid w:val="00A6157A"/>
    <w:rsid w:val="00A61813"/>
    <w:rsid w:val="00A61997"/>
    <w:rsid w:val="00A61F16"/>
    <w:rsid w:val="00A66148"/>
    <w:rsid w:val="00A67A8F"/>
    <w:rsid w:val="00A70DA9"/>
    <w:rsid w:val="00A722A9"/>
    <w:rsid w:val="00A74996"/>
    <w:rsid w:val="00A74F2A"/>
    <w:rsid w:val="00A75078"/>
    <w:rsid w:val="00A75319"/>
    <w:rsid w:val="00A75771"/>
    <w:rsid w:val="00A8041D"/>
    <w:rsid w:val="00A809E1"/>
    <w:rsid w:val="00A836F1"/>
    <w:rsid w:val="00A837DD"/>
    <w:rsid w:val="00A85F19"/>
    <w:rsid w:val="00A8644C"/>
    <w:rsid w:val="00A865A4"/>
    <w:rsid w:val="00A94216"/>
    <w:rsid w:val="00A9432B"/>
    <w:rsid w:val="00A95B68"/>
    <w:rsid w:val="00A95F22"/>
    <w:rsid w:val="00AA0103"/>
    <w:rsid w:val="00AA109B"/>
    <w:rsid w:val="00AA32CE"/>
    <w:rsid w:val="00AA3E92"/>
    <w:rsid w:val="00AB06B0"/>
    <w:rsid w:val="00AB3166"/>
    <w:rsid w:val="00AB3507"/>
    <w:rsid w:val="00AB3516"/>
    <w:rsid w:val="00AB3F6B"/>
    <w:rsid w:val="00AB675C"/>
    <w:rsid w:val="00AC14E1"/>
    <w:rsid w:val="00AC1AFD"/>
    <w:rsid w:val="00AC2A65"/>
    <w:rsid w:val="00AC2CB2"/>
    <w:rsid w:val="00AC7F47"/>
    <w:rsid w:val="00AD4004"/>
    <w:rsid w:val="00AD63E9"/>
    <w:rsid w:val="00AD75DE"/>
    <w:rsid w:val="00AD7DA6"/>
    <w:rsid w:val="00AE4474"/>
    <w:rsid w:val="00AE44EF"/>
    <w:rsid w:val="00AE6054"/>
    <w:rsid w:val="00AF096F"/>
    <w:rsid w:val="00AF0C11"/>
    <w:rsid w:val="00AF36B6"/>
    <w:rsid w:val="00AF69CC"/>
    <w:rsid w:val="00AF6EF0"/>
    <w:rsid w:val="00B00093"/>
    <w:rsid w:val="00B007E4"/>
    <w:rsid w:val="00B00A76"/>
    <w:rsid w:val="00B01E30"/>
    <w:rsid w:val="00B026DD"/>
    <w:rsid w:val="00B03196"/>
    <w:rsid w:val="00B033F0"/>
    <w:rsid w:val="00B038A8"/>
    <w:rsid w:val="00B055A9"/>
    <w:rsid w:val="00B05F58"/>
    <w:rsid w:val="00B0638E"/>
    <w:rsid w:val="00B07697"/>
    <w:rsid w:val="00B1005D"/>
    <w:rsid w:val="00B102B2"/>
    <w:rsid w:val="00B16435"/>
    <w:rsid w:val="00B1758E"/>
    <w:rsid w:val="00B23167"/>
    <w:rsid w:val="00B255FC"/>
    <w:rsid w:val="00B25831"/>
    <w:rsid w:val="00B25F09"/>
    <w:rsid w:val="00B25F86"/>
    <w:rsid w:val="00B26BE7"/>
    <w:rsid w:val="00B26C9B"/>
    <w:rsid w:val="00B3098F"/>
    <w:rsid w:val="00B33896"/>
    <w:rsid w:val="00B34141"/>
    <w:rsid w:val="00B35CC2"/>
    <w:rsid w:val="00B422AD"/>
    <w:rsid w:val="00B45D91"/>
    <w:rsid w:val="00B50472"/>
    <w:rsid w:val="00B50CA2"/>
    <w:rsid w:val="00B5112A"/>
    <w:rsid w:val="00B53B36"/>
    <w:rsid w:val="00B54112"/>
    <w:rsid w:val="00B54192"/>
    <w:rsid w:val="00B63E41"/>
    <w:rsid w:val="00B64299"/>
    <w:rsid w:val="00B664AB"/>
    <w:rsid w:val="00B672C6"/>
    <w:rsid w:val="00B70544"/>
    <w:rsid w:val="00B711C1"/>
    <w:rsid w:val="00B71995"/>
    <w:rsid w:val="00B72237"/>
    <w:rsid w:val="00B72502"/>
    <w:rsid w:val="00B73D0C"/>
    <w:rsid w:val="00B743CA"/>
    <w:rsid w:val="00B761E0"/>
    <w:rsid w:val="00B76503"/>
    <w:rsid w:val="00B768A0"/>
    <w:rsid w:val="00B77A96"/>
    <w:rsid w:val="00B77E01"/>
    <w:rsid w:val="00B80E72"/>
    <w:rsid w:val="00B81A3D"/>
    <w:rsid w:val="00B82A9E"/>
    <w:rsid w:val="00B830BA"/>
    <w:rsid w:val="00B85AB7"/>
    <w:rsid w:val="00B86318"/>
    <w:rsid w:val="00B935A2"/>
    <w:rsid w:val="00B93F72"/>
    <w:rsid w:val="00BA0117"/>
    <w:rsid w:val="00BA068C"/>
    <w:rsid w:val="00BA1179"/>
    <w:rsid w:val="00BA332A"/>
    <w:rsid w:val="00BA3BB6"/>
    <w:rsid w:val="00BA5EDE"/>
    <w:rsid w:val="00BA6EDF"/>
    <w:rsid w:val="00BA7BF4"/>
    <w:rsid w:val="00BA7DAF"/>
    <w:rsid w:val="00BB2056"/>
    <w:rsid w:val="00BB2621"/>
    <w:rsid w:val="00BB3D00"/>
    <w:rsid w:val="00BB3DC3"/>
    <w:rsid w:val="00BB43A9"/>
    <w:rsid w:val="00BB56AA"/>
    <w:rsid w:val="00BB7B8B"/>
    <w:rsid w:val="00BB7ECD"/>
    <w:rsid w:val="00BC063D"/>
    <w:rsid w:val="00BC087C"/>
    <w:rsid w:val="00BC6760"/>
    <w:rsid w:val="00BC6828"/>
    <w:rsid w:val="00BC68D2"/>
    <w:rsid w:val="00BD3971"/>
    <w:rsid w:val="00BD5338"/>
    <w:rsid w:val="00BE257D"/>
    <w:rsid w:val="00BE2588"/>
    <w:rsid w:val="00BE3A72"/>
    <w:rsid w:val="00BE69C0"/>
    <w:rsid w:val="00BF03A9"/>
    <w:rsid w:val="00BF4531"/>
    <w:rsid w:val="00C00FAF"/>
    <w:rsid w:val="00C0319A"/>
    <w:rsid w:val="00C04762"/>
    <w:rsid w:val="00C06113"/>
    <w:rsid w:val="00C06880"/>
    <w:rsid w:val="00C10C64"/>
    <w:rsid w:val="00C113DC"/>
    <w:rsid w:val="00C122B6"/>
    <w:rsid w:val="00C13012"/>
    <w:rsid w:val="00C1360D"/>
    <w:rsid w:val="00C15820"/>
    <w:rsid w:val="00C167F8"/>
    <w:rsid w:val="00C16B04"/>
    <w:rsid w:val="00C239BE"/>
    <w:rsid w:val="00C23F7D"/>
    <w:rsid w:val="00C25B22"/>
    <w:rsid w:val="00C30E79"/>
    <w:rsid w:val="00C30FFD"/>
    <w:rsid w:val="00C33A48"/>
    <w:rsid w:val="00C347D6"/>
    <w:rsid w:val="00C3631A"/>
    <w:rsid w:val="00C37943"/>
    <w:rsid w:val="00C379A2"/>
    <w:rsid w:val="00C37BB3"/>
    <w:rsid w:val="00C4200A"/>
    <w:rsid w:val="00C4396A"/>
    <w:rsid w:val="00C4534E"/>
    <w:rsid w:val="00C4565F"/>
    <w:rsid w:val="00C46CDC"/>
    <w:rsid w:val="00C50564"/>
    <w:rsid w:val="00C50CE7"/>
    <w:rsid w:val="00C51CDE"/>
    <w:rsid w:val="00C53D13"/>
    <w:rsid w:val="00C55173"/>
    <w:rsid w:val="00C56AAE"/>
    <w:rsid w:val="00C61952"/>
    <w:rsid w:val="00C63B8C"/>
    <w:rsid w:val="00C63ED7"/>
    <w:rsid w:val="00C64A6F"/>
    <w:rsid w:val="00C64FF9"/>
    <w:rsid w:val="00C6558D"/>
    <w:rsid w:val="00C718B1"/>
    <w:rsid w:val="00C74153"/>
    <w:rsid w:val="00C74723"/>
    <w:rsid w:val="00C75B6E"/>
    <w:rsid w:val="00C80475"/>
    <w:rsid w:val="00C80DB6"/>
    <w:rsid w:val="00C847CF"/>
    <w:rsid w:val="00C84E9B"/>
    <w:rsid w:val="00C85339"/>
    <w:rsid w:val="00C877B7"/>
    <w:rsid w:val="00C903C3"/>
    <w:rsid w:val="00C9216C"/>
    <w:rsid w:val="00C9246C"/>
    <w:rsid w:val="00C92705"/>
    <w:rsid w:val="00C92E3B"/>
    <w:rsid w:val="00C9573A"/>
    <w:rsid w:val="00C97BC7"/>
    <w:rsid w:val="00CA01F1"/>
    <w:rsid w:val="00CA29EC"/>
    <w:rsid w:val="00CA2B26"/>
    <w:rsid w:val="00CA503F"/>
    <w:rsid w:val="00CB18C8"/>
    <w:rsid w:val="00CB5CFF"/>
    <w:rsid w:val="00CB704D"/>
    <w:rsid w:val="00CC034D"/>
    <w:rsid w:val="00CC1F62"/>
    <w:rsid w:val="00CC3F74"/>
    <w:rsid w:val="00CD4405"/>
    <w:rsid w:val="00CD56F5"/>
    <w:rsid w:val="00CD7BFB"/>
    <w:rsid w:val="00CE2351"/>
    <w:rsid w:val="00CE320E"/>
    <w:rsid w:val="00CE45E7"/>
    <w:rsid w:val="00CE5530"/>
    <w:rsid w:val="00CE5BFD"/>
    <w:rsid w:val="00CF0896"/>
    <w:rsid w:val="00CF4B38"/>
    <w:rsid w:val="00CF4B7E"/>
    <w:rsid w:val="00D039D5"/>
    <w:rsid w:val="00D04325"/>
    <w:rsid w:val="00D0736B"/>
    <w:rsid w:val="00D204B6"/>
    <w:rsid w:val="00D2150C"/>
    <w:rsid w:val="00D2400F"/>
    <w:rsid w:val="00D24B33"/>
    <w:rsid w:val="00D24EFE"/>
    <w:rsid w:val="00D2537C"/>
    <w:rsid w:val="00D27129"/>
    <w:rsid w:val="00D27630"/>
    <w:rsid w:val="00D319BF"/>
    <w:rsid w:val="00D322CC"/>
    <w:rsid w:val="00D3378D"/>
    <w:rsid w:val="00D33D72"/>
    <w:rsid w:val="00D34743"/>
    <w:rsid w:val="00D34922"/>
    <w:rsid w:val="00D35943"/>
    <w:rsid w:val="00D35BD0"/>
    <w:rsid w:val="00D36A5B"/>
    <w:rsid w:val="00D404D9"/>
    <w:rsid w:val="00D432EB"/>
    <w:rsid w:val="00D43E2B"/>
    <w:rsid w:val="00D471BE"/>
    <w:rsid w:val="00D518F3"/>
    <w:rsid w:val="00D52F0D"/>
    <w:rsid w:val="00D53C7C"/>
    <w:rsid w:val="00D53CD6"/>
    <w:rsid w:val="00D564BF"/>
    <w:rsid w:val="00D61B70"/>
    <w:rsid w:val="00D62433"/>
    <w:rsid w:val="00D6254A"/>
    <w:rsid w:val="00D63EDF"/>
    <w:rsid w:val="00D6743B"/>
    <w:rsid w:val="00D70681"/>
    <w:rsid w:val="00D70AD5"/>
    <w:rsid w:val="00D721BD"/>
    <w:rsid w:val="00D738E3"/>
    <w:rsid w:val="00D76A2C"/>
    <w:rsid w:val="00D81A68"/>
    <w:rsid w:val="00D81F08"/>
    <w:rsid w:val="00D82CBC"/>
    <w:rsid w:val="00D84A88"/>
    <w:rsid w:val="00D84BC8"/>
    <w:rsid w:val="00D8543F"/>
    <w:rsid w:val="00D87C5A"/>
    <w:rsid w:val="00D92880"/>
    <w:rsid w:val="00D92A49"/>
    <w:rsid w:val="00D92D09"/>
    <w:rsid w:val="00D93494"/>
    <w:rsid w:val="00D96574"/>
    <w:rsid w:val="00D96976"/>
    <w:rsid w:val="00D97E6C"/>
    <w:rsid w:val="00DA1D08"/>
    <w:rsid w:val="00DA2481"/>
    <w:rsid w:val="00DA3A7F"/>
    <w:rsid w:val="00DA6B05"/>
    <w:rsid w:val="00DB00B3"/>
    <w:rsid w:val="00DB23EA"/>
    <w:rsid w:val="00DB3C0E"/>
    <w:rsid w:val="00DB3E71"/>
    <w:rsid w:val="00DB6731"/>
    <w:rsid w:val="00DC2812"/>
    <w:rsid w:val="00DC3886"/>
    <w:rsid w:val="00DC42D4"/>
    <w:rsid w:val="00DC6100"/>
    <w:rsid w:val="00DC784B"/>
    <w:rsid w:val="00DC7B3A"/>
    <w:rsid w:val="00DD1F70"/>
    <w:rsid w:val="00DD34C9"/>
    <w:rsid w:val="00DD3F1A"/>
    <w:rsid w:val="00DD411A"/>
    <w:rsid w:val="00DD4672"/>
    <w:rsid w:val="00DD4AA0"/>
    <w:rsid w:val="00DE050C"/>
    <w:rsid w:val="00DE293D"/>
    <w:rsid w:val="00DE37F3"/>
    <w:rsid w:val="00DE5858"/>
    <w:rsid w:val="00DE6E00"/>
    <w:rsid w:val="00DF341E"/>
    <w:rsid w:val="00DF405B"/>
    <w:rsid w:val="00DF4947"/>
    <w:rsid w:val="00DF6AC2"/>
    <w:rsid w:val="00DF6D5E"/>
    <w:rsid w:val="00E004B8"/>
    <w:rsid w:val="00E009EA"/>
    <w:rsid w:val="00E01332"/>
    <w:rsid w:val="00E01E6E"/>
    <w:rsid w:val="00E02D46"/>
    <w:rsid w:val="00E102AA"/>
    <w:rsid w:val="00E11BE4"/>
    <w:rsid w:val="00E1327F"/>
    <w:rsid w:val="00E13D34"/>
    <w:rsid w:val="00E14A6E"/>
    <w:rsid w:val="00E15D60"/>
    <w:rsid w:val="00E1638C"/>
    <w:rsid w:val="00E1641E"/>
    <w:rsid w:val="00E25101"/>
    <w:rsid w:val="00E25582"/>
    <w:rsid w:val="00E2571B"/>
    <w:rsid w:val="00E268D8"/>
    <w:rsid w:val="00E31C72"/>
    <w:rsid w:val="00E320F7"/>
    <w:rsid w:val="00E32213"/>
    <w:rsid w:val="00E325F0"/>
    <w:rsid w:val="00E36A29"/>
    <w:rsid w:val="00E375CD"/>
    <w:rsid w:val="00E40478"/>
    <w:rsid w:val="00E4519E"/>
    <w:rsid w:val="00E4560B"/>
    <w:rsid w:val="00E4670C"/>
    <w:rsid w:val="00E47348"/>
    <w:rsid w:val="00E51629"/>
    <w:rsid w:val="00E539EA"/>
    <w:rsid w:val="00E53AE6"/>
    <w:rsid w:val="00E53D13"/>
    <w:rsid w:val="00E553E0"/>
    <w:rsid w:val="00E556F7"/>
    <w:rsid w:val="00E60351"/>
    <w:rsid w:val="00E61589"/>
    <w:rsid w:val="00E61A2E"/>
    <w:rsid w:val="00E62C8B"/>
    <w:rsid w:val="00E63CCD"/>
    <w:rsid w:val="00E63DED"/>
    <w:rsid w:val="00E64044"/>
    <w:rsid w:val="00E643D3"/>
    <w:rsid w:val="00E64F2F"/>
    <w:rsid w:val="00E6548C"/>
    <w:rsid w:val="00E67F89"/>
    <w:rsid w:val="00E70401"/>
    <w:rsid w:val="00E75F75"/>
    <w:rsid w:val="00E766EF"/>
    <w:rsid w:val="00E7768E"/>
    <w:rsid w:val="00E803A4"/>
    <w:rsid w:val="00E8049D"/>
    <w:rsid w:val="00E80531"/>
    <w:rsid w:val="00E81087"/>
    <w:rsid w:val="00E84A31"/>
    <w:rsid w:val="00E8509B"/>
    <w:rsid w:val="00E855A2"/>
    <w:rsid w:val="00E90037"/>
    <w:rsid w:val="00E90FDF"/>
    <w:rsid w:val="00E91007"/>
    <w:rsid w:val="00E937D7"/>
    <w:rsid w:val="00E938ED"/>
    <w:rsid w:val="00E93FC9"/>
    <w:rsid w:val="00E94E68"/>
    <w:rsid w:val="00E975E5"/>
    <w:rsid w:val="00EA0C5B"/>
    <w:rsid w:val="00EA5BA1"/>
    <w:rsid w:val="00EB1162"/>
    <w:rsid w:val="00EB20C5"/>
    <w:rsid w:val="00EB33F4"/>
    <w:rsid w:val="00EB6375"/>
    <w:rsid w:val="00EB6C30"/>
    <w:rsid w:val="00EB7DC9"/>
    <w:rsid w:val="00EC07C5"/>
    <w:rsid w:val="00EC1353"/>
    <w:rsid w:val="00EC3F60"/>
    <w:rsid w:val="00EC6191"/>
    <w:rsid w:val="00EC62A9"/>
    <w:rsid w:val="00EC6523"/>
    <w:rsid w:val="00EC673A"/>
    <w:rsid w:val="00ED2807"/>
    <w:rsid w:val="00ED328F"/>
    <w:rsid w:val="00ED4EB5"/>
    <w:rsid w:val="00ED4F27"/>
    <w:rsid w:val="00ED65EF"/>
    <w:rsid w:val="00ED6F97"/>
    <w:rsid w:val="00ED786A"/>
    <w:rsid w:val="00EE01F2"/>
    <w:rsid w:val="00EE143E"/>
    <w:rsid w:val="00EE1EC3"/>
    <w:rsid w:val="00EE5A02"/>
    <w:rsid w:val="00EE5A98"/>
    <w:rsid w:val="00EE731A"/>
    <w:rsid w:val="00EF0178"/>
    <w:rsid w:val="00EF0665"/>
    <w:rsid w:val="00EF233A"/>
    <w:rsid w:val="00EF27FD"/>
    <w:rsid w:val="00EF2D93"/>
    <w:rsid w:val="00EF4F7C"/>
    <w:rsid w:val="00EF73C3"/>
    <w:rsid w:val="00EF76C7"/>
    <w:rsid w:val="00F01316"/>
    <w:rsid w:val="00F0445E"/>
    <w:rsid w:val="00F068B9"/>
    <w:rsid w:val="00F0778D"/>
    <w:rsid w:val="00F10985"/>
    <w:rsid w:val="00F15539"/>
    <w:rsid w:val="00F15AD4"/>
    <w:rsid w:val="00F170C5"/>
    <w:rsid w:val="00F1730E"/>
    <w:rsid w:val="00F175CE"/>
    <w:rsid w:val="00F2393A"/>
    <w:rsid w:val="00F23AD6"/>
    <w:rsid w:val="00F27517"/>
    <w:rsid w:val="00F276EF"/>
    <w:rsid w:val="00F309C9"/>
    <w:rsid w:val="00F31ED6"/>
    <w:rsid w:val="00F32AF0"/>
    <w:rsid w:val="00F3666A"/>
    <w:rsid w:val="00F37D31"/>
    <w:rsid w:val="00F40533"/>
    <w:rsid w:val="00F41313"/>
    <w:rsid w:val="00F4241C"/>
    <w:rsid w:val="00F44751"/>
    <w:rsid w:val="00F46C16"/>
    <w:rsid w:val="00F47812"/>
    <w:rsid w:val="00F47CA3"/>
    <w:rsid w:val="00F47D38"/>
    <w:rsid w:val="00F50EF5"/>
    <w:rsid w:val="00F544C4"/>
    <w:rsid w:val="00F56B5E"/>
    <w:rsid w:val="00F62F91"/>
    <w:rsid w:val="00F64C97"/>
    <w:rsid w:val="00F658B1"/>
    <w:rsid w:val="00F65BDC"/>
    <w:rsid w:val="00F667A6"/>
    <w:rsid w:val="00F674E2"/>
    <w:rsid w:val="00F71052"/>
    <w:rsid w:val="00F71539"/>
    <w:rsid w:val="00F75417"/>
    <w:rsid w:val="00F7652C"/>
    <w:rsid w:val="00F76F44"/>
    <w:rsid w:val="00F77737"/>
    <w:rsid w:val="00F81CB0"/>
    <w:rsid w:val="00F8275D"/>
    <w:rsid w:val="00F84EC2"/>
    <w:rsid w:val="00F85CA5"/>
    <w:rsid w:val="00F86858"/>
    <w:rsid w:val="00F8691A"/>
    <w:rsid w:val="00F912BF"/>
    <w:rsid w:val="00F92BB2"/>
    <w:rsid w:val="00F938A9"/>
    <w:rsid w:val="00F95169"/>
    <w:rsid w:val="00F9574C"/>
    <w:rsid w:val="00F96D33"/>
    <w:rsid w:val="00FA61B1"/>
    <w:rsid w:val="00FA6D85"/>
    <w:rsid w:val="00FA7287"/>
    <w:rsid w:val="00FB0789"/>
    <w:rsid w:val="00FB29AE"/>
    <w:rsid w:val="00FB3DA2"/>
    <w:rsid w:val="00FB4774"/>
    <w:rsid w:val="00FB4CDA"/>
    <w:rsid w:val="00FB5C94"/>
    <w:rsid w:val="00FB7524"/>
    <w:rsid w:val="00FC0299"/>
    <w:rsid w:val="00FC16CD"/>
    <w:rsid w:val="00FC2CF3"/>
    <w:rsid w:val="00FC5F82"/>
    <w:rsid w:val="00FC7F00"/>
    <w:rsid w:val="00FD2463"/>
    <w:rsid w:val="00FD2999"/>
    <w:rsid w:val="00FD3E8E"/>
    <w:rsid w:val="00FD4D2F"/>
    <w:rsid w:val="00FD642C"/>
    <w:rsid w:val="00FE2AED"/>
    <w:rsid w:val="00FE3CBE"/>
    <w:rsid w:val="00FE46D4"/>
    <w:rsid w:val="00FF0A7B"/>
    <w:rsid w:val="00FF0EE8"/>
    <w:rsid w:val="00FF1B55"/>
    <w:rsid w:val="00FF1E0E"/>
    <w:rsid w:val="00FF400A"/>
    <w:rsid w:val="00FF67DC"/>
    <w:rsid w:val="00FF720B"/>
    <w:rsid w:val="022F8E5E"/>
    <w:rsid w:val="02E62217"/>
    <w:rsid w:val="0AE03861"/>
    <w:rsid w:val="0B054926"/>
    <w:rsid w:val="0DC779A8"/>
    <w:rsid w:val="0DF9B6D6"/>
    <w:rsid w:val="0EDE2B69"/>
    <w:rsid w:val="0F5A0630"/>
    <w:rsid w:val="10351C4C"/>
    <w:rsid w:val="10A1EA89"/>
    <w:rsid w:val="12A647DF"/>
    <w:rsid w:val="1302DCEB"/>
    <w:rsid w:val="144CCF78"/>
    <w:rsid w:val="17805659"/>
    <w:rsid w:val="1CCE58B8"/>
    <w:rsid w:val="1DFF2782"/>
    <w:rsid w:val="1E5A0E1B"/>
    <w:rsid w:val="1F06CAD4"/>
    <w:rsid w:val="1F418639"/>
    <w:rsid w:val="1F869E73"/>
    <w:rsid w:val="229D9B70"/>
    <w:rsid w:val="22F36904"/>
    <w:rsid w:val="23026090"/>
    <w:rsid w:val="23A33F05"/>
    <w:rsid w:val="23DCBB1B"/>
    <w:rsid w:val="23EC8E35"/>
    <w:rsid w:val="25D08DB8"/>
    <w:rsid w:val="26C05F15"/>
    <w:rsid w:val="26E4C6F7"/>
    <w:rsid w:val="2799AC47"/>
    <w:rsid w:val="28530952"/>
    <w:rsid w:val="29535DC0"/>
    <w:rsid w:val="2A2ED7DA"/>
    <w:rsid w:val="2A5FED86"/>
    <w:rsid w:val="2ED4B3E7"/>
    <w:rsid w:val="2F185C85"/>
    <w:rsid w:val="304F655C"/>
    <w:rsid w:val="308B0006"/>
    <w:rsid w:val="31CF5161"/>
    <w:rsid w:val="335FB345"/>
    <w:rsid w:val="340B895A"/>
    <w:rsid w:val="3466490E"/>
    <w:rsid w:val="34F79FDC"/>
    <w:rsid w:val="36D5B585"/>
    <w:rsid w:val="396126C1"/>
    <w:rsid w:val="3998CF63"/>
    <w:rsid w:val="3A8BC0A3"/>
    <w:rsid w:val="3B19E731"/>
    <w:rsid w:val="3C54DCE8"/>
    <w:rsid w:val="3D6D9394"/>
    <w:rsid w:val="3D8661B1"/>
    <w:rsid w:val="415F7826"/>
    <w:rsid w:val="42200653"/>
    <w:rsid w:val="43D955C9"/>
    <w:rsid w:val="44218F84"/>
    <w:rsid w:val="443C1A84"/>
    <w:rsid w:val="453ED261"/>
    <w:rsid w:val="477E7EAF"/>
    <w:rsid w:val="48A054B4"/>
    <w:rsid w:val="48D264E6"/>
    <w:rsid w:val="49EE97B1"/>
    <w:rsid w:val="4A6165BA"/>
    <w:rsid w:val="4AD93C92"/>
    <w:rsid w:val="4BB491A0"/>
    <w:rsid w:val="4BBC5130"/>
    <w:rsid w:val="50AE669C"/>
    <w:rsid w:val="512F7E49"/>
    <w:rsid w:val="532E5A4B"/>
    <w:rsid w:val="53D21662"/>
    <w:rsid w:val="5A6244D6"/>
    <w:rsid w:val="5B0796B5"/>
    <w:rsid w:val="5B64CD27"/>
    <w:rsid w:val="5BA110BA"/>
    <w:rsid w:val="5C82A830"/>
    <w:rsid w:val="5E33E48A"/>
    <w:rsid w:val="61B90E7A"/>
    <w:rsid w:val="61F52AF8"/>
    <w:rsid w:val="63EBB3C9"/>
    <w:rsid w:val="67F3FAA9"/>
    <w:rsid w:val="688292ED"/>
    <w:rsid w:val="6A4F5452"/>
    <w:rsid w:val="6A97B69C"/>
    <w:rsid w:val="6AB0C1DE"/>
    <w:rsid w:val="6B072267"/>
    <w:rsid w:val="6BE355A5"/>
    <w:rsid w:val="6C588532"/>
    <w:rsid w:val="70246146"/>
    <w:rsid w:val="71F6E64D"/>
    <w:rsid w:val="72163F17"/>
    <w:rsid w:val="724C7230"/>
    <w:rsid w:val="74B19864"/>
    <w:rsid w:val="75BE0539"/>
    <w:rsid w:val="75F164E1"/>
    <w:rsid w:val="760CB443"/>
    <w:rsid w:val="7656E140"/>
    <w:rsid w:val="7733FC25"/>
    <w:rsid w:val="7753C775"/>
    <w:rsid w:val="7ABA2783"/>
    <w:rsid w:val="7B50BDD3"/>
    <w:rsid w:val="7DA8E19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7213283"/>
  <w15:chartTrackingRefBased/>
  <w15:docId w15:val="{B754A72B-7D25-42D9-A759-5E47697B0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768"/>
  </w:style>
  <w:style w:type="paragraph" w:styleId="Heading1">
    <w:name w:val="heading 1"/>
    <w:basedOn w:val="Normal"/>
    <w:next w:val="Normal"/>
    <w:link w:val="Heading1Char"/>
    <w:uiPriority w:val="9"/>
    <w:qFormat/>
    <w:rsid w:val="0059313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GB"/>
    </w:rPr>
  </w:style>
  <w:style w:type="paragraph" w:styleId="Heading2">
    <w:name w:val="heading 2"/>
    <w:basedOn w:val="Normal"/>
    <w:next w:val="Normal"/>
    <w:link w:val="Heading2Char"/>
    <w:uiPriority w:val="9"/>
    <w:unhideWhenUsed/>
    <w:qFormat/>
    <w:rsid w:val="00593136"/>
    <w:pPr>
      <w:keepNext/>
      <w:spacing w:after="200" w:line="276" w:lineRule="auto"/>
      <w:ind w:left="567"/>
      <w:jc w:val="both"/>
      <w:outlineLvl w:val="1"/>
    </w:pPr>
    <w:rPr>
      <w:rFonts w:ascii="Times New Roman" w:hAnsi="Times New Roman" w:cs="Times New Roman"/>
      <w:b/>
      <w:sz w:val="20"/>
      <w:szCs w:val="20"/>
      <w:lang w:val="en-GB"/>
    </w:rPr>
  </w:style>
  <w:style w:type="paragraph" w:styleId="Heading3">
    <w:name w:val="heading 3"/>
    <w:basedOn w:val="Normal"/>
    <w:next w:val="Normal"/>
    <w:link w:val="Heading3Char"/>
    <w:uiPriority w:val="9"/>
    <w:unhideWhenUsed/>
    <w:qFormat/>
    <w:rsid w:val="00593136"/>
    <w:pPr>
      <w:keepNext/>
      <w:spacing w:after="0" w:line="276" w:lineRule="auto"/>
      <w:ind w:left="567"/>
      <w:jc w:val="both"/>
      <w:outlineLvl w:val="2"/>
    </w:pPr>
    <w:rPr>
      <w:rFonts w:ascii="Times New Roman" w:hAnsi="Times New Roman" w:cs="Times New Roman"/>
      <w:b/>
      <w:sz w:val="24"/>
      <w:szCs w:val="24"/>
      <w:lang w:val="en-GB"/>
    </w:rPr>
  </w:style>
  <w:style w:type="paragraph" w:styleId="Heading4">
    <w:name w:val="heading 4"/>
    <w:basedOn w:val="Normal"/>
    <w:next w:val="Normal"/>
    <w:link w:val="Heading4Char"/>
    <w:uiPriority w:val="9"/>
    <w:unhideWhenUsed/>
    <w:qFormat/>
    <w:rsid w:val="00225FF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37E99"/>
    <w:rPr>
      <w:color w:val="0000FF"/>
      <w:shd w:val="clear" w:color="auto" w:fill="auto"/>
    </w:rPr>
  </w:style>
  <w:style w:type="paragraph" w:styleId="Header">
    <w:name w:val="header"/>
    <w:basedOn w:val="Normal"/>
    <w:link w:val="HeaderChar"/>
    <w:uiPriority w:val="99"/>
    <w:unhideWhenUsed/>
    <w:rsid w:val="00237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E99"/>
  </w:style>
  <w:style w:type="paragraph" w:styleId="Footer">
    <w:name w:val="footer"/>
    <w:basedOn w:val="Normal"/>
    <w:link w:val="FooterChar"/>
    <w:uiPriority w:val="99"/>
    <w:unhideWhenUsed/>
    <w:rsid w:val="00237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E99"/>
  </w:style>
  <w:style w:type="paragraph" w:customStyle="1" w:styleId="Pagedecouverture">
    <w:name w:val="Page de couverture"/>
    <w:basedOn w:val="Normal"/>
    <w:next w:val="Normal"/>
    <w:rsid w:val="00237E9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37E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37E99"/>
    <w:rPr>
      <w:rFonts w:ascii="Times New Roman" w:hAnsi="Times New Roman" w:cs="Times New Roman"/>
      <w:sz w:val="24"/>
    </w:rPr>
  </w:style>
  <w:style w:type="paragraph" w:customStyle="1" w:styleId="FooterSensitivity">
    <w:name w:val="Footer Sensitivity"/>
    <w:basedOn w:val="Normal"/>
    <w:link w:val="FooterSensitivityChar"/>
    <w:rsid w:val="00237E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7E99"/>
    <w:rPr>
      <w:rFonts w:ascii="Times New Roman" w:hAnsi="Times New Roman" w:cs="Times New Roman"/>
      <w:b/>
      <w:sz w:val="32"/>
    </w:rPr>
  </w:style>
  <w:style w:type="paragraph" w:customStyle="1" w:styleId="HeaderCoverPage">
    <w:name w:val="Header Cover Page"/>
    <w:basedOn w:val="Normal"/>
    <w:link w:val="HeaderCoverPageChar"/>
    <w:rsid w:val="00237E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37E99"/>
    <w:rPr>
      <w:rFonts w:ascii="Times New Roman" w:hAnsi="Times New Roman" w:cs="Times New Roman"/>
      <w:sz w:val="24"/>
    </w:rPr>
  </w:style>
  <w:style w:type="paragraph" w:customStyle="1" w:styleId="HeaderSensitivity">
    <w:name w:val="Header Sensitivity"/>
    <w:basedOn w:val="Normal"/>
    <w:link w:val="HeaderSensitivityChar"/>
    <w:rsid w:val="00237E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7E99"/>
    <w:rPr>
      <w:rFonts w:ascii="Times New Roman" w:hAnsi="Times New Roman" w:cs="Times New Roman"/>
      <w:b/>
      <w:sz w:val="32"/>
    </w:rPr>
  </w:style>
  <w:style w:type="paragraph" w:customStyle="1" w:styleId="HeaderSensitivityRight">
    <w:name w:val="Header Sensitivity Right"/>
    <w:basedOn w:val="Normal"/>
    <w:link w:val="HeaderSensitivityRightChar"/>
    <w:rsid w:val="00237E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7E99"/>
    <w:rPr>
      <w:rFonts w:ascii="Times New Roman" w:hAnsi="Times New Roman" w:cs="Times New Roman"/>
      <w:sz w:val="28"/>
    </w:rPr>
  </w:style>
  <w:style w:type="character" w:customStyle="1" w:styleId="Heading1Char">
    <w:name w:val="Heading 1 Char"/>
    <w:basedOn w:val="DefaultParagraphFont"/>
    <w:link w:val="Heading1"/>
    <w:uiPriority w:val="9"/>
    <w:rsid w:val="00593136"/>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593136"/>
    <w:rPr>
      <w:rFonts w:ascii="Times New Roman" w:hAnsi="Times New Roman" w:cs="Times New Roman"/>
      <w:b/>
      <w:sz w:val="20"/>
      <w:szCs w:val="20"/>
      <w:lang w:val="en-GB"/>
    </w:rPr>
  </w:style>
  <w:style w:type="character" w:customStyle="1" w:styleId="Heading3Char">
    <w:name w:val="Heading 3 Char"/>
    <w:basedOn w:val="DefaultParagraphFont"/>
    <w:link w:val="Heading3"/>
    <w:uiPriority w:val="9"/>
    <w:rsid w:val="00593136"/>
    <w:rPr>
      <w:rFonts w:ascii="Times New Roman" w:hAnsi="Times New Roman" w:cs="Times New Roman"/>
      <w:b/>
      <w:sz w:val="24"/>
      <w:szCs w:val="24"/>
      <w:lang w:val="en-GB"/>
    </w:rPr>
  </w:style>
  <w:style w:type="paragraph" w:styleId="ListParagraph">
    <w:name w:val="List Paragraph"/>
    <w:aliases w:val="Numb_Para,titulo 5,List Paragraph1,VIÑETAS,TITULO A,En tête 1,Report Para,WinDForce-Letter,Paragraphe,Paragraphe de liste (sdt),RMSI bulle Style,Bullet  Paragraph,Lettre d'introduction,1st level - Bullet List Paragraph,Celula"/>
    <w:basedOn w:val="Normal"/>
    <w:link w:val="ListParagraphChar"/>
    <w:uiPriority w:val="34"/>
    <w:qFormat/>
    <w:rsid w:val="00593136"/>
    <w:pPr>
      <w:spacing w:after="200" w:line="276" w:lineRule="auto"/>
      <w:ind w:left="720"/>
      <w:contextualSpacing/>
    </w:pPr>
    <w:rPr>
      <w:lang w:val="en-GB"/>
    </w:rPr>
  </w:style>
  <w:style w:type="paragraph" w:styleId="FootnoteText">
    <w:name w:val="footnote text"/>
    <w:aliases w:val="Fußnote,Footnote text,Footnote Text Char Char Char Char,Footnote Text Char Char,Footnote Text Char Char Char Char Char Char Char Char,f t,ft,f,f ,fn,Fotnotstext1,Schriftart: 9 pt,Schriftart: 10 pt,Schriftart: 8 pt,WB-Fußnotentext,FoodNote"/>
    <w:basedOn w:val="Normal"/>
    <w:link w:val="FootnoteTextChar"/>
    <w:uiPriority w:val="99"/>
    <w:unhideWhenUsed/>
    <w:qFormat/>
    <w:rsid w:val="00593136"/>
    <w:pPr>
      <w:keepLines/>
      <w:spacing w:after="0" w:line="240" w:lineRule="auto"/>
    </w:pPr>
    <w:rPr>
      <w:sz w:val="20"/>
      <w:szCs w:val="20"/>
      <w:lang w:val="en-GB"/>
    </w:rPr>
  </w:style>
  <w:style w:type="character" w:customStyle="1" w:styleId="FootnoteTextChar">
    <w:name w:val="Footnote Text Char"/>
    <w:aliases w:val="Fußnote Char,Footnote text Char,Footnote Text Char Char Char Char Char,Footnote Text Char Char Char,Footnote Text Char Char Char Char Char Char Char Char Char,f t Char,ft Char,f Char,f  Char,fn Char,Fotnotstext1 Char,FoodNote Char"/>
    <w:basedOn w:val="DefaultParagraphFont"/>
    <w:link w:val="FootnoteText"/>
    <w:uiPriority w:val="99"/>
    <w:rsid w:val="00593136"/>
    <w:rPr>
      <w:sz w:val="20"/>
      <w:szCs w:val="20"/>
      <w:lang w:val="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593136"/>
    <w:rPr>
      <w:vertAlign w:val="superscript"/>
    </w:rPr>
  </w:style>
  <w:style w:type="character" w:styleId="Hyperlink">
    <w:name w:val="Hyperlink"/>
    <w:basedOn w:val="DefaultParagraphFont"/>
    <w:uiPriority w:val="99"/>
    <w:unhideWhenUsed/>
    <w:rsid w:val="00593136"/>
    <w:rPr>
      <w:color w:val="0563C1" w:themeColor="hyperlink"/>
      <w:u w:val="single"/>
    </w:rPr>
  </w:style>
  <w:style w:type="paragraph" w:styleId="BodyTextIndent">
    <w:name w:val="Body Text Indent"/>
    <w:basedOn w:val="Normal"/>
    <w:link w:val="BodyTextIndentChar"/>
    <w:uiPriority w:val="99"/>
    <w:unhideWhenUsed/>
    <w:rsid w:val="00593136"/>
    <w:pPr>
      <w:spacing w:after="200" w:line="276" w:lineRule="auto"/>
      <w:ind w:left="567"/>
      <w:jc w:val="both"/>
    </w:pPr>
    <w:rPr>
      <w:rFonts w:ascii="Times New Roman" w:hAnsi="Times New Roman" w:cs="Times New Roman"/>
      <w:sz w:val="24"/>
      <w:szCs w:val="24"/>
      <w:lang w:val="en-GB"/>
    </w:rPr>
  </w:style>
  <w:style w:type="character" w:customStyle="1" w:styleId="BodyTextIndentChar">
    <w:name w:val="Body Text Indent Char"/>
    <w:basedOn w:val="DefaultParagraphFont"/>
    <w:link w:val="BodyTextIndent"/>
    <w:uiPriority w:val="99"/>
    <w:rsid w:val="00593136"/>
    <w:rPr>
      <w:rFonts w:ascii="Times New Roman" w:hAnsi="Times New Roman" w:cs="Times New Roman"/>
      <w:sz w:val="24"/>
      <w:szCs w:val="24"/>
      <w:lang w:val="en-GB"/>
    </w:rPr>
  </w:style>
  <w:style w:type="character" w:styleId="CommentReference">
    <w:name w:val="annotation reference"/>
    <w:basedOn w:val="DefaultParagraphFont"/>
    <w:uiPriority w:val="99"/>
    <w:semiHidden/>
    <w:unhideWhenUsed/>
    <w:rsid w:val="00593136"/>
    <w:rPr>
      <w:sz w:val="16"/>
      <w:szCs w:val="16"/>
    </w:rPr>
  </w:style>
  <w:style w:type="paragraph" w:styleId="CommentText">
    <w:name w:val="annotation text"/>
    <w:basedOn w:val="Normal"/>
    <w:link w:val="CommentTextChar"/>
    <w:uiPriority w:val="99"/>
    <w:unhideWhenUsed/>
    <w:rsid w:val="00593136"/>
    <w:pPr>
      <w:spacing w:after="200" w:line="240" w:lineRule="auto"/>
    </w:pPr>
    <w:rPr>
      <w:sz w:val="20"/>
      <w:szCs w:val="20"/>
      <w:lang w:val="en-GB"/>
    </w:rPr>
  </w:style>
  <w:style w:type="character" w:customStyle="1" w:styleId="CommentTextChar">
    <w:name w:val="Comment Text Char"/>
    <w:basedOn w:val="DefaultParagraphFont"/>
    <w:link w:val="CommentText"/>
    <w:uiPriority w:val="99"/>
    <w:rsid w:val="00593136"/>
    <w:rPr>
      <w:sz w:val="20"/>
      <w:szCs w:val="20"/>
      <w:lang w:val="en-GB"/>
    </w:rPr>
  </w:style>
  <w:style w:type="paragraph" w:styleId="CommentSubject">
    <w:name w:val="annotation subject"/>
    <w:basedOn w:val="CommentText"/>
    <w:next w:val="CommentText"/>
    <w:link w:val="CommentSubjectChar"/>
    <w:uiPriority w:val="99"/>
    <w:semiHidden/>
    <w:unhideWhenUsed/>
    <w:rsid w:val="00593136"/>
    <w:rPr>
      <w:b/>
      <w:bCs/>
    </w:rPr>
  </w:style>
  <w:style w:type="character" w:customStyle="1" w:styleId="CommentSubjectChar">
    <w:name w:val="Comment Subject Char"/>
    <w:basedOn w:val="CommentTextChar"/>
    <w:link w:val="CommentSubject"/>
    <w:uiPriority w:val="99"/>
    <w:semiHidden/>
    <w:rsid w:val="00593136"/>
    <w:rPr>
      <w:b/>
      <w:bCs/>
      <w:sz w:val="20"/>
      <w:szCs w:val="20"/>
      <w:lang w:val="en-GB"/>
    </w:rPr>
  </w:style>
  <w:style w:type="paragraph" w:styleId="BalloonText">
    <w:name w:val="Balloon Text"/>
    <w:basedOn w:val="Normal"/>
    <w:link w:val="BalloonTextChar"/>
    <w:uiPriority w:val="99"/>
    <w:semiHidden/>
    <w:unhideWhenUsed/>
    <w:rsid w:val="00593136"/>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593136"/>
    <w:rPr>
      <w:rFonts w:ascii="Segoe UI" w:hAnsi="Segoe UI" w:cs="Segoe UI"/>
      <w:sz w:val="18"/>
      <w:szCs w:val="18"/>
      <w:lang w:val="en-GB"/>
    </w:rPr>
  </w:style>
  <w:style w:type="paragraph" w:customStyle="1" w:styleId="NormalNoSpace">
    <w:name w:val="NormalNoSpace"/>
    <w:aliases w:val="Body TextNoSpace"/>
    <w:basedOn w:val="Normal"/>
    <w:uiPriority w:val="1"/>
    <w:qFormat/>
    <w:rsid w:val="00593136"/>
    <w:pPr>
      <w:spacing w:after="0" w:line="240" w:lineRule="auto"/>
    </w:pPr>
    <w:rPr>
      <w:rFonts w:ascii="Verdana" w:hAnsi="Verdana"/>
      <w:color w:val="000000" w:themeColor="text1"/>
      <w:sz w:val="20"/>
      <w:lang w:val="en-GB"/>
    </w:rPr>
  </w:style>
  <w:style w:type="numbering" w:customStyle="1" w:styleId="Bullets">
    <w:name w:val="Bullets"/>
    <w:aliases w:val="NumbLstBTBullet,NumbLstBullet"/>
    <w:uiPriority w:val="99"/>
    <w:rsid w:val="00593136"/>
    <w:pPr>
      <w:numPr>
        <w:numId w:val="6"/>
      </w:numPr>
    </w:pPr>
  </w:style>
  <w:style w:type="paragraph" w:customStyle="1" w:styleId="Bullet10">
    <w:name w:val="Bullet 1"/>
    <w:aliases w:val="Bullet1,BTBullet1,b1,bullets"/>
    <w:basedOn w:val="Normal"/>
    <w:link w:val="BTBullet1Znak"/>
    <w:uiPriority w:val="9"/>
    <w:qFormat/>
    <w:rsid w:val="00593136"/>
    <w:pPr>
      <w:numPr>
        <w:numId w:val="6"/>
      </w:numPr>
      <w:spacing w:before="120" w:after="120" w:line="240" w:lineRule="auto"/>
      <w:contextualSpacing/>
    </w:pPr>
    <w:rPr>
      <w:rFonts w:ascii="Verdana" w:hAnsi="Verdana"/>
      <w:color w:val="000000" w:themeColor="text1"/>
      <w:sz w:val="20"/>
      <w:lang w:val="en-GB"/>
    </w:rPr>
  </w:style>
  <w:style w:type="paragraph" w:customStyle="1" w:styleId="Bullet2">
    <w:name w:val="Bullet 2"/>
    <w:aliases w:val="Bullet2,BTBullet2"/>
    <w:basedOn w:val="Normal"/>
    <w:uiPriority w:val="10"/>
    <w:qFormat/>
    <w:rsid w:val="00593136"/>
    <w:pPr>
      <w:numPr>
        <w:ilvl w:val="1"/>
        <w:numId w:val="6"/>
      </w:numPr>
      <w:spacing w:before="120" w:after="120" w:line="240" w:lineRule="auto"/>
      <w:contextualSpacing/>
    </w:pPr>
    <w:rPr>
      <w:rFonts w:ascii="Verdana" w:hAnsi="Verdana"/>
      <w:color w:val="000000" w:themeColor="text1"/>
      <w:sz w:val="20"/>
      <w:lang w:val="en-GB"/>
    </w:rPr>
  </w:style>
  <w:style w:type="paragraph" w:customStyle="1" w:styleId="Bullet3">
    <w:name w:val="Bullet 3"/>
    <w:aliases w:val="Bullet3,BTBullet3"/>
    <w:basedOn w:val="Bullet2"/>
    <w:uiPriority w:val="10"/>
    <w:qFormat/>
    <w:rsid w:val="00593136"/>
    <w:pPr>
      <w:numPr>
        <w:ilvl w:val="2"/>
      </w:numPr>
    </w:pPr>
  </w:style>
  <w:style w:type="character" w:customStyle="1" w:styleId="BTBullet1Znak">
    <w:name w:val="BTBullet1 Znak"/>
    <w:link w:val="Bullet10"/>
    <w:uiPriority w:val="9"/>
    <w:locked/>
    <w:rsid w:val="00593136"/>
    <w:rPr>
      <w:rFonts w:ascii="Verdana" w:hAnsi="Verdana"/>
      <w:color w:val="000000" w:themeColor="text1"/>
      <w:sz w:val="20"/>
      <w:lang w:val="en-GB"/>
    </w:rPr>
  </w:style>
  <w:style w:type="paragraph" w:customStyle="1" w:styleId="BodyText1">
    <w:name w:val="Body Text1"/>
    <w:basedOn w:val="Normal"/>
    <w:link w:val="BodytextChar"/>
    <w:qFormat/>
    <w:rsid w:val="00593136"/>
    <w:pPr>
      <w:spacing w:before="120" w:after="120" w:line="240" w:lineRule="auto"/>
      <w:jc w:val="both"/>
    </w:pPr>
    <w:rPr>
      <w:rFonts w:ascii="Arial" w:eastAsia="Times New Roman" w:hAnsi="Arial" w:cs="Times New Roman"/>
      <w:noProof/>
      <w:szCs w:val="20"/>
      <w:lang w:val="en-GB"/>
    </w:rPr>
  </w:style>
  <w:style w:type="character" w:customStyle="1" w:styleId="BodytextChar">
    <w:name w:val="Body text Char"/>
    <w:link w:val="BodyText1"/>
    <w:rsid w:val="00593136"/>
    <w:rPr>
      <w:rFonts w:ascii="Arial" w:eastAsia="Times New Roman" w:hAnsi="Arial" w:cs="Times New Roman"/>
      <w:noProof/>
      <w:szCs w:val="20"/>
      <w:lang w:val="en-GB"/>
    </w:rPr>
  </w:style>
  <w:style w:type="paragraph" w:customStyle="1" w:styleId="bullet1">
    <w:name w:val="bullet 1"/>
    <w:basedOn w:val="BodyText1"/>
    <w:link w:val="bullet1Char"/>
    <w:qFormat/>
    <w:rsid w:val="00593136"/>
    <w:pPr>
      <w:numPr>
        <w:numId w:val="7"/>
      </w:numPr>
    </w:pPr>
    <w:rPr>
      <w:szCs w:val="24"/>
    </w:rPr>
  </w:style>
  <w:style w:type="character" w:customStyle="1" w:styleId="bullet1Char">
    <w:name w:val="bullet 1 Char"/>
    <w:basedOn w:val="BodytextChar"/>
    <w:link w:val="bullet1"/>
    <w:rsid w:val="00593136"/>
    <w:rPr>
      <w:rFonts w:ascii="Arial" w:eastAsia="Times New Roman" w:hAnsi="Arial" w:cs="Times New Roman"/>
      <w:noProof/>
      <w:szCs w:val="24"/>
      <w:lang w:val="en-GB"/>
    </w:rPr>
  </w:style>
  <w:style w:type="paragraph" w:styleId="Revision">
    <w:name w:val="Revision"/>
    <w:hidden/>
    <w:uiPriority w:val="99"/>
    <w:semiHidden/>
    <w:rsid w:val="00593136"/>
    <w:pPr>
      <w:spacing w:after="0" w:line="240" w:lineRule="auto"/>
    </w:pPr>
    <w:rPr>
      <w:lang w:val="en-GB"/>
    </w:rPr>
  </w:style>
  <w:style w:type="character" w:styleId="FollowedHyperlink">
    <w:name w:val="FollowedHyperlink"/>
    <w:basedOn w:val="DefaultParagraphFont"/>
    <w:uiPriority w:val="99"/>
    <w:semiHidden/>
    <w:unhideWhenUsed/>
    <w:rsid w:val="00593136"/>
    <w:rPr>
      <w:color w:val="954F72" w:themeColor="followedHyperlink"/>
      <w:u w:val="single"/>
    </w:rPr>
  </w:style>
  <w:style w:type="table" w:styleId="TableGrid">
    <w:name w:val="Table Grid"/>
    <w:basedOn w:val="TableNormal"/>
    <w:uiPriority w:val="59"/>
    <w:rsid w:val="00593136"/>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harCharChar">
    <w:name w:val="Char Char Char"/>
    <w:basedOn w:val="Normal"/>
    <w:link w:val="FootnoteReference"/>
    <w:rsid w:val="00257143"/>
    <w:pPr>
      <w:spacing w:after="0" w:line="240" w:lineRule="exact"/>
    </w:pPr>
    <w:rPr>
      <w:vertAlign w:val="superscript"/>
    </w:rPr>
  </w:style>
  <w:style w:type="character" w:customStyle="1" w:styleId="UnresolvedMention">
    <w:name w:val="Unresolved Mention"/>
    <w:basedOn w:val="DefaultParagraphFont"/>
    <w:uiPriority w:val="99"/>
    <w:semiHidden/>
    <w:unhideWhenUsed/>
    <w:rsid w:val="00D63EDF"/>
    <w:rPr>
      <w:color w:val="605E5C"/>
      <w:shd w:val="clear" w:color="auto" w:fill="E1DFDD"/>
    </w:rPr>
  </w:style>
  <w:style w:type="paragraph" w:styleId="NormalWeb">
    <w:name w:val="Normal (Web)"/>
    <w:basedOn w:val="Normal"/>
    <w:unhideWhenUsed/>
    <w:rsid w:val="008A2DC5"/>
    <w:pPr>
      <w:spacing w:before="100" w:beforeAutospacing="1" w:after="100" w:afterAutospacing="1" w:line="240" w:lineRule="auto"/>
    </w:pPr>
    <w:rPr>
      <w:rFonts w:ascii="Times New Roman" w:eastAsia="Times New Roman" w:hAnsi="Times New Roman" w:cs="Times New Roman"/>
      <w:sz w:val="24"/>
      <w:szCs w:val="24"/>
      <w:lang w:val="en-GB" w:eastAsia="it-IT"/>
    </w:rPr>
  </w:style>
  <w:style w:type="character" w:customStyle="1" w:styleId="normaltextrun">
    <w:name w:val="normaltextrun"/>
    <w:basedOn w:val="DefaultParagraphFont"/>
    <w:rsid w:val="008A2DC5"/>
  </w:style>
  <w:style w:type="character" w:customStyle="1" w:styleId="eop">
    <w:name w:val="eop"/>
    <w:basedOn w:val="DefaultParagraphFont"/>
    <w:rsid w:val="008A2DC5"/>
  </w:style>
  <w:style w:type="character" w:customStyle="1" w:styleId="contentcontrolboundarysink">
    <w:name w:val="contentcontrolboundarysink"/>
    <w:basedOn w:val="DefaultParagraphFont"/>
    <w:rsid w:val="008A2DC5"/>
  </w:style>
  <w:style w:type="character" w:customStyle="1" w:styleId="ListParagraphChar">
    <w:name w:val="List Paragraph Char"/>
    <w:aliases w:val="Numb_Para Char,titulo 5 Char,List Paragraph1 Char,VIÑETAS Char,TITULO A Char,En tête 1 Char,Report Para Char,WinDForce-Letter Char,Paragraphe Char,Paragraphe de liste (sdt) Char,RMSI bulle Style Char,Bullet  Paragraph Char"/>
    <w:link w:val="ListParagraph"/>
    <w:uiPriority w:val="34"/>
    <w:qFormat/>
    <w:locked/>
    <w:rsid w:val="00A03C1B"/>
    <w:rPr>
      <w:lang w:val="en-GB"/>
    </w:rPr>
  </w:style>
  <w:style w:type="character" w:customStyle="1" w:styleId="Heading4Char">
    <w:name w:val="Heading 4 Char"/>
    <w:basedOn w:val="DefaultParagraphFont"/>
    <w:link w:val="Heading4"/>
    <w:uiPriority w:val="9"/>
    <w:rsid w:val="00225FFC"/>
    <w:rPr>
      <w:rFonts w:asciiTheme="majorHAnsi" w:eastAsiaTheme="majorEastAsia" w:hAnsiTheme="majorHAnsi" w:cstheme="majorBidi"/>
      <w:i/>
      <w:iCs/>
      <w:color w:val="2E74B5" w:themeColor="accent1" w:themeShade="BF"/>
    </w:rPr>
  </w:style>
  <w:style w:type="paragraph" w:customStyle="1" w:styleId="Typedudocument">
    <w:name w:val="Type du document"/>
    <w:basedOn w:val="Normal"/>
    <w:next w:val="Normal"/>
    <w:rsid w:val="000F5DCE"/>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0F5DCE"/>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22203">
      <w:bodyDiv w:val="1"/>
      <w:marLeft w:val="0"/>
      <w:marRight w:val="0"/>
      <w:marTop w:val="0"/>
      <w:marBottom w:val="0"/>
      <w:divBdr>
        <w:top w:val="none" w:sz="0" w:space="0" w:color="auto"/>
        <w:left w:val="none" w:sz="0" w:space="0" w:color="auto"/>
        <w:bottom w:val="none" w:sz="0" w:space="0" w:color="auto"/>
        <w:right w:val="none" w:sz="0" w:space="0" w:color="auto"/>
      </w:divBdr>
    </w:div>
    <w:div w:id="893394119">
      <w:bodyDiv w:val="1"/>
      <w:marLeft w:val="0"/>
      <w:marRight w:val="0"/>
      <w:marTop w:val="0"/>
      <w:marBottom w:val="0"/>
      <w:divBdr>
        <w:top w:val="none" w:sz="0" w:space="0" w:color="auto"/>
        <w:left w:val="none" w:sz="0" w:space="0" w:color="auto"/>
        <w:bottom w:val="none" w:sz="0" w:space="0" w:color="auto"/>
        <w:right w:val="none" w:sz="0" w:space="0" w:color="auto"/>
      </w:divBdr>
    </w:div>
    <w:div w:id="164967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4049-Revision-of-the-definition-of-engineered-nanomaterial-in-food_en" TargetMode="External"/><Relationship Id="rId2" Type="http://schemas.openxmlformats.org/officeDocument/2006/relationships/hyperlink" Target="https://www.efsa.europa.eu/en/efsajournal/pub/6768" TargetMode="External"/><Relationship Id="rId1" Type="http://schemas.openxmlformats.org/officeDocument/2006/relationships/hyperlink" Target="https://ec.europa.eu/transparency/expert-groups-register/screen/expert-groups/consult?lang=en&amp;do=groupDetail.groupDetail&amp;groupID=3560&amp;Lang=EN" TargetMode="External"/><Relationship Id="rId6" Type="http://schemas.openxmlformats.org/officeDocument/2006/relationships/hyperlink" Target="https://oeil.secure.europarl.europa.eu/oeil/en/procedure-file?reference=2024/2691(DEA)" TargetMode="External"/><Relationship Id="rId5" Type="http://schemas.openxmlformats.org/officeDocument/2006/relationships/hyperlink" Target="https://www.europarl.europa.eu/doceo/document/TA-9-2024-0316_EN.pdf" TargetMode="External"/><Relationship Id="rId4" Type="http://schemas.openxmlformats.org/officeDocument/2006/relationships/hyperlink" Target="https://eur-lex.europa.eu/legal-content/EN/TXT/PDF/?uri=PI_COM:C(2024)1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CC184-D64B-4C56-BF10-9C1B053AB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7046</CharactersWithSpaces>
  <SharedDoc>false</SharedDoc>
  <HLinks>
    <vt:vector size="150" baseType="variant">
      <vt:variant>
        <vt:i4>393331</vt:i4>
      </vt:variant>
      <vt:variant>
        <vt:i4>72</vt:i4>
      </vt:variant>
      <vt:variant>
        <vt:i4>0</vt:i4>
      </vt:variant>
      <vt:variant>
        <vt:i4>5</vt:i4>
      </vt:variant>
      <vt:variant>
        <vt:lpwstr>http://data.europa.eu/eli/reg_impl/2021/403/oj</vt:lpwstr>
      </vt:variant>
      <vt:variant>
        <vt:lpwstr/>
      </vt:variant>
      <vt:variant>
        <vt:i4>1769524</vt:i4>
      </vt:variant>
      <vt:variant>
        <vt:i4>69</vt:i4>
      </vt:variant>
      <vt:variant>
        <vt:i4>0</vt:i4>
      </vt:variant>
      <vt:variant>
        <vt:i4>5</vt:i4>
      </vt:variant>
      <vt:variant>
        <vt:lpwstr>http://data.europa.eu/eli/reg_impl/2020/2235/oj</vt:lpwstr>
      </vt:variant>
      <vt:variant>
        <vt:lpwstr/>
      </vt:variant>
      <vt:variant>
        <vt:i4>6553711</vt:i4>
      </vt:variant>
      <vt:variant>
        <vt:i4>66</vt:i4>
      </vt:variant>
      <vt:variant>
        <vt:i4>0</vt:i4>
      </vt:variant>
      <vt:variant>
        <vt:i4>5</vt:i4>
      </vt:variant>
      <vt:variant>
        <vt:lpwstr>https://www.eu-parc.eu/</vt:lpwstr>
      </vt:variant>
      <vt:variant>
        <vt:lpwstr/>
      </vt:variant>
      <vt:variant>
        <vt:i4>3145757</vt:i4>
      </vt:variant>
      <vt:variant>
        <vt:i4>63</vt:i4>
      </vt:variant>
      <vt:variant>
        <vt:i4>0</vt:i4>
      </vt:variant>
      <vt:variant>
        <vt:i4>5</vt:i4>
      </vt:variant>
      <vt:variant>
        <vt:lpwstr>https://food.ec.europa.eu/document/download/c98a296f-5589-4efe-9112-e0389b59058d_en?filename=ah_vet-med_imp-reg-2019-06_ema-advice_art-115-5.pdf</vt:lpwstr>
      </vt:variant>
      <vt:variant>
        <vt:lpwstr/>
      </vt:variant>
      <vt:variant>
        <vt:i4>8126516</vt:i4>
      </vt:variant>
      <vt:variant>
        <vt:i4>60</vt:i4>
      </vt:variant>
      <vt:variant>
        <vt:i4>0</vt:i4>
      </vt:variant>
      <vt:variant>
        <vt:i4>5</vt:i4>
      </vt:variant>
      <vt:variant>
        <vt:lpwstr>https://ec.europa.eu/food/audits-analysis/audit-report/details/4250</vt:lpwstr>
      </vt:variant>
      <vt:variant>
        <vt:lpwstr/>
      </vt:variant>
      <vt:variant>
        <vt:i4>8060981</vt:i4>
      </vt:variant>
      <vt:variant>
        <vt:i4>57</vt:i4>
      </vt:variant>
      <vt:variant>
        <vt:i4>0</vt:i4>
      </vt:variant>
      <vt:variant>
        <vt:i4>5</vt:i4>
      </vt:variant>
      <vt:variant>
        <vt:lpwstr>https://ec.europa.eu/food/audits-analysis/audit-report/details/4326</vt:lpwstr>
      </vt:variant>
      <vt:variant>
        <vt:lpwstr/>
      </vt:variant>
      <vt:variant>
        <vt:i4>8257584</vt:i4>
      </vt:variant>
      <vt:variant>
        <vt:i4>54</vt:i4>
      </vt:variant>
      <vt:variant>
        <vt:i4>0</vt:i4>
      </vt:variant>
      <vt:variant>
        <vt:i4>5</vt:i4>
      </vt:variant>
      <vt:variant>
        <vt:lpwstr>https://ec.europa.eu/food/audits-analysis/audit-report/details/4673</vt:lpwstr>
      </vt:variant>
      <vt:variant>
        <vt:lpwstr/>
      </vt:variant>
      <vt:variant>
        <vt:i4>8192055</vt:i4>
      </vt:variant>
      <vt:variant>
        <vt:i4>51</vt:i4>
      </vt:variant>
      <vt:variant>
        <vt:i4>0</vt:i4>
      </vt:variant>
      <vt:variant>
        <vt:i4>5</vt:i4>
      </vt:variant>
      <vt:variant>
        <vt:lpwstr>https://ec.europa.eu/food/audits-analysis/audit-report/details/4141</vt:lpwstr>
      </vt:variant>
      <vt:variant>
        <vt:lpwstr/>
      </vt:variant>
      <vt:variant>
        <vt:i4>7864372</vt:i4>
      </vt:variant>
      <vt:variant>
        <vt:i4>48</vt:i4>
      </vt:variant>
      <vt:variant>
        <vt:i4>0</vt:i4>
      </vt:variant>
      <vt:variant>
        <vt:i4>5</vt:i4>
      </vt:variant>
      <vt:variant>
        <vt:lpwstr>https://ec.europa.eu/food/audits-analysis/audit-report/details/4210</vt:lpwstr>
      </vt:variant>
      <vt:variant>
        <vt:lpwstr/>
      </vt:variant>
      <vt:variant>
        <vt:i4>8257584</vt:i4>
      </vt:variant>
      <vt:variant>
        <vt:i4>45</vt:i4>
      </vt:variant>
      <vt:variant>
        <vt:i4>0</vt:i4>
      </vt:variant>
      <vt:variant>
        <vt:i4>5</vt:i4>
      </vt:variant>
      <vt:variant>
        <vt:lpwstr>https://ec.europa.eu/food/audits-analysis/audit-report/details/4677</vt:lpwstr>
      </vt:variant>
      <vt:variant>
        <vt:lpwstr/>
      </vt:variant>
      <vt:variant>
        <vt:i4>7340086</vt:i4>
      </vt:variant>
      <vt:variant>
        <vt:i4>42</vt:i4>
      </vt:variant>
      <vt:variant>
        <vt:i4>0</vt:i4>
      </vt:variant>
      <vt:variant>
        <vt:i4>5</vt:i4>
      </vt:variant>
      <vt:variant>
        <vt:lpwstr>https://ec.europa.eu/food/audits-analysis/audit-report/details/4094</vt:lpwstr>
      </vt:variant>
      <vt:variant>
        <vt:lpwstr/>
      </vt:variant>
      <vt:variant>
        <vt:i4>196659</vt:i4>
      </vt:variant>
      <vt:variant>
        <vt:i4>39</vt:i4>
      </vt:variant>
      <vt:variant>
        <vt:i4>0</vt:i4>
      </vt:variant>
      <vt:variant>
        <vt:i4>5</vt:i4>
      </vt:variant>
      <vt:variant>
        <vt:lpwstr>https://www.ema.europa.eu/en/news?f%5B0%5D=ema_news_responsible_body%3A100006</vt:lpwstr>
      </vt:variant>
      <vt:variant>
        <vt:lpwstr/>
      </vt:variant>
      <vt:variant>
        <vt:i4>393333</vt:i4>
      </vt:variant>
      <vt:variant>
        <vt:i4>36</vt:i4>
      </vt:variant>
      <vt:variant>
        <vt:i4>0</vt:i4>
      </vt:variant>
      <vt:variant>
        <vt:i4>5</vt:i4>
      </vt:variant>
      <vt:variant>
        <vt:lpwstr>http://data.europa.eu/eli/reg_impl/2021/405/oj</vt:lpwstr>
      </vt:variant>
      <vt:variant>
        <vt:lpwstr/>
      </vt:variant>
      <vt:variant>
        <vt:i4>393332</vt:i4>
      </vt:variant>
      <vt:variant>
        <vt:i4>33</vt:i4>
      </vt:variant>
      <vt:variant>
        <vt:i4>0</vt:i4>
      </vt:variant>
      <vt:variant>
        <vt:i4>5</vt:i4>
      </vt:variant>
      <vt:variant>
        <vt:lpwstr>http://data.europa.eu/eli/reg_impl/2021/404/oj</vt:lpwstr>
      </vt:variant>
      <vt:variant>
        <vt:lpwstr/>
      </vt:variant>
      <vt:variant>
        <vt:i4>5963876</vt:i4>
      </vt:variant>
      <vt:variant>
        <vt:i4>30</vt:i4>
      </vt:variant>
      <vt:variant>
        <vt:i4>0</vt:i4>
      </vt:variant>
      <vt:variant>
        <vt:i4>5</vt:i4>
      </vt:variant>
      <vt:variant>
        <vt:lpwstr>http://data.europa.eu/eli/reg_del/2022/2292/oj</vt:lpwstr>
      </vt:variant>
      <vt:variant>
        <vt:lpwstr/>
      </vt:variant>
      <vt:variant>
        <vt:i4>4784153</vt:i4>
      </vt:variant>
      <vt:variant>
        <vt:i4>27</vt:i4>
      </vt:variant>
      <vt:variant>
        <vt:i4>0</vt:i4>
      </vt:variant>
      <vt:variant>
        <vt:i4>5</vt:i4>
      </vt:variant>
      <vt:variant>
        <vt:lpwstr>http://data.europa.eu/eli/reg/2002/178/oj</vt:lpwstr>
      </vt:variant>
      <vt:variant>
        <vt:lpwstr/>
      </vt:variant>
      <vt:variant>
        <vt:i4>5898338</vt:i4>
      </vt:variant>
      <vt:variant>
        <vt:i4>24</vt:i4>
      </vt:variant>
      <vt:variant>
        <vt:i4>0</vt:i4>
      </vt:variant>
      <vt:variant>
        <vt:i4>5</vt:i4>
      </vt:variant>
      <vt:variant>
        <vt:lpwstr>http://data.europa.eu/eli/reg_del/2019/2035/oj</vt:lpwstr>
      </vt:variant>
      <vt:variant>
        <vt:lpwstr/>
      </vt:variant>
      <vt:variant>
        <vt:i4>8060947</vt:i4>
      </vt:variant>
      <vt:variant>
        <vt:i4>21</vt:i4>
      </vt:variant>
      <vt:variant>
        <vt:i4>0</vt:i4>
      </vt:variant>
      <vt:variant>
        <vt:i4>5</vt:i4>
      </vt:variant>
      <vt:variant>
        <vt:lpwstr>http://data.europa.eu/eli/reg_del/2021/577/oj</vt:lpwstr>
      </vt:variant>
      <vt:variant>
        <vt:lpwstr/>
      </vt:variant>
      <vt:variant>
        <vt:i4>5898338</vt:i4>
      </vt:variant>
      <vt:variant>
        <vt:i4>18</vt:i4>
      </vt:variant>
      <vt:variant>
        <vt:i4>0</vt:i4>
      </vt:variant>
      <vt:variant>
        <vt:i4>5</vt:i4>
      </vt:variant>
      <vt:variant>
        <vt:lpwstr>http://data.europa.eu/eli/reg_del/2019/2035/oj</vt:lpwstr>
      </vt:variant>
      <vt:variant>
        <vt:lpwstr/>
      </vt:variant>
      <vt:variant>
        <vt:i4>4784157</vt:i4>
      </vt:variant>
      <vt:variant>
        <vt:i4>15</vt:i4>
      </vt:variant>
      <vt:variant>
        <vt:i4>0</vt:i4>
      </vt:variant>
      <vt:variant>
        <vt:i4>5</vt:i4>
      </vt:variant>
      <vt:variant>
        <vt:lpwstr>http://data.europa.eu/eli/reg/2016/429/oj</vt:lpwstr>
      </vt:variant>
      <vt:variant>
        <vt:lpwstr/>
      </vt:variant>
      <vt:variant>
        <vt:i4>196720</vt:i4>
      </vt:variant>
      <vt:variant>
        <vt:i4>12</vt:i4>
      </vt:variant>
      <vt:variant>
        <vt:i4>0</vt:i4>
      </vt:variant>
      <vt:variant>
        <vt:i4>5</vt:i4>
      </vt:variant>
      <vt:variant>
        <vt:lpwstr>http://data.europa.eu/eli/reg_impl/2015/262/oj</vt:lpwstr>
      </vt:variant>
      <vt:variant>
        <vt:lpwstr/>
      </vt:variant>
      <vt:variant>
        <vt:i4>6946919</vt:i4>
      </vt:variant>
      <vt:variant>
        <vt:i4>9</vt:i4>
      </vt:variant>
      <vt:variant>
        <vt:i4>0</vt:i4>
      </vt:variant>
      <vt:variant>
        <vt:i4>5</vt:i4>
      </vt:variant>
      <vt:variant>
        <vt:lpwstr>http://data.europa.eu/eli/reg/2006/1950/oj</vt:lpwstr>
      </vt:variant>
      <vt:variant>
        <vt:lpwstr/>
      </vt:variant>
      <vt:variant>
        <vt:i4>5177369</vt:i4>
      </vt:variant>
      <vt:variant>
        <vt:i4>6</vt:i4>
      </vt:variant>
      <vt:variant>
        <vt:i4>0</vt:i4>
      </vt:variant>
      <vt:variant>
        <vt:i4>5</vt:i4>
      </vt:variant>
      <vt:variant>
        <vt:lpwstr>http://data.europa.eu/eli/reg/2009/470/oj</vt:lpwstr>
      </vt:variant>
      <vt:variant>
        <vt:lpwstr/>
      </vt:variant>
      <vt:variant>
        <vt:i4>5832789</vt:i4>
      </vt:variant>
      <vt:variant>
        <vt:i4>3</vt:i4>
      </vt:variant>
      <vt:variant>
        <vt:i4>0</vt:i4>
      </vt:variant>
      <vt:variant>
        <vt:i4>5</vt:i4>
      </vt:variant>
      <vt:variant>
        <vt:lpwstr>http://data.europa.eu/eli/dir/1996/22/oj</vt:lpwstr>
      </vt:variant>
      <vt:variant>
        <vt:lpwstr/>
      </vt:variant>
      <vt:variant>
        <vt:i4>126</vt:i4>
      </vt:variant>
      <vt:variant>
        <vt:i4>0</vt:i4>
      </vt:variant>
      <vt:variant>
        <vt:i4>0</vt:i4>
      </vt:variant>
      <vt:variant>
        <vt:i4>5</vt:i4>
      </vt:variant>
      <vt:variant>
        <vt:lpwstr>http://data.europa.eu/eli/reg_impl/2021/963/oj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2026-01-23T17:28:00Z</dcterms:created>
  <dcterms:modified xsi:type="dcterms:W3CDTF">2026-01-28T15:22:00Z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8.1, Build 20220902</vt:lpwstr>
  </property>
  <property fmtid="{D5CDD505-2E9C-101B-9397-08002B2CF9AE}" pid="9" name="MSIP_Label_6bd9ddd1-4d20-43f6-abfa-fc3c07406f94_Enabled">
    <vt:lpwstr>true</vt:lpwstr>
  </property>
  <property fmtid="{D5CDD505-2E9C-101B-9397-08002B2CF9AE}" pid="10" name="MSIP_Label_6bd9ddd1-4d20-43f6-abfa-fc3c07406f94_SetDate">
    <vt:lpwstr>2024-08-20T11:03:04Z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d682de00-63cb-42f2-8a3f-4664e8e2f9dd</vt:lpwstr>
  </property>
  <property fmtid="{D5CDD505-2E9C-101B-9397-08002B2CF9AE}" pid="15" name="MSIP_Label_6bd9ddd1-4d20-43f6-abfa-fc3c07406f94_ContentBits">
    <vt:lpwstr>0</vt:lpwstr>
  </property>
</Properties>
</file>