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08E4EE" w14:textId="3C178BA7" w:rsidR="00237E99" w:rsidRDefault="00C758EF" w:rsidP="00C758EF">
      <w:pPr>
        <w:pStyle w:val="Pagedecouverture"/>
        <w:rPr>
          <w:noProof/>
        </w:rPr>
      </w:pPr>
      <w:bookmarkStart w:id="0" w:name="_Hlk196397814"/>
      <w:bookmarkStart w:id="1" w:name="LW_BM_COVERPAGE"/>
      <w:r>
        <w:rPr>
          <w:noProof/>
        </w:rPr>
        <w:pict w14:anchorId="50898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7066E83-3390-406B-B753-21263A42093D" style="width:455.25pt;height:300pt">
            <v:imagedata r:id="rId8" o:title=""/>
          </v:shape>
        </w:pict>
      </w:r>
    </w:p>
    <w:bookmarkEnd w:id="1"/>
    <w:p w14:paraId="4D52DFB0" w14:textId="6348EE29" w:rsidR="00364AF2" w:rsidRPr="00364AF2" w:rsidRDefault="00364AF2" w:rsidP="00364AF2">
      <w:pPr>
        <w:pStyle w:val="Pagedecouverture"/>
        <w:rPr>
          <w:noProof/>
          <w:lang w:val="en-GB"/>
        </w:rPr>
        <w:sectPr w:rsidR="00364AF2" w:rsidRPr="00364AF2" w:rsidSect="00C758E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72CC60A" w14:textId="4BB6394F" w:rsidR="00B812C1" w:rsidRPr="00B812C1" w:rsidRDefault="00B812C1" w:rsidP="00B812C1">
      <w:pPr>
        <w:pStyle w:val="Typedudocument"/>
        <w:rPr>
          <w:noProof/>
        </w:rPr>
      </w:pPr>
      <w:bookmarkStart w:id="2" w:name="_GoBack"/>
      <w:bookmarkEnd w:id="2"/>
      <w:r w:rsidRPr="00B812C1">
        <w:rPr>
          <w:noProof/>
        </w:rPr>
        <w:lastRenderedPageBreak/>
        <w:t>RAPPORT DE LA COMMISSION AU PARLEMENT EUROPÉEN ET AU CONSEIL</w:t>
      </w:r>
    </w:p>
    <w:p w14:paraId="65C756BE" w14:textId="5B7727BB" w:rsidR="00B812C1" w:rsidRPr="00B812C1" w:rsidRDefault="00B812C1" w:rsidP="00B812C1">
      <w:pPr>
        <w:pStyle w:val="Titreobjet"/>
        <w:rPr>
          <w:noProof/>
        </w:rPr>
      </w:pPr>
      <w:r w:rsidRPr="00B812C1">
        <w:rPr>
          <w:noProof/>
        </w:rPr>
        <w:t>sur l’exercice de la délégation conférée à la Commission en vertu de</w:t>
      </w:r>
      <w:r w:rsidRPr="00B812C1">
        <w:rPr>
          <w:noProof/>
        </w:rPr>
        <w:br/>
        <w:t xml:space="preserve">l’article 31 du règlement (UE) 2015/2283 relatif aux nouveaux aliments </w:t>
      </w:r>
      <w:r w:rsidRPr="00B812C1">
        <w:rPr>
          <w:noProof/>
        </w:rPr>
        <w:br/>
      </w:r>
    </w:p>
    <w:p w14:paraId="01305BF2" w14:textId="5DF6F2A4" w:rsidR="004B11CE" w:rsidRPr="00AB675C" w:rsidRDefault="004B11CE" w:rsidP="00AB675C">
      <w:pPr>
        <w:rPr>
          <w:i/>
          <w:iCs/>
          <w:noProof/>
        </w:rPr>
      </w:pPr>
      <w:r>
        <w:rPr>
          <w:i/>
          <w:noProof/>
        </w:rPr>
        <w:t xml:space="preserve"> </w:t>
      </w:r>
    </w:p>
    <w:p w14:paraId="7B98FF8F" w14:textId="1A7FB2B3" w:rsidR="00A67A8F" w:rsidRPr="009B05C4" w:rsidRDefault="00A67A8F" w:rsidP="009B05C4">
      <w:pPr>
        <w:pStyle w:val="Heading1"/>
        <w:numPr>
          <w:ilvl w:val="0"/>
          <w:numId w:val="1"/>
        </w:numPr>
        <w:spacing w:before="0" w:after="240" w:line="240" w:lineRule="auto"/>
        <w:ind w:left="567" w:hanging="567"/>
        <w:jc w:val="both"/>
        <w:rPr>
          <w:rFonts w:ascii="Times New Roman" w:hAnsi="Times New Roman" w:cs="Times New Roman"/>
          <w:b/>
          <w:bCs/>
          <w:smallCaps/>
          <w:noProof/>
          <w:color w:val="auto"/>
          <w:sz w:val="24"/>
          <w:szCs w:val="24"/>
        </w:rPr>
      </w:pPr>
      <w:r>
        <w:rPr>
          <w:rFonts w:ascii="Times New Roman" w:hAnsi="Times New Roman"/>
          <w:b/>
          <w:smallCaps/>
          <w:noProof/>
          <w:color w:val="auto"/>
          <w:sz w:val="24"/>
        </w:rPr>
        <w:t>Introduction</w:t>
      </w:r>
    </w:p>
    <w:p w14:paraId="379114C0" w14:textId="507FABF9" w:rsidR="00A67A8F" w:rsidRPr="00A67A8F" w:rsidRDefault="00A67A8F" w:rsidP="00A67A8F">
      <w:pPr>
        <w:jc w:val="both"/>
        <w:rPr>
          <w:rFonts w:ascii="Times New Roman" w:hAnsi="Times New Roman" w:cs="Times New Roman"/>
          <w:noProof/>
          <w:sz w:val="24"/>
          <w:szCs w:val="24"/>
        </w:rPr>
      </w:pPr>
      <w:r>
        <w:rPr>
          <w:rFonts w:ascii="Times New Roman" w:hAnsi="Times New Roman"/>
          <w:noProof/>
          <w:sz w:val="24"/>
        </w:rPr>
        <w:t>Par le présent rapport, la Commission se conforme à l’obligation qui lui est faite par l’article 32, paragraphe 3, du règlement (UE) 2015/2283 du Parlement européen et du Conseil du 25 novembre 2015 relatif aux nouveaux aliments</w:t>
      </w:r>
      <w:r>
        <w:rPr>
          <w:rStyle w:val="FootnoteReference"/>
          <w:rFonts w:ascii="Times New Roman" w:hAnsi="Times New Roman" w:cs="Times New Roman"/>
          <w:noProof/>
          <w:sz w:val="24"/>
          <w:szCs w:val="24"/>
          <w:lang w:val="en-IE"/>
        </w:rPr>
        <w:footnoteReference w:id="2"/>
      </w:r>
      <w:r>
        <w:rPr>
          <w:rFonts w:ascii="Times New Roman" w:hAnsi="Times New Roman"/>
          <w:noProof/>
          <w:sz w:val="24"/>
        </w:rPr>
        <w:t xml:space="preserve"> (ci-après le «règlement sur les nouveaux aliments»). Ledit règlement définit les principes généraux, les exigences et les responsabilités régissant l’autorisation de nouveaux aliments sur le marché de l’Union, garantissant ainsi le bon fonctionnement du marché intérieur tout en assurant un niveau élevé de protection de la santé humaine et des intérêts des consommateurs.</w:t>
      </w:r>
    </w:p>
    <w:p w14:paraId="53D5D0B5" w14:textId="77777777" w:rsidR="00A67A8F" w:rsidRPr="00A67A8F" w:rsidRDefault="00A67A8F" w:rsidP="0026727B">
      <w:pPr>
        <w:spacing w:after="240"/>
        <w:jc w:val="both"/>
        <w:rPr>
          <w:rFonts w:ascii="Times New Roman" w:hAnsi="Times New Roman" w:cs="Times New Roman"/>
          <w:noProof/>
          <w:sz w:val="24"/>
          <w:szCs w:val="24"/>
        </w:rPr>
      </w:pPr>
      <w:r>
        <w:rPr>
          <w:rFonts w:ascii="Times New Roman" w:hAnsi="Times New Roman"/>
          <w:noProof/>
          <w:sz w:val="24"/>
        </w:rPr>
        <w:t>L’article 31 du règlement sur les nouveaux aliments habilite la Commission à adopter des actes délégués en vue d’ajuster et d’adapter la définition des nanomatériaux manufacturés visée à l’article 3, paragraphe 2, point f), au progrès scientifique et technique ou aux définitions convenues au niveau international.</w:t>
      </w:r>
    </w:p>
    <w:p w14:paraId="4CB48A1E" w14:textId="59F7D9B4" w:rsidR="00A67A8F" w:rsidRPr="009B05C4" w:rsidRDefault="00A67A8F" w:rsidP="009B05C4">
      <w:pPr>
        <w:pStyle w:val="Heading1"/>
        <w:numPr>
          <w:ilvl w:val="0"/>
          <w:numId w:val="1"/>
        </w:numPr>
        <w:spacing w:before="0" w:after="240" w:line="240" w:lineRule="auto"/>
        <w:ind w:left="567" w:hanging="567"/>
        <w:jc w:val="both"/>
        <w:rPr>
          <w:rFonts w:ascii="Times New Roman" w:hAnsi="Times New Roman" w:cs="Times New Roman"/>
          <w:b/>
          <w:bCs/>
          <w:smallCaps/>
          <w:noProof/>
          <w:color w:val="auto"/>
          <w:sz w:val="24"/>
          <w:szCs w:val="24"/>
        </w:rPr>
      </w:pPr>
      <w:r>
        <w:rPr>
          <w:rFonts w:ascii="Times New Roman" w:hAnsi="Times New Roman"/>
          <w:b/>
          <w:smallCaps/>
          <w:noProof/>
          <w:color w:val="auto"/>
          <w:sz w:val="24"/>
        </w:rPr>
        <w:t>Base juridique</w:t>
      </w:r>
    </w:p>
    <w:p w14:paraId="45237CFC" w14:textId="133CF685" w:rsidR="00A67A8F" w:rsidRPr="00A67A8F" w:rsidRDefault="00234226" w:rsidP="0026727B">
      <w:pPr>
        <w:spacing w:after="240"/>
        <w:jc w:val="both"/>
        <w:rPr>
          <w:rFonts w:ascii="Times New Roman" w:hAnsi="Times New Roman" w:cs="Times New Roman"/>
          <w:noProof/>
          <w:sz w:val="24"/>
          <w:szCs w:val="24"/>
        </w:rPr>
      </w:pPr>
      <w:r>
        <w:rPr>
          <w:rFonts w:ascii="Times New Roman" w:hAnsi="Times New Roman"/>
          <w:noProof/>
          <w:sz w:val="24"/>
        </w:rPr>
        <w:t xml:space="preserve">Conformément à l’article 32, paragraphe 3, du règlement sur les nouveaux aliments, le pouvoir d’adopter des actes délégués visé à l’article 31 a été conféré à la Commission pour une période initiale de cinq ans à compter du 31 décembre 2015. Au plus tard neuf mois avant la fin de la période de cinq ans, la Commission était tenue de présenter un rapport relatif à l’exercice de la délégation de pouvoir qui lui a été conférée par le règlement sur les nouveaux aliments. La délégation de pouvoir devait être tacitement prorogée pour des périodes d’une durée identique, sauf si le Parlement européen ou le Conseil s’opposait à cette prorogation au plus tard trois mois avant la fin de chaque période. </w:t>
      </w:r>
    </w:p>
    <w:p w14:paraId="7D7EB273" w14:textId="63ACC840" w:rsidR="00A67A8F" w:rsidRPr="009B05C4" w:rsidRDefault="00A67A8F" w:rsidP="009B05C4">
      <w:pPr>
        <w:pStyle w:val="Heading1"/>
        <w:numPr>
          <w:ilvl w:val="0"/>
          <w:numId w:val="1"/>
        </w:numPr>
        <w:spacing w:before="0" w:after="240" w:line="240" w:lineRule="auto"/>
        <w:ind w:left="567" w:hanging="567"/>
        <w:jc w:val="both"/>
        <w:rPr>
          <w:rFonts w:ascii="Times New Roman" w:hAnsi="Times New Roman" w:cs="Times New Roman"/>
          <w:b/>
          <w:bCs/>
          <w:smallCaps/>
          <w:noProof/>
          <w:color w:val="auto"/>
          <w:sz w:val="24"/>
          <w:szCs w:val="24"/>
        </w:rPr>
      </w:pPr>
      <w:r>
        <w:rPr>
          <w:rFonts w:ascii="Times New Roman" w:hAnsi="Times New Roman"/>
          <w:b/>
          <w:smallCaps/>
          <w:noProof/>
          <w:color w:val="auto"/>
          <w:sz w:val="24"/>
        </w:rPr>
        <w:t>Exercice de la délégation</w:t>
      </w:r>
    </w:p>
    <w:p w14:paraId="0090DCFE" w14:textId="287C0438" w:rsidR="00A67A8F" w:rsidRPr="00A67A8F" w:rsidRDefault="00A67A8F" w:rsidP="00A67A8F">
      <w:pPr>
        <w:jc w:val="both"/>
        <w:rPr>
          <w:rFonts w:ascii="Times New Roman" w:hAnsi="Times New Roman" w:cs="Times New Roman"/>
          <w:noProof/>
          <w:sz w:val="24"/>
          <w:szCs w:val="24"/>
        </w:rPr>
      </w:pPr>
      <w:r>
        <w:rPr>
          <w:rFonts w:ascii="Times New Roman" w:hAnsi="Times New Roman"/>
          <w:noProof/>
          <w:sz w:val="24"/>
        </w:rPr>
        <w:t xml:space="preserve">Dans le cadre de l’exercice de la délégation qui lui est conférée en vertu de l’article 31 du règlement sur les nouveaux aliments, la Commission a pris des mesures pour adopter un acte délégué en vue d’ajuster et d’adapter la définition des nanomatériaux manufacturés. </w:t>
      </w:r>
    </w:p>
    <w:p w14:paraId="507AAF73" w14:textId="77777777" w:rsidR="00A67A8F" w:rsidRPr="00A67A8F" w:rsidRDefault="00A67A8F" w:rsidP="00A67A8F">
      <w:pPr>
        <w:jc w:val="both"/>
        <w:rPr>
          <w:rFonts w:ascii="Times New Roman" w:hAnsi="Times New Roman" w:cs="Times New Roman"/>
          <w:noProof/>
          <w:sz w:val="24"/>
          <w:szCs w:val="24"/>
        </w:rPr>
      </w:pPr>
      <w:r>
        <w:rPr>
          <w:rFonts w:ascii="Times New Roman" w:hAnsi="Times New Roman"/>
          <w:noProof/>
          <w:sz w:val="24"/>
        </w:rPr>
        <w:t xml:space="preserve">L’article 3, paragraphe 2, point f), du règlement sur les nouveaux aliments définit le «nanomatériau manufacturé» comme suit: </w:t>
      </w:r>
    </w:p>
    <w:p w14:paraId="0DA9AAF2" w14:textId="77777777" w:rsidR="00A67A8F" w:rsidRPr="00A67A8F" w:rsidRDefault="00A67A8F" w:rsidP="00A67A8F">
      <w:pPr>
        <w:ind w:left="708"/>
        <w:jc w:val="both"/>
        <w:rPr>
          <w:rFonts w:ascii="Times New Roman" w:hAnsi="Times New Roman" w:cs="Times New Roman"/>
          <w:i/>
          <w:iCs/>
          <w:noProof/>
          <w:sz w:val="24"/>
          <w:szCs w:val="24"/>
        </w:rPr>
      </w:pPr>
      <w:r>
        <w:rPr>
          <w:rFonts w:ascii="Times New Roman" w:hAnsi="Times New Roman"/>
          <w:noProof/>
          <w:sz w:val="24"/>
        </w:rPr>
        <w:t>«</w:t>
      </w:r>
      <w:r>
        <w:rPr>
          <w:rFonts w:ascii="Times New Roman" w:hAnsi="Times New Roman"/>
          <w:i/>
          <w:noProof/>
          <w:sz w:val="24"/>
        </w:rPr>
        <w:t>tout matériau produit intentionnellement présentant une ou plusieurs dimensions de l’ordre de 100 nm ou moins, ou composé de parties fonctionnelles distinctes, soit internes, soit à la surface, dont beaucoup ont une ou plusieurs dimensions de l’ordre de 100 nm ou moins, y compris des structures, des agglomérats ou des agrégats qui peuvent avoir une taille supérieure à 100 nm mais qui conservent des propriétés typiques de la nanoéchelle.</w:t>
      </w:r>
    </w:p>
    <w:p w14:paraId="410FAE87" w14:textId="77777777" w:rsidR="00A67A8F" w:rsidRPr="00A67A8F" w:rsidRDefault="00A67A8F" w:rsidP="00A67A8F">
      <w:pPr>
        <w:ind w:left="708"/>
        <w:jc w:val="both"/>
        <w:rPr>
          <w:rFonts w:ascii="Times New Roman" w:hAnsi="Times New Roman" w:cs="Times New Roman"/>
          <w:i/>
          <w:iCs/>
          <w:noProof/>
          <w:sz w:val="24"/>
          <w:szCs w:val="24"/>
        </w:rPr>
      </w:pPr>
      <w:r>
        <w:rPr>
          <w:rFonts w:ascii="Times New Roman" w:hAnsi="Times New Roman"/>
          <w:i/>
          <w:noProof/>
          <w:sz w:val="24"/>
        </w:rPr>
        <w:t>Les propriétés typiques de la nanoéchelle comprennent:</w:t>
      </w:r>
    </w:p>
    <w:p w14:paraId="11A735C1" w14:textId="77777777" w:rsidR="00A67A8F" w:rsidRPr="00A67A8F" w:rsidRDefault="00A67A8F" w:rsidP="00A67A8F">
      <w:pPr>
        <w:ind w:left="708"/>
        <w:jc w:val="both"/>
        <w:rPr>
          <w:rFonts w:ascii="Times New Roman" w:hAnsi="Times New Roman" w:cs="Times New Roman"/>
          <w:i/>
          <w:iCs/>
          <w:noProof/>
          <w:sz w:val="24"/>
          <w:szCs w:val="24"/>
        </w:rPr>
      </w:pPr>
      <w:r>
        <w:rPr>
          <w:rFonts w:ascii="Times New Roman" w:hAnsi="Times New Roman"/>
          <w:i/>
          <w:noProof/>
          <w:sz w:val="24"/>
        </w:rPr>
        <w:t>i) les propriétés liées à la grande surface spécifique des matériaux considérés; et/ou</w:t>
      </w:r>
    </w:p>
    <w:p w14:paraId="56C5F63E" w14:textId="77777777" w:rsidR="00A67A8F" w:rsidRPr="00A67A8F" w:rsidRDefault="00A67A8F" w:rsidP="00A67A8F">
      <w:pPr>
        <w:ind w:left="708"/>
        <w:jc w:val="both"/>
        <w:rPr>
          <w:rFonts w:ascii="Times New Roman" w:hAnsi="Times New Roman" w:cs="Times New Roman"/>
          <w:noProof/>
          <w:sz w:val="24"/>
          <w:szCs w:val="24"/>
        </w:rPr>
      </w:pPr>
      <w:r>
        <w:rPr>
          <w:rFonts w:ascii="Times New Roman" w:hAnsi="Times New Roman"/>
          <w:i/>
          <w:noProof/>
          <w:sz w:val="24"/>
        </w:rPr>
        <w:t>ii) des propriétés physico-chimiques spécifiques qui sont différentes de celles de la forme non nanotechnologique du même matériau.</w:t>
      </w:r>
      <w:r>
        <w:rPr>
          <w:rFonts w:ascii="Times New Roman" w:hAnsi="Times New Roman"/>
          <w:noProof/>
          <w:sz w:val="24"/>
        </w:rPr>
        <w:t>»</w:t>
      </w:r>
    </w:p>
    <w:p w14:paraId="03848D28" w14:textId="77777777" w:rsidR="00A67A8F" w:rsidRPr="00A67A8F" w:rsidRDefault="00A67A8F" w:rsidP="00A67A8F">
      <w:pPr>
        <w:jc w:val="both"/>
        <w:rPr>
          <w:rFonts w:ascii="Times New Roman" w:hAnsi="Times New Roman" w:cs="Times New Roman"/>
          <w:noProof/>
          <w:sz w:val="24"/>
          <w:szCs w:val="24"/>
        </w:rPr>
      </w:pPr>
      <w:r>
        <w:rPr>
          <w:rFonts w:ascii="Times New Roman" w:hAnsi="Times New Roman"/>
          <w:noProof/>
          <w:sz w:val="24"/>
        </w:rPr>
        <w:t>Cette définition se fonde sur une recommandation de la Commission du 18 octobre 2011</w:t>
      </w:r>
      <w:r>
        <w:rPr>
          <w:rStyle w:val="FootnoteReference"/>
          <w:rFonts w:ascii="Times New Roman" w:hAnsi="Times New Roman" w:cs="Times New Roman"/>
          <w:noProof/>
          <w:sz w:val="24"/>
          <w:szCs w:val="24"/>
          <w:lang w:val="en-IE"/>
        </w:rPr>
        <w:footnoteReference w:id="3"/>
      </w:r>
      <w:r>
        <w:rPr>
          <w:rFonts w:ascii="Times New Roman" w:hAnsi="Times New Roman"/>
          <w:noProof/>
          <w:sz w:val="24"/>
        </w:rPr>
        <w:t xml:space="preserve"> qui a introduit une définition des nanomatériaux. </w:t>
      </w:r>
    </w:p>
    <w:p w14:paraId="091C2127" w14:textId="1F639318" w:rsidR="00A67A8F" w:rsidRPr="00A67A8F" w:rsidRDefault="00A67A8F" w:rsidP="00A67A8F">
      <w:pPr>
        <w:jc w:val="both"/>
        <w:rPr>
          <w:rFonts w:ascii="Times New Roman" w:hAnsi="Times New Roman" w:cs="Times New Roman"/>
          <w:noProof/>
          <w:sz w:val="24"/>
          <w:szCs w:val="24"/>
        </w:rPr>
      </w:pPr>
      <w:r>
        <w:rPr>
          <w:rFonts w:ascii="Times New Roman" w:hAnsi="Times New Roman"/>
          <w:noProof/>
          <w:sz w:val="24"/>
        </w:rPr>
        <w:t>Par la suite, le 10 juin 2022, une nouvelle recommandation de la Commission relative à la définition des nanomatériaux (ci-après la «recommandation de la Commission») a été adoptée sur la base des dernières avancées scientifiques et techniques</w:t>
      </w:r>
      <w:r>
        <w:rPr>
          <w:rStyle w:val="FootnoteReference"/>
          <w:rFonts w:ascii="Times New Roman" w:hAnsi="Times New Roman" w:cs="Times New Roman"/>
          <w:noProof/>
          <w:sz w:val="24"/>
          <w:szCs w:val="24"/>
          <w:lang w:val="en-IE"/>
        </w:rPr>
        <w:footnoteReference w:id="4"/>
      </w:r>
      <w:r>
        <w:rPr>
          <w:rFonts w:ascii="Times New Roman" w:hAnsi="Times New Roman"/>
          <w:noProof/>
          <w:sz w:val="24"/>
        </w:rPr>
        <w:t>. Cette recommandation de la Commission a été le fruit d’un réexamen approfondi</w:t>
      </w:r>
      <w:r>
        <w:rPr>
          <w:rStyle w:val="FootnoteReference"/>
          <w:rFonts w:ascii="Times New Roman" w:hAnsi="Times New Roman" w:cs="Times New Roman"/>
          <w:noProof/>
          <w:sz w:val="24"/>
          <w:szCs w:val="24"/>
          <w:lang w:val="en-IE"/>
        </w:rPr>
        <w:footnoteReference w:id="5"/>
      </w:r>
      <w:r>
        <w:rPr>
          <w:rFonts w:ascii="Times New Roman" w:hAnsi="Times New Roman"/>
          <w:noProof/>
          <w:sz w:val="24"/>
        </w:rPr>
        <w:t xml:space="preserve"> et d’une consultation ciblée des parties prenantes</w:t>
      </w:r>
      <w:r>
        <w:rPr>
          <w:rStyle w:val="FootnoteReference"/>
          <w:rFonts w:ascii="Times New Roman" w:hAnsi="Times New Roman" w:cs="Times New Roman"/>
          <w:noProof/>
          <w:sz w:val="24"/>
          <w:szCs w:val="24"/>
          <w:lang w:val="en-IE"/>
        </w:rPr>
        <w:footnoteReference w:id="6"/>
      </w:r>
      <w:r>
        <w:rPr>
          <w:rFonts w:ascii="Times New Roman" w:hAnsi="Times New Roman"/>
          <w:noProof/>
          <w:sz w:val="24"/>
        </w:rPr>
        <w:t xml:space="preserve"> </w:t>
      </w:r>
      <w:r>
        <w:rPr>
          <w:rStyle w:val="FootnoteReference"/>
          <w:rFonts w:ascii="Times New Roman" w:hAnsi="Times New Roman" w:cs="Times New Roman"/>
          <w:noProof/>
          <w:sz w:val="24"/>
          <w:szCs w:val="24"/>
          <w:lang w:val="en-IE"/>
        </w:rPr>
        <w:footnoteReference w:id="7"/>
      </w:r>
      <w:r>
        <w:rPr>
          <w:rFonts w:ascii="Times New Roman" w:hAnsi="Times New Roman"/>
          <w:noProof/>
          <w:sz w:val="24"/>
        </w:rPr>
        <w:t xml:space="preserve">. </w:t>
      </w:r>
    </w:p>
    <w:p w14:paraId="17308C9E" w14:textId="417EBDCC" w:rsidR="00A67A8F" w:rsidRPr="00A67A8F" w:rsidRDefault="00A67A8F" w:rsidP="00A67A8F">
      <w:pPr>
        <w:jc w:val="both"/>
        <w:rPr>
          <w:rFonts w:ascii="Times New Roman" w:hAnsi="Times New Roman" w:cs="Times New Roman"/>
          <w:noProof/>
          <w:sz w:val="24"/>
          <w:szCs w:val="24"/>
        </w:rPr>
      </w:pPr>
      <w:r>
        <w:rPr>
          <w:rFonts w:ascii="Times New Roman" w:hAnsi="Times New Roman"/>
          <w:noProof/>
          <w:sz w:val="24"/>
        </w:rPr>
        <w:t>Compte tenu de la définition révisée introduite par la recommandation de la Commission et de l’appel de celle-ci à aligner la législation existante en conséquence, un groupe d’experts de la Commission</w:t>
      </w:r>
      <w:r>
        <w:rPr>
          <w:rStyle w:val="FootnoteReference"/>
          <w:rFonts w:ascii="Times New Roman" w:hAnsi="Times New Roman" w:cs="Times New Roman"/>
          <w:noProof/>
          <w:sz w:val="24"/>
          <w:szCs w:val="24"/>
          <w:lang w:val="en-IE"/>
        </w:rPr>
        <w:footnoteReference w:id="8"/>
      </w:r>
      <w:r>
        <w:rPr>
          <w:rFonts w:ascii="Times New Roman" w:hAnsi="Times New Roman"/>
          <w:noProof/>
          <w:sz w:val="24"/>
        </w:rPr>
        <w:t xml:space="preserve"> composé d’experts nationaux a, depuis octobre 2022, aidé la Commission à élaborer un acte délégué en vue d’ajuster et d’adapter la définition des nanomatériaux manufacturés aux besoins du règlement sur les nouveaux aliments. Dans le cadre de ces travaux, le document de l’Autorité européenne de sécurité des aliments (EFSA) intitulé «Guidance on risk assessment of nanomaterials to be applied in the food and feed chain: human and animal health»</w:t>
      </w:r>
      <w:r>
        <w:rPr>
          <w:rStyle w:val="FootnoteReference"/>
          <w:rFonts w:ascii="Times New Roman" w:hAnsi="Times New Roman" w:cs="Times New Roman"/>
          <w:noProof/>
          <w:sz w:val="24"/>
          <w:szCs w:val="24"/>
          <w:lang w:val="en-IE"/>
        </w:rPr>
        <w:footnoteReference w:id="9"/>
      </w:r>
      <w:r>
        <w:rPr>
          <w:rFonts w:ascii="Times New Roman" w:hAnsi="Times New Roman"/>
          <w:noProof/>
          <w:sz w:val="24"/>
        </w:rPr>
        <w:t xml:space="preserve"> (orientations sur l’évaluation des risques des nanomatériaux destinés à être utilisés dans la chaîne alimentaire humaine et animale), adopté le 30 juin 2021 et publié le 3 août 2021, a été pris en considération. Il était également essentiel de tirer parti de l’expérience des parties prenantes afin de recenser les problèmes pratiques liés à la définition des nanomatériaux manufacturés. Celles-ci ont donc été vivement encouragées à donner leur avis tout au long de la consultation qui s’est déroulée du 30 novembre 2023 au 12 janvier 2024</w:t>
      </w:r>
      <w:r>
        <w:rPr>
          <w:rStyle w:val="FootnoteReference"/>
          <w:rFonts w:ascii="Times New Roman" w:hAnsi="Times New Roman" w:cs="Times New Roman"/>
          <w:noProof/>
          <w:sz w:val="24"/>
          <w:szCs w:val="24"/>
          <w:lang w:val="en-IE"/>
        </w:rPr>
        <w:footnoteReference w:id="10"/>
      </w:r>
      <w:r>
        <w:rPr>
          <w:rFonts w:ascii="Times New Roman" w:hAnsi="Times New Roman"/>
          <w:noProof/>
          <w:sz w:val="24"/>
        </w:rPr>
        <w:t xml:space="preserve">. </w:t>
      </w:r>
    </w:p>
    <w:p w14:paraId="6BF30821" w14:textId="4E666175" w:rsidR="00D432EB" w:rsidRPr="00A67A8F" w:rsidRDefault="00C06880" w:rsidP="00D432EB">
      <w:pPr>
        <w:jc w:val="both"/>
        <w:rPr>
          <w:rFonts w:ascii="Times New Roman" w:hAnsi="Times New Roman" w:cs="Times New Roman"/>
          <w:noProof/>
          <w:sz w:val="24"/>
          <w:szCs w:val="24"/>
        </w:rPr>
      </w:pPr>
      <w:r>
        <w:rPr>
          <w:rFonts w:ascii="Times New Roman" w:hAnsi="Times New Roman"/>
          <w:noProof/>
          <w:sz w:val="24"/>
        </w:rPr>
        <w:t>Le 14 mars 2024, la Commission a adopté un règlement délégué modifiant le règlement relatif aux nouveaux aliments en ce qui concerne la définition d’un «nanomatériau manufacturé» (ci-après le «règlement délégué de la Commission»)</w:t>
      </w:r>
      <w:r>
        <w:rPr>
          <w:rStyle w:val="FootnoteReference"/>
          <w:rFonts w:ascii="Times New Roman" w:hAnsi="Times New Roman" w:cs="Times New Roman"/>
          <w:noProof/>
          <w:sz w:val="24"/>
          <w:szCs w:val="24"/>
          <w:lang w:val="en-IE"/>
        </w:rPr>
        <w:footnoteReference w:id="11"/>
      </w:r>
      <w:r>
        <w:rPr>
          <w:rFonts w:ascii="Times New Roman" w:hAnsi="Times New Roman"/>
          <w:noProof/>
          <w:sz w:val="24"/>
        </w:rPr>
        <w:t xml:space="preserve">. Celui-ci visait à garantir la cohérence de la définition des nanomatériaux manufacturés utilisée dans le cadre réglementaire de l’UE et à remédier aux difficultés de mise en œuvre de la définition d’un «nanomatériau manufacturé» figurant dans le règlement sur les nouveaux aliments, aux fins de la réalisation des objectifs dudit règlement. À cette fin, le règlement délégué de la Commission a intégré les principaux éléments techniques de la définition générale des nanomatériaux manufacturés établie dans la recommandation de la Commission, qui tenait compte des dernières avancées scientifiques et techniques. En particulier, la définition modifiée comprenait la limite de taille (&lt; 100 nm), l’exclusion, dans la définition, des matériaux dont le rapport surface/volume est inférieur à une certaine valeur, les définitions de «particule», «agrégat» et «agglomérat», et la fixation d’un seuil par défaut de 50 % de particules présentes à l’échelle nanométrique pour qu’un matériau soit considéré comme un nanomatériau. </w:t>
      </w:r>
    </w:p>
    <w:p w14:paraId="63A5A78D" w14:textId="35FCCCCD" w:rsidR="000534B5" w:rsidRPr="00A67A8F" w:rsidRDefault="00C06880" w:rsidP="000534B5">
      <w:pPr>
        <w:jc w:val="both"/>
        <w:rPr>
          <w:rFonts w:ascii="Times New Roman" w:hAnsi="Times New Roman" w:cs="Times New Roman"/>
          <w:noProof/>
          <w:sz w:val="24"/>
          <w:szCs w:val="24"/>
        </w:rPr>
      </w:pPr>
      <w:r>
        <w:rPr>
          <w:rFonts w:ascii="Times New Roman" w:hAnsi="Times New Roman"/>
          <w:noProof/>
          <w:sz w:val="24"/>
        </w:rPr>
        <w:t>Conformément à la procédure pour l’adoption d’actes délégués, le règlement délégué de la Commission a été transmis pour examen au Parlement européen et au Conseil. Le 24 avril 2024, le Parlement européen a fait objection au règlement délégué de la Commission</w:t>
      </w:r>
      <w:r>
        <w:rPr>
          <w:rStyle w:val="FootnoteReference"/>
          <w:rFonts w:ascii="Times New Roman" w:hAnsi="Times New Roman" w:cs="Times New Roman"/>
          <w:noProof/>
          <w:sz w:val="24"/>
          <w:szCs w:val="24"/>
          <w:lang w:val="en-IE"/>
        </w:rPr>
        <w:footnoteReference w:id="12"/>
      </w:r>
      <w:r>
        <w:rPr>
          <w:rFonts w:ascii="Times New Roman" w:hAnsi="Times New Roman"/>
          <w:noProof/>
          <w:sz w:val="24"/>
        </w:rPr>
        <w:t>. Dans son objection, le Parlement européen a fait valoir que le règlement délégué de la Commission n’était pas compatible avec l’objectif et le contenu du règlement sur les nouveaux aliments et allait au-delà de la délégation de pouvoir conférée à la Commission en vertu de l’article 31 dudit règlement. Le 29 août 2024, la Commission a répondu officiellement à l’objection du Parlement européen</w:t>
      </w:r>
      <w:r>
        <w:rPr>
          <w:rStyle w:val="FootnoteReference"/>
          <w:rFonts w:ascii="Times New Roman" w:hAnsi="Times New Roman" w:cs="Times New Roman"/>
          <w:noProof/>
          <w:sz w:val="24"/>
          <w:szCs w:val="24"/>
          <w:lang w:val="en-IE"/>
        </w:rPr>
        <w:footnoteReference w:id="13"/>
      </w:r>
      <w:r>
        <w:rPr>
          <w:rFonts w:ascii="Times New Roman" w:hAnsi="Times New Roman"/>
          <w:noProof/>
          <w:sz w:val="24"/>
        </w:rPr>
        <w:t xml:space="preserve">. Compte tenu de cette objection, le règlement délégué de la Commission n’est pas entré en vigueur. La définition du terme «nanomatériau manufacturé» figurant à l’article 3, paragraphe 2, point f), du règlement sur les nouveaux aliments demeure par conséquent inchangée. </w:t>
      </w:r>
    </w:p>
    <w:p w14:paraId="545AD6F6" w14:textId="6519A71C" w:rsidR="00A67A8F" w:rsidRPr="00B812C1" w:rsidRDefault="00A67A8F" w:rsidP="000375B3">
      <w:pPr>
        <w:jc w:val="both"/>
        <w:rPr>
          <w:rFonts w:ascii="Times New Roman" w:hAnsi="Times New Roman" w:cs="Times New Roman"/>
          <w:b/>
          <w:bCs/>
          <w:noProof/>
          <w:sz w:val="24"/>
          <w:szCs w:val="24"/>
          <w:highlight w:val="yellow"/>
          <w:lang w:val="fr-BE"/>
        </w:rPr>
      </w:pPr>
    </w:p>
    <w:p w14:paraId="3BF57BCD" w14:textId="64A40250" w:rsidR="00A67A8F" w:rsidRPr="009B05C4" w:rsidRDefault="00A67A8F" w:rsidP="009B05C4">
      <w:pPr>
        <w:pStyle w:val="Heading1"/>
        <w:numPr>
          <w:ilvl w:val="0"/>
          <w:numId w:val="1"/>
        </w:numPr>
        <w:spacing w:before="0" w:after="240" w:line="240" w:lineRule="auto"/>
        <w:ind w:left="567" w:hanging="567"/>
        <w:jc w:val="both"/>
        <w:rPr>
          <w:rFonts w:ascii="Times New Roman" w:hAnsi="Times New Roman" w:cs="Times New Roman"/>
          <w:b/>
          <w:bCs/>
          <w:smallCaps/>
          <w:noProof/>
          <w:color w:val="auto"/>
          <w:sz w:val="24"/>
          <w:szCs w:val="24"/>
        </w:rPr>
      </w:pPr>
      <w:r>
        <w:rPr>
          <w:rFonts w:ascii="Times New Roman" w:hAnsi="Times New Roman"/>
          <w:b/>
          <w:smallCaps/>
          <w:noProof/>
          <w:color w:val="auto"/>
          <w:sz w:val="24"/>
        </w:rPr>
        <w:t>Conclusion</w:t>
      </w:r>
    </w:p>
    <w:p w14:paraId="64E19785" w14:textId="51B0A1D8" w:rsidR="00717F92" w:rsidRDefault="00364AF2" w:rsidP="00936556">
      <w:pPr>
        <w:jc w:val="both"/>
        <w:rPr>
          <w:rFonts w:ascii="Times New Roman" w:hAnsi="Times New Roman" w:cs="Times New Roman"/>
          <w:noProof/>
          <w:sz w:val="24"/>
          <w:szCs w:val="24"/>
        </w:rPr>
      </w:pPr>
      <w:r>
        <w:rPr>
          <w:rFonts w:ascii="Times New Roman" w:hAnsi="Times New Roman"/>
          <w:noProof/>
          <w:sz w:val="24"/>
        </w:rPr>
        <w:t>Au cours des dernières années, la Commission a pris des mesures pour exercer les pouvoirs délégués qui lui sont conférés en vertu de l’article 31 du règlement sur les nouveaux aliments. La Commission estime qu’une prorogation de l’habilitation est nécessaire, car il est essentiel de veiller à ce que la définition des nanomatériaux manufacturés visée à l’article 3, paragraphe 2, point f) du règlement sur les nouveaux aliments soit adaptée au progrès technique et scientifique ou aux définitions convenues au niveau international.</w:t>
      </w:r>
      <w:r>
        <w:rPr>
          <w:rFonts w:ascii="Segoe UI" w:hAnsi="Segoe UI"/>
          <w:noProof/>
          <w:sz w:val="18"/>
        </w:rPr>
        <w:t xml:space="preserve"> </w:t>
      </w:r>
      <w:r>
        <w:rPr>
          <w:rFonts w:ascii="Times New Roman" w:hAnsi="Times New Roman"/>
          <w:noProof/>
          <w:sz w:val="24"/>
        </w:rPr>
        <w:t xml:space="preserve">Cet alignement technique est fondamental pour garantir des conditions de concurrence équitables sur le marché intérieur tout en assurant un niveau élevé de protection de la santé humaine et des intérêts des consommateurs, qui sont les objectifs du règlement sur les nouveaux aliments. En maintenant la situation existante, les matériaux qui devraient être définis comme des «nanomatériaux manufacturés» ne seront toujours pas définis comme tels, ce qui empêchera les consommateurs de recevoir les informations nécessaires sur leur présence dans les produits. </w:t>
      </w:r>
    </w:p>
    <w:p w14:paraId="0722F3BF" w14:textId="05333AC8" w:rsidR="000F5DCE" w:rsidRPr="00A67A8F" w:rsidRDefault="00364AF2" w:rsidP="00936556">
      <w:pPr>
        <w:jc w:val="both"/>
        <w:rPr>
          <w:rFonts w:ascii="Times New Roman" w:hAnsi="Times New Roman" w:cs="Times New Roman"/>
          <w:noProof/>
          <w:sz w:val="24"/>
          <w:szCs w:val="24"/>
        </w:rPr>
      </w:pPr>
      <w:r>
        <w:rPr>
          <w:rFonts w:ascii="Times New Roman" w:hAnsi="Times New Roman"/>
          <w:noProof/>
          <w:sz w:val="24"/>
        </w:rPr>
        <w:t>Par le présent rapport, la Commission se conforme à l’obligation d’établissement de rapport qui lui incombe en vertu de l’article 32, paragraphe 3, du règlement sur les nouveaux aliments et invite le Parlement européen et le Conseil à en prendre acte.</w:t>
      </w:r>
      <w:bookmarkEnd w:id="0"/>
    </w:p>
    <w:sectPr w:rsidR="000F5DCE" w:rsidRPr="00A67A8F" w:rsidSect="00A67A8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DB0F3" w14:textId="77777777" w:rsidR="00B72237" w:rsidRDefault="00B72237" w:rsidP="00237E99">
      <w:pPr>
        <w:spacing w:after="0" w:line="240" w:lineRule="auto"/>
      </w:pPr>
      <w:r>
        <w:separator/>
      </w:r>
    </w:p>
  </w:endnote>
  <w:endnote w:type="continuationSeparator" w:id="0">
    <w:p w14:paraId="051A4B64" w14:textId="77777777" w:rsidR="00B72237" w:rsidRDefault="00B72237" w:rsidP="00237E99">
      <w:pPr>
        <w:spacing w:after="0" w:line="240" w:lineRule="auto"/>
      </w:pPr>
      <w:r>
        <w:continuationSeparator/>
      </w:r>
    </w:p>
  </w:endnote>
  <w:endnote w:type="continuationNotice" w:id="1">
    <w:p w14:paraId="724BEE94" w14:textId="77777777" w:rsidR="00B72237" w:rsidRDefault="00B722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96BEF" w14:textId="4C913FA5" w:rsidR="00C758EF" w:rsidRPr="00C758EF" w:rsidRDefault="00C758EF" w:rsidP="00C758EF">
    <w:pPr>
      <w:pStyle w:val="FooterCoverPage"/>
      <w:rPr>
        <w:rFonts w:ascii="Arial" w:hAnsi="Arial" w:cs="Arial"/>
        <w:b/>
        <w:sz w:val="48"/>
      </w:rPr>
    </w:pPr>
    <w:r w:rsidRPr="00C758EF">
      <w:rPr>
        <w:rFonts w:ascii="Arial" w:hAnsi="Arial" w:cs="Arial"/>
        <w:b/>
        <w:sz w:val="48"/>
      </w:rPr>
      <w:t>FR</w:t>
    </w:r>
    <w:r w:rsidRPr="00C758EF">
      <w:rPr>
        <w:rFonts w:ascii="Arial" w:hAnsi="Arial" w:cs="Arial"/>
        <w:b/>
        <w:sz w:val="48"/>
      </w:rPr>
      <w:tab/>
    </w:r>
    <w:r w:rsidRPr="00C758EF">
      <w:rPr>
        <w:rFonts w:ascii="Arial" w:hAnsi="Arial" w:cs="Arial"/>
        <w:b/>
        <w:sz w:val="48"/>
      </w:rPr>
      <w:tab/>
    </w:r>
    <w:r w:rsidRPr="00C758EF">
      <w:tab/>
    </w:r>
    <w:r w:rsidRPr="00C758E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92E6F" w14:textId="160E0486" w:rsidR="00C758EF" w:rsidRPr="00C758EF" w:rsidRDefault="00C758EF" w:rsidP="00C758EF">
    <w:pPr>
      <w:pStyle w:val="FooterCoverPage"/>
      <w:rPr>
        <w:rFonts w:ascii="Arial" w:hAnsi="Arial" w:cs="Arial"/>
        <w:b/>
        <w:sz w:val="48"/>
      </w:rPr>
    </w:pPr>
    <w:r w:rsidRPr="00C758EF">
      <w:rPr>
        <w:rFonts w:ascii="Arial" w:hAnsi="Arial" w:cs="Arial"/>
        <w:b/>
        <w:sz w:val="48"/>
      </w:rPr>
      <w:t>FR</w:t>
    </w:r>
    <w:r w:rsidRPr="00C758EF">
      <w:rPr>
        <w:rFonts w:ascii="Arial" w:hAnsi="Arial" w:cs="Arial"/>
        <w:b/>
        <w:sz w:val="48"/>
      </w:rPr>
      <w:tab/>
    </w:r>
    <w:r w:rsidRPr="00C758EF">
      <w:rPr>
        <w:rFonts w:ascii="Arial" w:hAnsi="Arial" w:cs="Arial"/>
        <w:b/>
        <w:sz w:val="48"/>
      </w:rPr>
      <w:tab/>
    </w:r>
    <w:r w:rsidRPr="00C758EF">
      <w:tab/>
    </w:r>
    <w:r w:rsidRPr="00C758E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99D18" w14:textId="77777777" w:rsidR="00C758EF" w:rsidRPr="00C758EF" w:rsidRDefault="00C758EF" w:rsidP="00C758E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4DF1C" w14:textId="77777777" w:rsidR="00364AF2" w:rsidRPr="00A67A8F" w:rsidRDefault="00364AF2" w:rsidP="00A67A8F">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9307838"/>
      <w:docPartObj>
        <w:docPartGallery w:val="Page Numbers (Bottom of Page)"/>
        <w:docPartUnique/>
      </w:docPartObj>
    </w:sdtPr>
    <w:sdtEndPr>
      <w:rPr>
        <w:noProof/>
      </w:rPr>
    </w:sdtEndPr>
    <w:sdtContent>
      <w:p w14:paraId="78B757F2" w14:textId="76812E63" w:rsidR="000722B8" w:rsidRDefault="000722B8">
        <w:pPr>
          <w:pStyle w:val="Footer"/>
          <w:jc w:val="center"/>
        </w:pPr>
        <w:r>
          <w:fldChar w:fldCharType="begin"/>
        </w:r>
        <w:r>
          <w:instrText xml:space="preserve"> PAGE   \* MERGEFORMAT </w:instrText>
        </w:r>
        <w:r>
          <w:fldChar w:fldCharType="separate"/>
        </w:r>
        <w:r w:rsidR="00C758EF">
          <w:rPr>
            <w:noProof/>
          </w:rPr>
          <w:t>2</w:t>
        </w:r>
        <w:r>
          <w:fldChar w:fldCharType="end"/>
        </w:r>
      </w:p>
    </w:sdtContent>
  </w:sdt>
  <w:p w14:paraId="43A2FF1D" w14:textId="5CC04FA7" w:rsidR="00364AF2" w:rsidRPr="000722B8" w:rsidRDefault="00364AF2" w:rsidP="000722B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801A6" w14:textId="77777777" w:rsidR="00364AF2" w:rsidRDefault="00364A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B1941" w14:textId="77777777" w:rsidR="00B72237" w:rsidRDefault="00B72237" w:rsidP="00237E99">
      <w:pPr>
        <w:spacing w:after="0" w:line="240" w:lineRule="auto"/>
      </w:pPr>
      <w:r>
        <w:separator/>
      </w:r>
    </w:p>
  </w:footnote>
  <w:footnote w:type="continuationSeparator" w:id="0">
    <w:p w14:paraId="00399E2C" w14:textId="77777777" w:rsidR="00B72237" w:rsidRDefault="00B72237" w:rsidP="00237E99">
      <w:pPr>
        <w:spacing w:after="0" w:line="240" w:lineRule="auto"/>
      </w:pPr>
      <w:r>
        <w:continuationSeparator/>
      </w:r>
    </w:p>
  </w:footnote>
  <w:footnote w:type="continuationNotice" w:id="1">
    <w:p w14:paraId="66A4735C" w14:textId="77777777" w:rsidR="00B72237" w:rsidRDefault="00B72237">
      <w:pPr>
        <w:spacing w:after="0" w:line="240" w:lineRule="auto"/>
      </w:pPr>
    </w:p>
  </w:footnote>
  <w:footnote w:id="2">
    <w:p w14:paraId="23D962EA" w14:textId="77777777" w:rsidR="00A67A8F" w:rsidRPr="009B05C4" w:rsidRDefault="00A67A8F" w:rsidP="00A67A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Règlement (UE) 2015/2283 du Parlement européen et du Conseil du 25 novembre 2015 relatif aux nouveaux aliments, modifiant le règlement (UE) nº 1169/2011 du Parlement européen et du Conseil et abrogeant le règlement (CE) nº 258/97 du Parlement européen et du Conseil et le règlement (CE) nº 1852/2001 de la Commission. JO L 327 du 11.12.2015, p. 1. </w:t>
      </w:r>
    </w:p>
  </w:footnote>
  <w:footnote w:id="3">
    <w:p w14:paraId="65B477E2" w14:textId="77777777" w:rsidR="00A67A8F" w:rsidRPr="00A67A8F" w:rsidRDefault="00A67A8F" w:rsidP="00A67A8F">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Recommandation de la Commission du 18 octobre 2011 relative à la définition des nanomatériaux (2011/696/UE). JO L 275 du 20.10.2011, p. 38.</w:t>
      </w:r>
    </w:p>
  </w:footnote>
  <w:footnote w:id="4">
    <w:p w14:paraId="576800E0" w14:textId="77777777" w:rsidR="00A67A8F" w:rsidRPr="00A67A8F" w:rsidRDefault="00A67A8F" w:rsidP="00A67A8F">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Recommandation de la Commission du 10 juin 2022 relative à la définition des nanomatériaux (C/2022/3689). JO C 229 du 14.6.2022, p. 1. </w:t>
      </w:r>
    </w:p>
  </w:footnote>
  <w:footnote w:id="5">
    <w:p w14:paraId="4BF6812B" w14:textId="77777777" w:rsidR="00A67A8F" w:rsidRPr="00A67A8F" w:rsidRDefault="00A67A8F" w:rsidP="00A67A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Rapports de la série «Science for Policy» (La science au service des politiques) du Centre commun de recherche (JRC) de la Commission:</w:t>
      </w:r>
    </w:p>
    <w:p w14:paraId="4AC628C2" w14:textId="77777777" w:rsidR="00A67A8F" w:rsidRPr="00B812C1" w:rsidRDefault="00A67A8F" w:rsidP="00A67A8F">
      <w:pPr>
        <w:pStyle w:val="FootnoteText"/>
        <w:jc w:val="both"/>
        <w:rPr>
          <w:rFonts w:ascii="Times New Roman" w:hAnsi="Times New Roman" w:cs="Times New Roman"/>
          <w:lang w:val="en-US"/>
        </w:rPr>
      </w:pPr>
      <w:r w:rsidRPr="00B812C1">
        <w:rPr>
          <w:rFonts w:ascii="Times New Roman" w:hAnsi="Times New Roman"/>
          <w:lang w:val="en-US"/>
        </w:rPr>
        <w:t>- «Towards a review of the EC Recommendation for a definition of the term “nanomaterial’ - Part 1: Compilation of information concerning the experience with the definition». EUR 26567 EN; doi:10.2788/36237 (2014).</w:t>
      </w:r>
    </w:p>
    <w:p w14:paraId="2F168806" w14:textId="77777777" w:rsidR="00A67A8F" w:rsidRPr="00B812C1" w:rsidRDefault="00A67A8F" w:rsidP="00A67A8F">
      <w:pPr>
        <w:pStyle w:val="FootnoteText"/>
        <w:jc w:val="both"/>
        <w:rPr>
          <w:rFonts w:ascii="Times New Roman" w:hAnsi="Times New Roman" w:cs="Times New Roman"/>
          <w:lang w:val="en-US"/>
        </w:rPr>
      </w:pPr>
      <w:r w:rsidRPr="00B812C1">
        <w:rPr>
          <w:rFonts w:ascii="Times New Roman" w:hAnsi="Times New Roman"/>
          <w:lang w:val="en-US"/>
        </w:rPr>
        <w:t>- «Towards a review of the EC Recommendation for a definition of the term “nanomaterial - Part 2: Assessment of collected information concerning the experience with the definition». EUR 26744 EN; doi: 10.2787/97286 (2014).</w:t>
      </w:r>
    </w:p>
    <w:p w14:paraId="0E6D1717" w14:textId="77777777" w:rsidR="00A67A8F" w:rsidRPr="00B812C1" w:rsidRDefault="00A67A8F" w:rsidP="00A67A8F">
      <w:pPr>
        <w:pStyle w:val="FootnoteText"/>
        <w:spacing w:after="120"/>
        <w:jc w:val="both"/>
        <w:rPr>
          <w:rFonts w:ascii="Times New Roman" w:hAnsi="Times New Roman" w:cs="Times New Roman"/>
          <w:lang w:val="en-US"/>
        </w:rPr>
      </w:pPr>
      <w:r w:rsidRPr="00B812C1">
        <w:rPr>
          <w:rFonts w:ascii="Times New Roman" w:hAnsi="Times New Roman"/>
          <w:lang w:val="en-US"/>
        </w:rPr>
        <w:t xml:space="preserve">- «Towards a review of the EC Recommendation for a definition of the term “nanomaterial - Part 3: Scientific-technical evaluation of options to clarify the definition and to facilitate its implementation». EUR 27240 EN; doi:10.2788/678452 (2015). </w:t>
      </w:r>
    </w:p>
    <w:p w14:paraId="0A1B76B8" w14:textId="77777777" w:rsidR="00A67A8F" w:rsidRPr="00B812C1" w:rsidRDefault="00A67A8F" w:rsidP="00A67A8F">
      <w:pPr>
        <w:pStyle w:val="FootnoteText"/>
        <w:jc w:val="both"/>
        <w:rPr>
          <w:rFonts w:ascii="Times New Roman" w:hAnsi="Times New Roman" w:cs="Times New Roman"/>
          <w:lang w:val="en-US"/>
        </w:rPr>
      </w:pPr>
      <w:r w:rsidRPr="00B812C1">
        <w:rPr>
          <w:rFonts w:ascii="Times New Roman" w:hAnsi="Times New Roman"/>
          <w:lang w:val="en-US"/>
        </w:rPr>
        <w:t xml:space="preserve">Rapports du JRC [en anglais uniquement]: </w:t>
      </w:r>
    </w:p>
    <w:p w14:paraId="5AA62E82" w14:textId="77777777" w:rsidR="00A67A8F" w:rsidRPr="00A67A8F" w:rsidRDefault="00A67A8F" w:rsidP="00A67A8F">
      <w:pPr>
        <w:pStyle w:val="FootnoteText"/>
        <w:jc w:val="both"/>
        <w:rPr>
          <w:rFonts w:ascii="Times New Roman" w:hAnsi="Times New Roman" w:cs="Times New Roman"/>
        </w:rPr>
      </w:pPr>
      <w:r w:rsidRPr="00B812C1">
        <w:rPr>
          <w:rFonts w:ascii="Times New Roman" w:hAnsi="Times New Roman"/>
          <w:lang w:val="en-US"/>
        </w:rPr>
        <w:t xml:space="preserve">- «An overview of concepts and terms used in the European Commission’s definition of nanomaterial». </w:t>
      </w:r>
      <w:r>
        <w:rPr>
          <w:rFonts w:ascii="Times New Roman" w:hAnsi="Times New Roman"/>
        </w:rPr>
        <w:t>EUR 29647 EN; doi:10.2760/459136 (2019).</w:t>
      </w:r>
    </w:p>
    <w:p w14:paraId="34531DE0" w14:textId="77777777" w:rsidR="00A67A8F" w:rsidRPr="00A67A8F" w:rsidRDefault="00A67A8F" w:rsidP="00A67A8F">
      <w:pPr>
        <w:pStyle w:val="FootnoteText"/>
        <w:spacing w:after="120"/>
        <w:jc w:val="both"/>
        <w:rPr>
          <w:rFonts w:ascii="Times New Roman" w:hAnsi="Times New Roman" w:cs="Times New Roman"/>
        </w:rPr>
      </w:pPr>
      <w:r>
        <w:rPr>
          <w:rFonts w:ascii="Times New Roman" w:hAnsi="Times New Roman"/>
        </w:rPr>
        <w:t xml:space="preserve">- «Identification of nanomaterials through measurements». EUR 29942 EN; doi:10.2760/053982 (2019). </w:t>
      </w:r>
    </w:p>
  </w:footnote>
  <w:footnote w:id="6">
    <w:p w14:paraId="73ADDC62" w14:textId="77777777" w:rsidR="00A67A8F" w:rsidRPr="00A67A8F" w:rsidRDefault="00A67A8F" w:rsidP="00A67A8F">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La consultation ciblée des parties prenantes a eu lieu du 6 mai au 30 juin 2021. </w:t>
      </w:r>
    </w:p>
  </w:footnote>
  <w:footnote w:id="7">
    <w:p w14:paraId="6FEC9CC6" w14:textId="364404C4" w:rsidR="00A67A8F" w:rsidRPr="00A67A8F" w:rsidRDefault="00A67A8F" w:rsidP="009B05C4">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Les résultats du réexamen et de la consultation des parties prenantes sont expliqués dans le document de travail des services de la Commission [SWD(2022) 150] accompagnant la recommandation de la Commission.</w:t>
      </w:r>
    </w:p>
  </w:footnote>
  <w:footnote w:id="8">
    <w:p w14:paraId="63475DD3" w14:textId="19C05F23" w:rsidR="00A67A8F" w:rsidRPr="00A67A8F" w:rsidRDefault="00A67A8F" w:rsidP="00A67A8F">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t> </w:t>
      </w:r>
      <w:hyperlink r:id="rId1" w:history="1">
        <w:r>
          <w:rPr>
            <w:rStyle w:val="Hyperlink"/>
            <w:rFonts w:ascii="Times New Roman" w:hAnsi="Times New Roman"/>
          </w:rPr>
          <w:t>https://ec.europa.eu/transparency/expert-groups-register/screen/expert-groups/consult?lang=en&amp;do=groupDetail.groupDetail&amp;groupID=3560&amp;Lang=EN</w:t>
        </w:r>
      </w:hyperlink>
      <w:r>
        <w:rPr>
          <w:rFonts w:ascii="Times New Roman" w:hAnsi="Times New Roman"/>
        </w:rPr>
        <w:t xml:space="preserve"> </w:t>
      </w:r>
    </w:p>
  </w:footnote>
  <w:footnote w:id="9">
    <w:p w14:paraId="43E75845" w14:textId="77777777" w:rsidR="00A67A8F" w:rsidRPr="00A67A8F" w:rsidRDefault="00A67A8F" w:rsidP="00A67A8F">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https://www.efsa.europa.eu/en/efsajournal/pub/6768</w:t>
        </w:r>
      </w:hyperlink>
      <w:r>
        <w:rPr>
          <w:rFonts w:ascii="Times New Roman" w:hAnsi="Times New Roman"/>
        </w:rPr>
        <w:t xml:space="preserve"> </w:t>
      </w:r>
    </w:p>
  </w:footnote>
  <w:footnote w:id="10">
    <w:p w14:paraId="1D322922" w14:textId="77777777" w:rsidR="00A67A8F" w:rsidRPr="009B05C4" w:rsidRDefault="00A67A8F" w:rsidP="00A67A8F">
      <w:pPr>
        <w:pStyle w:val="FootnoteText"/>
        <w:spacing w:after="1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https://ec.europa.eu/info/law/better-regulation/have-your-say/initiatives/14049-Nanomateriau-manufacture-dans-les-denrees-alimentaires-definition-revisee_fr</w:t>
        </w:r>
      </w:hyperlink>
      <w:r>
        <w:rPr>
          <w:rFonts w:ascii="Times New Roman" w:hAnsi="Times New Roman"/>
        </w:rPr>
        <w:t xml:space="preserve"> </w:t>
      </w:r>
    </w:p>
  </w:footnote>
  <w:footnote w:id="11">
    <w:p w14:paraId="2860BD91" w14:textId="77777777" w:rsidR="00A67A8F" w:rsidRPr="00B812C1" w:rsidRDefault="00A67A8F" w:rsidP="00A67A8F">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rPr>
        <w:t xml:space="preserve">Règlement délégué (UE).../... de la Commission du 14.3.2024 modifiant le règlement (UE) 2015/2283 du Parlement européen et du Conseil relatif aux nouveaux aliments en ce qui concerne la définition d’un «nanomatériau manufacturé». </w:t>
      </w:r>
      <w:r w:rsidRPr="00B812C1">
        <w:rPr>
          <w:rFonts w:ascii="Times New Roman" w:hAnsi="Times New Roman"/>
          <w:lang w:val="en-US"/>
        </w:rPr>
        <w:t xml:space="preserve">C(2024) 1612 final. </w:t>
      </w:r>
    </w:p>
    <w:p w14:paraId="225530B4" w14:textId="09A12C58" w:rsidR="00A67A8F" w:rsidRPr="00B812C1" w:rsidRDefault="00C758EF" w:rsidP="009B05C4">
      <w:pPr>
        <w:pStyle w:val="FootnoteText"/>
        <w:spacing w:after="120"/>
        <w:rPr>
          <w:rFonts w:ascii="Times New Roman" w:hAnsi="Times New Roman" w:cs="Times New Roman"/>
          <w:lang w:val="en-US"/>
        </w:rPr>
      </w:pPr>
      <w:hyperlink r:id="rId4" w:history="1">
        <w:r w:rsidR="00936556" w:rsidRPr="00B812C1">
          <w:rPr>
            <w:rStyle w:val="Hyperlink"/>
            <w:rFonts w:ascii="Times New Roman" w:hAnsi="Times New Roman"/>
            <w:lang w:val="en-US"/>
          </w:rPr>
          <w:t>https://eur-lex.europa.eu/legal-content/FR/TXT/PDF/?uri=PI_COM:C(2024)1612</w:t>
        </w:r>
      </w:hyperlink>
      <w:r w:rsidR="00936556" w:rsidRPr="00B812C1">
        <w:rPr>
          <w:rFonts w:ascii="Times New Roman" w:hAnsi="Times New Roman"/>
          <w:lang w:val="en-US"/>
        </w:rPr>
        <w:t xml:space="preserve"> </w:t>
      </w:r>
    </w:p>
  </w:footnote>
  <w:footnote w:id="12">
    <w:p w14:paraId="393A38BE" w14:textId="77777777" w:rsidR="00A67A8F" w:rsidRPr="00B812C1" w:rsidRDefault="00A67A8F" w:rsidP="00A67A8F">
      <w:pPr>
        <w:pStyle w:val="FootnoteText"/>
        <w:jc w:val="both"/>
        <w:rPr>
          <w:rFonts w:ascii="Times New Roman" w:hAnsi="Times New Roman" w:cs="Times New Roman"/>
          <w:lang w:val="en-US"/>
        </w:rPr>
      </w:pPr>
      <w:r>
        <w:rPr>
          <w:rStyle w:val="FootnoteReference"/>
          <w:rFonts w:ascii="Times New Roman" w:hAnsi="Times New Roman" w:cs="Times New Roman"/>
        </w:rPr>
        <w:footnoteRef/>
      </w:r>
      <w:bookmarkStart w:id="3" w:name="_Hlk210041832"/>
      <w:r>
        <w:rPr>
          <w:rFonts w:ascii="Times New Roman" w:hAnsi="Times New Roman"/>
        </w:rPr>
        <w:t xml:space="preserve"> Objection à un acte délégué: nouveaux aliments - la définition d’un «nanomatériau manufacturé». Résolution du Parlement européen du 24 avril 2024 sur le règlement délégué de la Commission du 14 mars 2024 modifiant le règlement (UE) 2015/2283 du Parlement européen et du Conseil relatif aux nouveaux aliments en ce qui concerne la définition d’un «nanomatériau manufacturé».  </w:t>
      </w:r>
      <w:r w:rsidRPr="00B812C1">
        <w:rPr>
          <w:rFonts w:ascii="Times New Roman" w:hAnsi="Times New Roman"/>
          <w:lang w:val="en-US"/>
        </w:rPr>
        <w:t xml:space="preserve">C(2024)01612 – 2024/2691(DEA). </w:t>
      </w:r>
    </w:p>
    <w:p w14:paraId="099F9237" w14:textId="77777777" w:rsidR="00A67A8F" w:rsidRPr="00B812C1" w:rsidRDefault="00C758EF" w:rsidP="00A67A8F">
      <w:pPr>
        <w:pStyle w:val="FootnoteText"/>
        <w:spacing w:after="120"/>
        <w:rPr>
          <w:rFonts w:ascii="Times New Roman" w:hAnsi="Times New Roman" w:cs="Times New Roman"/>
          <w:lang w:val="en-US"/>
        </w:rPr>
      </w:pPr>
      <w:hyperlink r:id="rId5" w:history="1">
        <w:r w:rsidR="00A67A8F" w:rsidRPr="00B812C1">
          <w:rPr>
            <w:rStyle w:val="Hyperlink"/>
            <w:rFonts w:ascii="Times New Roman" w:hAnsi="Times New Roman"/>
            <w:lang w:val="en-US"/>
          </w:rPr>
          <w:t>https://www.europarl.europa.eu/doceo/document/TA-9-2024-0316_FR.pdf</w:t>
        </w:r>
      </w:hyperlink>
      <w:r w:rsidR="00A67A8F" w:rsidRPr="00B812C1">
        <w:rPr>
          <w:rFonts w:ascii="Times New Roman" w:hAnsi="Times New Roman"/>
          <w:lang w:val="en-US"/>
        </w:rPr>
        <w:t xml:space="preserve"> </w:t>
      </w:r>
      <w:bookmarkEnd w:id="3"/>
    </w:p>
  </w:footnote>
  <w:footnote w:id="13">
    <w:p w14:paraId="076C3495" w14:textId="707FC730" w:rsidR="003F4E91" w:rsidRPr="003F4E91" w:rsidRDefault="003F4E91" w:rsidP="003F4E91">
      <w:pPr>
        <w:pStyle w:val="FootnoteText"/>
        <w:jc w:val="both"/>
        <w:rPr>
          <w:rFonts w:ascii="Times New Roman" w:hAnsi="Times New Roman" w:cs="Times New Roman"/>
        </w:rPr>
      </w:pPr>
      <w:r>
        <w:rPr>
          <w:rFonts w:ascii="Times New Roman" w:hAnsi="Times New Roman" w:cs="Times New Roman"/>
          <w:vertAlign w:val="superscript"/>
          <w:lang w:val="en-IE"/>
        </w:rPr>
        <w:footnoteRef/>
      </w:r>
      <w:r>
        <w:rPr>
          <w:rFonts w:ascii="Times New Roman" w:hAnsi="Times New Roman"/>
        </w:rPr>
        <w:t xml:space="preserve">Document SP(2024)399. Suite donnée à la résolution non législative du Parlement européen sur le règlement délégué de la Commission du 14 mars 2024 modifiant le règlement (UE) 2015/2283 du Parlement européen et du Conseil relatif aux nouveaux aliments en ce qui concerne la définition d’un «nanomatériau manufacturé». </w:t>
      </w:r>
    </w:p>
    <w:p w14:paraId="2B2F1227" w14:textId="1DEF0348" w:rsidR="003F4E91" w:rsidRPr="001216EB" w:rsidRDefault="00C758EF" w:rsidP="003F4E91">
      <w:pPr>
        <w:pStyle w:val="FootnoteText"/>
        <w:spacing w:after="120"/>
        <w:rPr>
          <w:rStyle w:val="Hyperlink"/>
          <w:rFonts w:ascii="Times New Roman" w:hAnsi="Times New Roman" w:cs="Times New Roman"/>
        </w:rPr>
      </w:pPr>
      <w:hyperlink r:id="rId6" w:history="1">
        <w:r w:rsidR="003F4E91">
          <w:rPr>
            <w:rStyle w:val="Hyperlink"/>
            <w:rFonts w:ascii="Times New Roman" w:hAnsi="Times New Roman"/>
          </w:rPr>
          <w:t>https://oeil.secure.europarl.europa.eu/oeil/fr/procedure-file?reference=2024/2691(DEA)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6C687" w14:textId="77777777" w:rsidR="00C758EF" w:rsidRPr="00C758EF" w:rsidRDefault="00C758EF" w:rsidP="00C758E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3B587" w14:textId="77777777" w:rsidR="00C758EF" w:rsidRPr="00C758EF" w:rsidRDefault="00C758EF" w:rsidP="00C758E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80CE1" w14:textId="77777777" w:rsidR="00C758EF" w:rsidRPr="00C758EF" w:rsidRDefault="00C758EF" w:rsidP="00C758E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28E7F" w14:textId="77777777" w:rsidR="00364AF2" w:rsidRDefault="00364A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38527" w14:textId="77777777" w:rsidR="00364AF2" w:rsidRDefault="00364AF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14455" w14:textId="77777777" w:rsidR="00364AF2" w:rsidRDefault="00364A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080596"/>
    <w:multiLevelType w:val="hybridMultilevel"/>
    <w:tmpl w:val="E7042C62"/>
    <w:lvl w:ilvl="0" w:tplc="F78650B8">
      <w:start w:val="1"/>
      <w:numFmt w:val="bullet"/>
      <w:lvlText w:val=""/>
      <w:lvlJc w:val="left"/>
      <w:pPr>
        <w:ind w:left="717" w:hanging="360"/>
      </w:pPr>
      <w:rPr>
        <w:rFonts w:ascii="Symbol" w:hAnsi="Symbol" w:hint="default"/>
      </w:rPr>
    </w:lvl>
    <w:lvl w:ilvl="1" w:tplc="F370A738" w:tentative="1">
      <w:start w:val="1"/>
      <w:numFmt w:val="bullet"/>
      <w:lvlText w:val="o"/>
      <w:lvlJc w:val="left"/>
      <w:pPr>
        <w:ind w:left="1437" w:hanging="360"/>
      </w:pPr>
      <w:rPr>
        <w:rFonts w:ascii="Courier New" w:hAnsi="Courier New" w:cs="Courier New" w:hint="default"/>
      </w:rPr>
    </w:lvl>
    <w:lvl w:ilvl="2" w:tplc="979A71F6" w:tentative="1">
      <w:start w:val="1"/>
      <w:numFmt w:val="bullet"/>
      <w:lvlText w:val=""/>
      <w:lvlJc w:val="left"/>
      <w:pPr>
        <w:ind w:left="2157" w:hanging="360"/>
      </w:pPr>
      <w:rPr>
        <w:rFonts w:ascii="Wingdings" w:hAnsi="Wingdings" w:hint="default"/>
      </w:rPr>
    </w:lvl>
    <w:lvl w:ilvl="3" w:tplc="856A9346" w:tentative="1">
      <w:start w:val="1"/>
      <w:numFmt w:val="bullet"/>
      <w:lvlText w:val=""/>
      <w:lvlJc w:val="left"/>
      <w:pPr>
        <w:ind w:left="2877" w:hanging="360"/>
      </w:pPr>
      <w:rPr>
        <w:rFonts w:ascii="Symbol" w:hAnsi="Symbol" w:hint="default"/>
      </w:rPr>
    </w:lvl>
    <w:lvl w:ilvl="4" w:tplc="5AFA9CAE" w:tentative="1">
      <w:start w:val="1"/>
      <w:numFmt w:val="bullet"/>
      <w:lvlText w:val="o"/>
      <w:lvlJc w:val="left"/>
      <w:pPr>
        <w:ind w:left="3597" w:hanging="360"/>
      </w:pPr>
      <w:rPr>
        <w:rFonts w:ascii="Courier New" w:hAnsi="Courier New" w:cs="Courier New" w:hint="default"/>
      </w:rPr>
    </w:lvl>
    <w:lvl w:ilvl="5" w:tplc="411EA1C0" w:tentative="1">
      <w:start w:val="1"/>
      <w:numFmt w:val="bullet"/>
      <w:lvlText w:val=""/>
      <w:lvlJc w:val="left"/>
      <w:pPr>
        <w:ind w:left="4317" w:hanging="360"/>
      </w:pPr>
      <w:rPr>
        <w:rFonts w:ascii="Wingdings" w:hAnsi="Wingdings" w:hint="default"/>
      </w:rPr>
    </w:lvl>
    <w:lvl w:ilvl="6" w:tplc="B1547A0E" w:tentative="1">
      <w:start w:val="1"/>
      <w:numFmt w:val="bullet"/>
      <w:lvlText w:val=""/>
      <w:lvlJc w:val="left"/>
      <w:pPr>
        <w:ind w:left="5037" w:hanging="360"/>
      </w:pPr>
      <w:rPr>
        <w:rFonts w:ascii="Symbol" w:hAnsi="Symbol" w:hint="default"/>
      </w:rPr>
    </w:lvl>
    <w:lvl w:ilvl="7" w:tplc="FF062DCE" w:tentative="1">
      <w:start w:val="1"/>
      <w:numFmt w:val="bullet"/>
      <w:lvlText w:val="o"/>
      <w:lvlJc w:val="left"/>
      <w:pPr>
        <w:ind w:left="5757" w:hanging="360"/>
      </w:pPr>
      <w:rPr>
        <w:rFonts w:ascii="Courier New" w:hAnsi="Courier New" w:cs="Courier New" w:hint="default"/>
      </w:rPr>
    </w:lvl>
    <w:lvl w:ilvl="8" w:tplc="B6906AB2" w:tentative="1">
      <w:start w:val="1"/>
      <w:numFmt w:val="bullet"/>
      <w:lvlText w:val=""/>
      <w:lvlJc w:val="left"/>
      <w:pPr>
        <w:ind w:left="6477" w:hanging="360"/>
      </w:pPr>
      <w:rPr>
        <w:rFonts w:ascii="Wingdings" w:hAnsi="Wingdings" w:hint="default"/>
      </w:rPr>
    </w:lvl>
  </w:abstractNum>
  <w:abstractNum w:abstractNumId="1" w15:restartNumberingAfterBreak="0">
    <w:nsid w:val="21572E5A"/>
    <w:multiLevelType w:val="hybridMultilevel"/>
    <w:tmpl w:val="79D098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5684083"/>
    <w:multiLevelType w:val="hybridMultilevel"/>
    <w:tmpl w:val="4BCC2700"/>
    <w:lvl w:ilvl="0" w:tplc="8674A4E8">
      <w:start w:val="1"/>
      <w:numFmt w:val="bullet"/>
      <w:lvlText w:val=""/>
      <w:lvlJc w:val="left"/>
      <w:pPr>
        <w:ind w:left="1146" w:hanging="360"/>
      </w:pPr>
      <w:rPr>
        <w:rFonts w:ascii="Symbol" w:hAnsi="Symbol" w:hint="default"/>
      </w:rPr>
    </w:lvl>
    <w:lvl w:ilvl="1" w:tplc="0A3C015C" w:tentative="1">
      <w:start w:val="1"/>
      <w:numFmt w:val="bullet"/>
      <w:lvlText w:val="o"/>
      <w:lvlJc w:val="left"/>
      <w:pPr>
        <w:ind w:left="1866" w:hanging="360"/>
      </w:pPr>
      <w:rPr>
        <w:rFonts w:ascii="Courier New" w:hAnsi="Courier New" w:cs="Courier New" w:hint="default"/>
      </w:rPr>
    </w:lvl>
    <w:lvl w:ilvl="2" w:tplc="6A70CAA6" w:tentative="1">
      <w:start w:val="1"/>
      <w:numFmt w:val="bullet"/>
      <w:lvlText w:val=""/>
      <w:lvlJc w:val="left"/>
      <w:pPr>
        <w:ind w:left="2586" w:hanging="360"/>
      </w:pPr>
      <w:rPr>
        <w:rFonts w:ascii="Wingdings" w:hAnsi="Wingdings" w:hint="default"/>
      </w:rPr>
    </w:lvl>
    <w:lvl w:ilvl="3" w:tplc="E7EAB5A4" w:tentative="1">
      <w:start w:val="1"/>
      <w:numFmt w:val="bullet"/>
      <w:lvlText w:val=""/>
      <w:lvlJc w:val="left"/>
      <w:pPr>
        <w:ind w:left="3306" w:hanging="360"/>
      </w:pPr>
      <w:rPr>
        <w:rFonts w:ascii="Symbol" w:hAnsi="Symbol" w:hint="default"/>
      </w:rPr>
    </w:lvl>
    <w:lvl w:ilvl="4" w:tplc="DDF2237E" w:tentative="1">
      <w:start w:val="1"/>
      <w:numFmt w:val="bullet"/>
      <w:lvlText w:val="o"/>
      <w:lvlJc w:val="left"/>
      <w:pPr>
        <w:ind w:left="4026" w:hanging="360"/>
      </w:pPr>
      <w:rPr>
        <w:rFonts w:ascii="Courier New" w:hAnsi="Courier New" w:cs="Courier New" w:hint="default"/>
      </w:rPr>
    </w:lvl>
    <w:lvl w:ilvl="5" w:tplc="E4B2FE36" w:tentative="1">
      <w:start w:val="1"/>
      <w:numFmt w:val="bullet"/>
      <w:lvlText w:val=""/>
      <w:lvlJc w:val="left"/>
      <w:pPr>
        <w:ind w:left="4746" w:hanging="360"/>
      </w:pPr>
      <w:rPr>
        <w:rFonts w:ascii="Wingdings" w:hAnsi="Wingdings" w:hint="default"/>
      </w:rPr>
    </w:lvl>
    <w:lvl w:ilvl="6" w:tplc="F77E5A6A" w:tentative="1">
      <w:start w:val="1"/>
      <w:numFmt w:val="bullet"/>
      <w:lvlText w:val=""/>
      <w:lvlJc w:val="left"/>
      <w:pPr>
        <w:ind w:left="5466" w:hanging="360"/>
      </w:pPr>
      <w:rPr>
        <w:rFonts w:ascii="Symbol" w:hAnsi="Symbol" w:hint="default"/>
      </w:rPr>
    </w:lvl>
    <w:lvl w:ilvl="7" w:tplc="E798684E" w:tentative="1">
      <w:start w:val="1"/>
      <w:numFmt w:val="bullet"/>
      <w:lvlText w:val="o"/>
      <w:lvlJc w:val="left"/>
      <w:pPr>
        <w:ind w:left="6186" w:hanging="360"/>
      </w:pPr>
      <w:rPr>
        <w:rFonts w:ascii="Courier New" w:hAnsi="Courier New" w:cs="Courier New" w:hint="default"/>
      </w:rPr>
    </w:lvl>
    <w:lvl w:ilvl="8" w:tplc="EB20B67C" w:tentative="1">
      <w:start w:val="1"/>
      <w:numFmt w:val="bullet"/>
      <w:lvlText w:val=""/>
      <w:lvlJc w:val="left"/>
      <w:pPr>
        <w:ind w:left="6906" w:hanging="360"/>
      </w:pPr>
      <w:rPr>
        <w:rFonts w:ascii="Wingdings" w:hAnsi="Wingdings" w:hint="default"/>
      </w:rPr>
    </w:lvl>
  </w:abstractNum>
  <w:abstractNum w:abstractNumId="3" w15:restartNumberingAfterBreak="0">
    <w:nsid w:val="29EB570A"/>
    <w:multiLevelType w:val="hybridMultilevel"/>
    <w:tmpl w:val="2918DCAA"/>
    <w:lvl w:ilvl="0" w:tplc="177AEA4C">
      <w:start w:val="5"/>
      <w:numFmt w:val="bullet"/>
      <w:lvlText w:val=""/>
      <w:lvlJc w:val="left"/>
      <w:pPr>
        <w:ind w:left="720" w:hanging="360"/>
      </w:pPr>
      <w:rPr>
        <w:rFonts w:ascii="Wingdings" w:eastAsiaTheme="minorHAnsi" w:hAnsi="Wingding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C9E64E2"/>
    <w:multiLevelType w:val="multilevel"/>
    <w:tmpl w:val="E4729308"/>
    <w:lvl w:ilvl="0">
      <w:start w:val="3"/>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31401E64"/>
    <w:multiLevelType w:val="multilevel"/>
    <w:tmpl w:val="271E09AC"/>
    <w:lvl w:ilvl="0">
      <w:start w:val="4"/>
      <w:numFmt w:val="decimal"/>
      <w:lvlText w:val="%1"/>
      <w:lvlJc w:val="left"/>
      <w:pPr>
        <w:ind w:left="480" w:hanging="480"/>
      </w:pPr>
      <w:rPr>
        <w:rFonts w:hint="default"/>
      </w:rPr>
    </w:lvl>
    <w:lvl w:ilvl="1">
      <w:start w:val="2"/>
      <w:numFmt w:val="decimal"/>
      <w:lvlText w:val="%1.%2"/>
      <w:lvlJc w:val="left"/>
      <w:pPr>
        <w:ind w:left="547" w:hanging="480"/>
      </w:pPr>
      <w:rPr>
        <w:rFonts w:hint="default"/>
      </w:rPr>
    </w:lvl>
    <w:lvl w:ilvl="2">
      <w:start w:val="1"/>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415" w:hanging="108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1909" w:hanging="1440"/>
      </w:pPr>
      <w:rPr>
        <w:rFonts w:hint="default"/>
      </w:rPr>
    </w:lvl>
    <w:lvl w:ilvl="8">
      <w:start w:val="1"/>
      <w:numFmt w:val="decimal"/>
      <w:lvlText w:val="%1.%2.%3.%4.%5.%6.%7.%8.%9"/>
      <w:lvlJc w:val="left"/>
      <w:pPr>
        <w:ind w:left="2336" w:hanging="1800"/>
      </w:pPr>
      <w:rPr>
        <w:rFonts w:hint="default"/>
      </w:rPr>
    </w:lvl>
  </w:abstractNum>
  <w:abstractNum w:abstractNumId="6" w15:restartNumberingAfterBreak="0">
    <w:nsid w:val="3181508F"/>
    <w:multiLevelType w:val="hybridMultilevel"/>
    <w:tmpl w:val="B1A46BE4"/>
    <w:lvl w:ilvl="0" w:tplc="6D2A73AE">
      <w:start w:val="1"/>
      <w:numFmt w:val="bullet"/>
      <w:pStyle w:val="bullet1"/>
      <w:lvlText w:val=""/>
      <w:lvlJc w:val="left"/>
      <w:pPr>
        <w:ind w:left="720" w:hanging="360"/>
      </w:pPr>
      <w:rPr>
        <w:rFonts w:ascii="Symbol" w:hAnsi="Symbol" w:hint="default"/>
        <w:b/>
        <w:i w:val="0"/>
        <w:color w:val="325BAA"/>
        <w:sz w:val="24"/>
      </w:rPr>
    </w:lvl>
    <w:lvl w:ilvl="1" w:tplc="D758FE2C">
      <w:start w:val="1"/>
      <w:numFmt w:val="bullet"/>
      <w:lvlText w:val="o"/>
      <w:lvlJc w:val="left"/>
      <w:pPr>
        <w:ind w:left="1440" w:hanging="360"/>
      </w:pPr>
      <w:rPr>
        <w:rFonts w:ascii="Courier New" w:hAnsi="Courier New" w:hint="default"/>
        <w:color w:val="44546A" w:themeColor="text2"/>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7AB5D85"/>
    <w:multiLevelType w:val="hybridMultilevel"/>
    <w:tmpl w:val="56067EFC"/>
    <w:lvl w:ilvl="0" w:tplc="15C4706C">
      <w:start w:val="4"/>
      <w:numFmt w:val="bullet"/>
      <w:lvlText w:val="-"/>
      <w:lvlJc w:val="left"/>
      <w:pPr>
        <w:ind w:left="927" w:hanging="360"/>
      </w:pPr>
      <w:rPr>
        <w:rFonts w:ascii="Times New Roman" w:eastAsiaTheme="minorHAnsi" w:hAnsi="Times New Roman" w:cs="Times New Roman" w:hint="default"/>
      </w:rPr>
    </w:lvl>
    <w:lvl w:ilvl="1" w:tplc="18090003">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8" w15:restartNumberingAfterBreak="0">
    <w:nsid w:val="3DB92A87"/>
    <w:multiLevelType w:val="multilevel"/>
    <w:tmpl w:val="E83AADB6"/>
    <w:styleLink w:val="Bullets"/>
    <w:lvl w:ilvl="0">
      <w:start w:val="1"/>
      <w:numFmt w:val="bullet"/>
      <w:pStyle w:val="Bullet10"/>
      <w:lvlText w:val=""/>
      <w:lvlJc w:val="left"/>
      <w:pPr>
        <w:tabs>
          <w:tab w:val="num" w:pos="1020"/>
        </w:tabs>
        <w:ind w:left="1380" w:hanging="340"/>
      </w:pPr>
      <w:rPr>
        <w:rFonts w:ascii="Wingdings" w:hAnsi="Wingdings" w:hint="default"/>
        <w:color w:val="002395"/>
        <w:sz w:val="24"/>
      </w:rPr>
    </w:lvl>
    <w:lvl w:ilvl="1">
      <w:start w:val="1"/>
      <w:numFmt w:val="bullet"/>
      <w:pStyle w:val="Bullet2"/>
      <w:lvlText w:val="-"/>
      <w:lvlJc w:val="left"/>
      <w:pPr>
        <w:tabs>
          <w:tab w:val="num" w:pos="1361"/>
        </w:tabs>
        <w:ind w:left="1721" w:hanging="341"/>
      </w:pPr>
      <w:rPr>
        <w:rFonts w:ascii="Arial" w:hAnsi="Arial" w:hint="default"/>
        <w:color w:val="auto"/>
        <w:sz w:val="24"/>
      </w:rPr>
    </w:lvl>
    <w:lvl w:ilvl="2">
      <w:start w:val="1"/>
      <w:numFmt w:val="bullet"/>
      <w:pStyle w:val="Bullet3"/>
      <w:lvlText w:val="◦"/>
      <w:lvlJc w:val="left"/>
      <w:pPr>
        <w:tabs>
          <w:tab w:val="num" w:pos="1701"/>
        </w:tabs>
        <w:ind w:left="2061" w:hanging="340"/>
      </w:pPr>
      <w:rPr>
        <w:rFonts w:ascii="Arial" w:hAnsi="Arial" w:hint="default"/>
        <w:color w:val="44546A" w:themeColor="text2"/>
        <w:sz w:val="28"/>
      </w:rPr>
    </w:lvl>
    <w:lvl w:ilvl="3">
      <w:start w:val="1"/>
      <w:numFmt w:val="decimal"/>
      <w:lvlText w:val=""/>
      <w:lvlJc w:val="left"/>
      <w:pPr>
        <w:tabs>
          <w:tab w:val="num" w:pos="1701"/>
        </w:tabs>
        <w:ind w:left="2061" w:firstLine="0"/>
      </w:pPr>
    </w:lvl>
    <w:lvl w:ilvl="4">
      <w:start w:val="1"/>
      <w:numFmt w:val="decimal"/>
      <w:lvlText w:val=""/>
      <w:lvlJc w:val="left"/>
      <w:pPr>
        <w:tabs>
          <w:tab w:val="num" w:pos="1701"/>
        </w:tabs>
        <w:ind w:left="2061" w:firstLine="0"/>
      </w:pPr>
    </w:lvl>
    <w:lvl w:ilvl="5">
      <w:start w:val="1"/>
      <w:numFmt w:val="decimal"/>
      <w:lvlText w:val=""/>
      <w:lvlJc w:val="left"/>
      <w:pPr>
        <w:tabs>
          <w:tab w:val="num" w:pos="1701"/>
        </w:tabs>
        <w:ind w:left="2061" w:firstLine="0"/>
      </w:pPr>
    </w:lvl>
    <w:lvl w:ilvl="6">
      <w:start w:val="1"/>
      <w:numFmt w:val="decimal"/>
      <w:lvlText w:val=""/>
      <w:lvlJc w:val="left"/>
      <w:pPr>
        <w:tabs>
          <w:tab w:val="num" w:pos="1701"/>
        </w:tabs>
        <w:ind w:left="2061" w:firstLine="0"/>
      </w:pPr>
    </w:lvl>
    <w:lvl w:ilvl="7">
      <w:start w:val="1"/>
      <w:numFmt w:val="decimal"/>
      <w:lvlText w:val=""/>
      <w:lvlJc w:val="left"/>
      <w:pPr>
        <w:tabs>
          <w:tab w:val="num" w:pos="1701"/>
        </w:tabs>
        <w:ind w:left="2061" w:firstLine="0"/>
      </w:pPr>
    </w:lvl>
    <w:lvl w:ilvl="8">
      <w:start w:val="1"/>
      <w:numFmt w:val="decimal"/>
      <w:lvlText w:val=""/>
      <w:lvlJc w:val="left"/>
      <w:pPr>
        <w:tabs>
          <w:tab w:val="num" w:pos="1701"/>
        </w:tabs>
        <w:ind w:left="2061" w:firstLine="0"/>
      </w:pPr>
    </w:lvl>
  </w:abstractNum>
  <w:abstractNum w:abstractNumId="9" w15:restartNumberingAfterBreak="0">
    <w:nsid w:val="48FD631D"/>
    <w:multiLevelType w:val="hybridMultilevel"/>
    <w:tmpl w:val="562EAE2A"/>
    <w:lvl w:ilvl="0" w:tplc="A9A6CB26">
      <w:start w:val="1"/>
      <w:numFmt w:val="bullet"/>
      <w:lvlText w:val=""/>
      <w:lvlJc w:val="left"/>
      <w:pPr>
        <w:ind w:left="720" w:hanging="360"/>
      </w:pPr>
      <w:rPr>
        <w:rFonts w:ascii="Symbol" w:hAnsi="Symbol" w:hint="default"/>
      </w:rPr>
    </w:lvl>
    <w:lvl w:ilvl="1" w:tplc="00A4DBB4" w:tentative="1">
      <w:start w:val="1"/>
      <w:numFmt w:val="bullet"/>
      <w:lvlText w:val="o"/>
      <w:lvlJc w:val="left"/>
      <w:pPr>
        <w:ind w:left="1440" w:hanging="360"/>
      </w:pPr>
      <w:rPr>
        <w:rFonts w:ascii="Courier New" w:hAnsi="Courier New" w:cs="Courier New" w:hint="default"/>
      </w:rPr>
    </w:lvl>
    <w:lvl w:ilvl="2" w:tplc="2BD292FC" w:tentative="1">
      <w:start w:val="1"/>
      <w:numFmt w:val="bullet"/>
      <w:lvlText w:val=""/>
      <w:lvlJc w:val="left"/>
      <w:pPr>
        <w:ind w:left="2160" w:hanging="360"/>
      </w:pPr>
      <w:rPr>
        <w:rFonts w:ascii="Wingdings" w:hAnsi="Wingdings" w:hint="default"/>
      </w:rPr>
    </w:lvl>
    <w:lvl w:ilvl="3" w:tplc="657CA22C" w:tentative="1">
      <w:start w:val="1"/>
      <w:numFmt w:val="bullet"/>
      <w:lvlText w:val=""/>
      <w:lvlJc w:val="left"/>
      <w:pPr>
        <w:ind w:left="2880" w:hanging="360"/>
      </w:pPr>
      <w:rPr>
        <w:rFonts w:ascii="Symbol" w:hAnsi="Symbol" w:hint="default"/>
      </w:rPr>
    </w:lvl>
    <w:lvl w:ilvl="4" w:tplc="F4447C56" w:tentative="1">
      <w:start w:val="1"/>
      <w:numFmt w:val="bullet"/>
      <w:lvlText w:val="o"/>
      <w:lvlJc w:val="left"/>
      <w:pPr>
        <w:ind w:left="3600" w:hanging="360"/>
      </w:pPr>
      <w:rPr>
        <w:rFonts w:ascii="Courier New" w:hAnsi="Courier New" w:cs="Courier New" w:hint="default"/>
      </w:rPr>
    </w:lvl>
    <w:lvl w:ilvl="5" w:tplc="4BFA0540" w:tentative="1">
      <w:start w:val="1"/>
      <w:numFmt w:val="bullet"/>
      <w:lvlText w:val=""/>
      <w:lvlJc w:val="left"/>
      <w:pPr>
        <w:ind w:left="4320" w:hanging="360"/>
      </w:pPr>
      <w:rPr>
        <w:rFonts w:ascii="Wingdings" w:hAnsi="Wingdings" w:hint="default"/>
      </w:rPr>
    </w:lvl>
    <w:lvl w:ilvl="6" w:tplc="B13CEB3C" w:tentative="1">
      <w:start w:val="1"/>
      <w:numFmt w:val="bullet"/>
      <w:lvlText w:val=""/>
      <w:lvlJc w:val="left"/>
      <w:pPr>
        <w:ind w:left="5040" w:hanging="360"/>
      </w:pPr>
      <w:rPr>
        <w:rFonts w:ascii="Symbol" w:hAnsi="Symbol" w:hint="default"/>
      </w:rPr>
    </w:lvl>
    <w:lvl w:ilvl="7" w:tplc="053630AA" w:tentative="1">
      <w:start w:val="1"/>
      <w:numFmt w:val="bullet"/>
      <w:lvlText w:val="o"/>
      <w:lvlJc w:val="left"/>
      <w:pPr>
        <w:ind w:left="5760" w:hanging="360"/>
      </w:pPr>
      <w:rPr>
        <w:rFonts w:ascii="Courier New" w:hAnsi="Courier New" w:cs="Courier New" w:hint="default"/>
      </w:rPr>
    </w:lvl>
    <w:lvl w:ilvl="8" w:tplc="5ED0DAEE" w:tentative="1">
      <w:start w:val="1"/>
      <w:numFmt w:val="bullet"/>
      <w:lvlText w:val=""/>
      <w:lvlJc w:val="left"/>
      <w:pPr>
        <w:ind w:left="6480" w:hanging="360"/>
      </w:pPr>
      <w:rPr>
        <w:rFonts w:ascii="Wingdings" w:hAnsi="Wingdings" w:hint="default"/>
      </w:rPr>
    </w:lvl>
  </w:abstractNum>
  <w:abstractNum w:abstractNumId="10" w15:restartNumberingAfterBreak="0">
    <w:nsid w:val="4CA62FAB"/>
    <w:multiLevelType w:val="multilevel"/>
    <w:tmpl w:val="37761D92"/>
    <w:lvl w:ilvl="0">
      <w:start w:val="5"/>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1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B0F1622"/>
    <w:multiLevelType w:val="multilevel"/>
    <w:tmpl w:val="AD504C8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53443B2"/>
    <w:multiLevelType w:val="hybridMultilevel"/>
    <w:tmpl w:val="3D7066DE"/>
    <w:lvl w:ilvl="0" w:tplc="D7766BD4">
      <w:start w:val="1"/>
      <w:numFmt w:val="bullet"/>
      <w:lvlText w:val=""/>
      <w:lvlJc w:val="left"/>
      <w:pPr>
        <w:ind w:left="785" w:hanging="360"/>
      </w:pPr>
      <w:rPr>
        <w:rFonts w:ascii="Symbol" w:hAnsi="Symbol" w:hint="default"/>
        <w:color w:val="000000" w:themeColor="text1"/>
      </w:rPr>
    </w:lvl>
    <w:lvl w:ilvl="1" w:tplc="2C0A0003">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3" w15:restartNumberingAfterBreak="0">
    <w:nsid w:val="6A213D33"/>
    <w:multiLevelType w:val="hybridMultilevel"/>
    <w:tmpl w:val="FE2A2CDE"/>
    <w:lvl w:ilvl="0" w:tplc="F1F6EA6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30A2623"/>
    <w:multiLevelType w:val="hybridMultilevel"/>
    <w:tmpl w:val="DCC635C2"/>
    <w:lvl w:ilvl="0" w:tplc="080C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5" w15:restartNumberingAfterBreak="0">
    <w:nsid w:val="77F715FC"/>
    <w:multiLevelType w:val="hybridMultilevel"/>
    <w:tmpl w:val="0EDEC80A"/>
    <w:lvl w:ilvl="0" w:tplc="F4F6028E">
      <w:start w:val="1"/>
      <w:numFmt w:val="bullet"/>
      <w:lvlText w:val=""/>
      <w:lvlJc w:val="left"/>
      <w:pPr>
        <w:ind w:left="1287" w:hanging="360"/>
      </w:pPr>
      <w:rPr>
        <w:rFonts w:ascii="Symbol" w:hAnsi="Symbol" w:hint="default"/>
      </w:rPr>
    </w:lvl>
    <w:lvl w:ilvl="1" w:tplc="6E729528" w:tentative="1">
      <w:start w:val="1"/>
      <w:numFmt w:val="bullet"/>
      <w:lvlText w:val="o"/>
      <w:lvlJc w:val="left"/>
      <w:pPr>
        <w:ind w:left="2007" w:hanging="360"/>
      </w:pPr>
      <w:rPr>
        <w:rFonts w:ascii="Courier New" w:hAnsi="Courier New" w:cs="Courier New" w:hint="default"/>
      </w:rPr>
    </w:lvl>
    <w:lvl w:ilvl="2" w:tplc="A0D20E7A" w:tentative="1">
      <w:start w:val="1"/>
      <w:numFmt w:val="bullet"/>
      <w:lvlText w:val=""/>
      <w:lvlJc w:val="left"/>
      <w:pPr>
        <w:ind w:left="2727" w:hanging="360"/>
      </w:pPr>
      <w:rPr>
        <w:rFonts w:ascii="Wingdings" w:hAnsi="Wingdings" w:hint="default"/>
      </w:rPr>
    </w:lvl>
    <w:lvl w:ilvl="3" w:tplc="BFF0CD38" w:tentative="1">
      <w:start w:val="1"/>
      <w:numFmt w:val="bullet"/>
      <w:lvlText w:val=""/>
      <w:lvlJc w:val="left"/>
      <w:pPr>
        <w:ind w:left="3447" w:hanging="360"/>
      </w:pPr>
      <w:rPr>
        <w:rFonts w:ascii="Symbol" w:hAnsi="Symbol" w:hint="default"/>
      </w:rPr>
    </w:lvl>
    <w:lvl w:ilvl="4" w:tplc="8C227FA2" w:tentative="1">
      <w:start w:val="1"/>
      <w:numFmt w:val="bullet"/>
      <w:lvlText w:val="o"/>
      <w:lvlJc w:val="left"/>
      <w:pPr>
        <w:ind w:left="4167" w:hanging="360"/>
      </w:pPr>
      <w:rPr>
        <w:rFonts w:ascii="Courier New" w:hAnsi="Courier New" w:cs="Courier New" w:hint="default"/>
      </w:rPr>
    </w:lvl>
    <w:lvl w:ilvl="5" w:tplc="0B0C3560" w:tentative="1">
      <w:start w:val="1"/>
      <w:numFmt w:val="bullet"/>
      <w:lvlText w:val=""/>
      <w:lvlJc w:val="left"/>
      <w:pPr>
        <w:ind w:left="4887" w:hanging="360"/>
      </w:pPr>
      <w:rPr>
        <w:rFonts w:ascii="Wingdings" w:hAnsi="Wingdings" w:hint="default"/>
      </w:rPr>
    </w:lvl>
    <w:lvl w:ilvl="6" w:tplc="305E16D0" w:tentative="1">
      <w:start w:val="1"/>
      <w:numFmt w:val="bullet"/>
      <w:lvlText w:val=""/>
      <w:lvlJc w:val="left"/>
      <w:pPr>
        <w:ind w:left="5607" w:hanging="360"/>
      </w:pPr>
      <w:rPr>
        <w:rFonts w:ascii="Symbol" w:hAnsi="Symbol" w:hint="default"/>
      </w:rPr>
    </w:lvl>
    <w:lvl w:ilvl="7" w:tplc="A4468756" w:tentative="1">
      <w:start w:val="1"/>
      <w:numFmt w:val="bullet"/>
      <w:lvlText w:val="o"/>
      <w:lvlJc w:val="left"/>
      <w:pPr>
        <w:ind w:left="6327" w:hanging="360"/>
      </w:pPr>
      <w:rPr>
        <w:rFonts w:ascii="Courier New" w:hAnsi="Courier New" w:cs="Courier New" w:hint="default"/>
      </w:rPr>
    </w:lvl>
    <w:lvl w:ilvl="8" w:tplc="5344BC1A" w:tentative="1">
      <w:start w:val="1"/>
      <w:numFmt w:val="bullet"/>
      <w:lvlText w:val=""/>
      <w:lvlJc w:val="left"/>
      <w:pPr>
        <w:ind w:left="7047" w:hanging="360"/>
      </w:pPr>
      <w:rPr>
        <w:rFonts w:ascii="Wingdings" w:hAnsi="Wingdings" w:hint="default"/>
      </w:rPr>
    </w:lvl>
  </w:abstractNum>
  <w:abstractNum w:abstractNumId="16" w15:restartNumberingAfterBreak="0">
    <w:nsid w:val="7BE01280"/>
    <w:multiLevelType w:val="multilevel"/>
    <w:tmpl w:val="AF004176"/>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F37455F"/>
    <w:multiLevelType w:val="hybridMultilevel"/>
    <w:tmpl w:val="CDB8B546"/>
    <w:lvl w:ilvl="0" w:tplc="B4B625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
  </w:num>
  <w:num w:numId="3">
    <w:abstractNumId w:val="9"/>
  </w:num>
  <w:num w:numId="4">
    <w:abstractNumId w:val="0"/>
  </w:num>
  <w:num w:numId="5">
    <w:abstractNumId w:val="15"/>
  </w:num>
  <w:num w:numId="6">
    <w:abstractNumId w:val="8"/>
  </w:num>
  <w:num w:numId="7">
    <w:abstractNumId w:val="6"/>
  </w:num>
  <w:num w:numId="8">
    <w:abstractNumId w:val="13"/>
  </w:num>
  <w:num w:numId="9">
    <w:abstractNumId w:val="14"/>
  </w:num>
  <w:num w:numId="10">
    <w:abstractNumId w:val="3"/>
  </w:num>
  <w:num w:numId="11">
    <w:abstractNumId w:val="1"/>
  </w:num>
  <w:num w:numId="12">
    <w:abstractNumId w:val="17"/>
  </w:num>
  <w:num w:numId="13">
    <w:abstractNumId w:val="5"/>
  </w:num>
  <w:num w:numId="14">
    <w:abstractNumId w:val="7"/>
  </w:num>
  <w:num w:numId="15">
    <w:abstractNumId w:val="4"/>
  </w:num>
  <w:num w:numId="16">
    <w:abstractNumId w:val="12"/>
  </w:num>
  <w:num w:numId="17">
    <w:abstractNumId w:val="1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7066E83-3390-406B-B753-21263A42093D"/>
    <w:docVar w:name="LW_COVERPAGE_TYPE" w:val="1"/>
    <w:docVar w:name="LW_CROSSREFERENCE" w:val="&lt;UNUSED&gt;"/>
    <w:docVar w:name="LW_DocType" w:val="NORMAL"/>
    <w:docVar w:name="LW_EMISSION" w:val="4.2.2026"/>
    <w:docVar w:name="LW_EMISSION_ISODATE" w:val="2026-02-04"/>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exercice de la délégation conférée à la Commission en vertu de_x000b_l\u8217?article 31 du règlement (UE) 2015/2283 relatif aux nouveaux aliments _x000b_"/>
    <w:docVar w:name="LW_TYPE.DOC.CP" w:val="RAPPORT DE LA COMMISSION AU PARLEMENT EUROPÉEN ET AU CONSEIL"/>
    <w:docVar w:name="LwApiVersions" w:val="LW4CoDe 1.24.5.0; LW 9.2, Build 20251112"/>
  </w:docVars>
  <w:rsids>
    <w:rsidRoot w:val="00237E99"/>
    <w:rsid w:val="00000257"/>
    <w:rsid w:val="000008D2"/>
    <w:rsid w:val="00002023"/>
    <w:rsid w:val="000028E1"/>
    <w:rsid w:val="00007C79"/>
    <w:rsid w:val="00012E7B"/>
    <w:rsid w:val="00014099"/>
    <w:rsid w:val="00014A68"/>
    <w:rsid w:val="00014DB3"/>
    <w:rsid w:val="0001654C"/>
    <w:rsid w:val="00016E3C"/>
    <w:rsid w:val="00020EDA"/>
    <w:rsid w:val="000231C3"/>
    <w:rsid w:val="00023D65"/>
    <w:rsid w:val="00025BC2"/>
    <w:rsid w:val="00026DF9"/>
    <w:rsid w:val="00026EAB"/>
    <w:rsid w:val="000275BD"/>
    <w:rsid w:val="00035D4D"/>
    <w:rsid w:val="00035DB8"/>
    <w:rsid w:val="000367BB"/>
    <w:rsid w:val="000375B3"/>
    <w:rsid w:val="00037B6C"/>
    <w:rsid w:val="000419BF"/>
    <w:rsid w:val="00043973"/>
    <w:rsid w:val="00045556"/>
    <w:rsid w:val="00045BB2"/>
    <w:rsid w:val="0005197F"/>
    <w:rsid w:val="00053325"/>
    <w:rsid w:val="000534B5"/>
    <w:rsid w:val="00055DB7"/>
    <w:rsid w:val="00056CCF"/>
    <w:rsid w:val="000612D7"/>
    <w:rsid w:val="0006131B"/>
    <w:rsid w:val="00061A60"/>
    <w:rsid w:val="00065D50"/>
    <w:rsid w:val="00066C5B"/>
    <w:rsid w:val="000674B2"/>
    <w:rsid w:val="00070241"/>
    <w:rsid w:val="00070DB3"/>
    <w:rsid w:val="00070E5D"/>
    <w:rsid w:val="000722B8"/>
    <w:rsid w:val="00072342"/>
    <w:rsid w:val="00076A87"/>
    <w:rsid w:val="00077009"/>
    <w:rsid w:val="00080FC9"/>
    <w:rsid w:val="000810AC"/>
    <w:rsid w:val="000859FA"/>
    <w:rsid w:val="000862C6"/>
    <w:rsid w:val="0008699A"/>
    <w:rsid w:val="0008738A"/>
    <w:rsid w:val="00087C55"/>
    <w:rsid w:val="00090B0E"/>
    <w:rsid w:val="00093574"/>
    <w:rsid w:val="00094651"/>
    <w:rsid w:val="00095559"/>
    <w:rsid w:val="00097138"/>
    <w:rsid w:val="000A000C"/>
    <w:rsid w:val="000A24EC"/>
    <w:rsid w:val="000A3569"/>
    <w:rsid w:val="000A5CD4"/>
    <w:rsid w:val="000A6FAF"/>
    <w:rsid w:val="000B0A31"/>
    <w:rsid w:val="000B1402"/>
    <w:rsid w:val="000B1AF3"/>
    <w:rsid w:val="000B3315"/>
    <w:rsid w:val="000B3880"/>
    <w:rsid w:val="000B3D07"/>
    <w:rsid w:val="000B4394"/>
    <w:rsid w:val="000B6D65"/>
    <w:rsid w:val="000C0719"/>
    <w:rsid w:val="000C0D4F"/>
    <w:rsid w:val="000C1477"/>
    <w:rsid w:val="000C2580"/>
    <w:rsid w:val="000C3F53"/>
    <w:rsid w:val="000C7718"/>
    <w:rsid w:val="000D1A21"/>
    <w:rsid w:val="000D4D3B"/>
    <w:rsid w:val="000D57F2"/>
    <w:rsid w:val="000E1769"/>
    <w:rsid w:val="000E462E"/>
    <w:rsid w:val="000E4A38"/>
    <w:rsid w:val="000E7416"/>
    <w:rsid w:val="000E74C0"/>
    <w:rsid w:val="000E794A"/>
    <w:rsid w:val="000F0AD2"/>
    <w:rsid w:val="000F116D"/>
    <w:rsid w:val="000F20CD"/>
    <w:rsid w:val="000F2541"/>
    <w:rsid w:val="000F353F"/>
    <w:rsid w:val="000F5746"/>
    <w:rsid w:val="000F5DCE"/>
    <w:rsid w:val="000F78BD"/>
    <w:rsid w:val="00100023"/>
    <w:rsid w:val="0010011E"/>
    <w:rsid w:val="001031EF"/>
    <w:rsid w:val="0010473C"/>
    <w:rsid w:val="00104A8D"/>
    <w:rsid w:val="00105D5E"/>
    <w:rsid w:val="00106519"/>
    <w:rsid w:val="0010742A"/>
    <w:rsid w:val="001117D7"/>
    <w:rsid w:val="001118FC"/>
    <w:rsid w:val="00111C81"/>
    <w:rsid w:val="00112095"/>
    <w:rsid w:val="00113A8A"/>
    <w:rsid w:val="00117869"/>
    <w:rsid w:val="00120061"/>
    <w:rsid w:val="00120643"/>
    <w:rsid w:val="001216EB"/>
    <w:rsid w:val="00121E46"/>
    <w:rsid w:val="001235E1"/>
    <w:rsid w:val="00123B96"/>
    <w:rsid w:val="00124C93"/>
    <w:rsid w:val="00125C55"/>
    <w:rsid w:val="00126581"/>
    <w:rsid w:val="00126B23"/>
    <w:rsid w:val="001270C9"/>
    <w:rsid w:val="001308A4"/>
    <w:rsid w:val="00130C20"/>
    <w:rsid w:val="0013154E"/>
    <w:rsid w:val="001320D5"/>
    <w:rsid w:val="0013264E"/>
    <w:rsid w:val="00135794"/>
    <w:rsid w:val="001363A2"/>
    <w:rsid w:val="001412E3"/>
    <w:rsid w:val="0014178D"/>
    <w:rsid w:val="00144929"/>
    <w:rsid w:val="00145FAE"/>
    <w:rsid w:val="0014606E"/>
    <w:rsid w:val="00151071"/>
    <w:rsid w:val="00153C08"/>
    <w:rsid w:val="00154C84"/>
    <w:rsid w:val="00156090"/>
    <w:rsid w:val="00161BB2"/>
    <w:rsid w:val="00167191"/>
    <w:rsid w:val="001708DE"/>
    <w:rsid w:val="0017230D"/>
    <w:rsid w:val="00174B40"/>
    <w:rsid w:val="001778A5"/>
    <w:rsid w:val="00177B63"/>
    <w:rsid w:val="00181AFE"/>
    <w:rsid w:val="00183564"/>
    <w:rsid w:val="001844AA"/>
    <w:rsid w:val="00185054"/>
    <w:rsid w:val="00185C0C"/>
    <w:rsid w:val="00186A2D"/>
    <w:rsid w:val="00187B0E"/>
    <w:rsid w:val="00187D86"/>
    <w:rsid w:val="001928D5"/>
    <w:rsid w:val="001943A1"/>
    <w:rsid w:val="00194D5E"/>
    <w:rsid w:val="00196D0C"/>
    <w:rsid w:val="00197B37"/>
    <w:rsid w:val="001A28EE"/>
    <w:rsid w:val="001A40B0"/>
    <w:rsid w:val="001B29E6"/>
    <w:rsid w:val="001B356B"/>
    <w:rsid w:val="001B4306"/>
    <w:rsid w:val="001B4939"/>
    <w:rsid w:val="001B56DF"/>
    <w:rsid w:val="001B56FE"/>
    <w:rsid w:val="001B5D79"/>
    <w:rsid w:val="001B7B6D"/>
    <w:rsid w:val="001B7D14"/>
    <w:rsid w:val="001B7DF2"/>
    <w:rsid w:val="001B7F3F"/>
    <w:rsid w:val="001C1C85"/>
    <w:rsid w:val="001C3FC8"/>
    <w:rsid w:val="001C4F73"/>
    <w:rsid w:val="001C7150"/>
    <w:rsid w:val="001D0B0D"/>
    <w:rsid w:val="001D45BA"/>
    <w:rsid w:val="001D5291"/>
    <w:rsid w:val="001D6DB9"/>
    <w:rsid w:val="001E0150"/>
    <w:rsid w:val="001E2B9C"/>
    <w:rsid w:val="001E3C23"/>
    <w:rsid w:val="001E3DEE"/>
    <w:rsid w:val="001E431F"/>
    <w:rsid w:val="001E4865"/>
    <w:rsid w:val="001E5062"/>
    <w:rsid w:val="001E6A07"/>
    <w:rsid w:val="001E7372"/>
    <w:rsid w:val="001E785F"/>
    <w:rsid w:val="001E7A31"/>
    <w:rsid w:val="001F1124"/>
    <w:rsid w:val="001F19D7"/>
    <w:rsid w:val="001F2F81"/>
    <w:rsid w:val="001F42C6"/>
    <w:rsid w:val="001F4968"/>
    <w:rsid w:val="001F55A4"/>
    <w:rsid w:val="001F62ED"/>
    <w:rsid w:val="00200527"/>
    <w:rsid w:val="0020132E"/>
    <w:rsid w:val="00201869"/>
    <w:rsid w:val="00201E99"/>
    <w:rsid w:val="00203C62"/>
    <w:rsid w:val="0020766C"/>
    <w:rsid w:val="00213328"/>
    <w:rsid w:val="0021476F"/>
    <w:rsid w:val="0021518F"/>
    <w:rsid w:val="00216A47"/>
    <w:rsid w:val="00220960"/>
    <w:rsid w:val="00221708"/>
    <w:rsid w:val="00222A43"/>
    <w:rsid w:val="0022390A"/>
    <w:rsid w:val="0022497F"/>
    <w:rsid w:val="00224AD6"/>
    <w:rsid w:val="00225FFC"/>
    <w:rsid w:val="00230CC0"/>
    <w:rsid w:val="00231BA0"/>
    <w:rsid w:val="00232E82"/>
    <w:rsid w:val="00234226"/>
    <w:rsid w:val="00237E99"/>
    <w:rsid w:val="0024295C"/>
    <w:rsid w:val="00243099"/>
    <w:rsid w:val="00244530"/>
    <w:rsid w:val="0024522E"/>
    <w:rsid w:val="002452E4"/>
    <w:rsid w:val="002463F1"/>
    <w:rsid w:val="0025082E"/>
    <w:rsid w:val="00250C18"/>
    <w:rsid w:val="00257143"/>
    <w:rsid w:val="00260B34"/>
    <w:rsid w:val="002611D0"/>
    <w:rsid w:val="002634BF"/>
    <w:rsid w:val="00264B02"/>
    <w:rsid w:val="0026536B"/>
    <w:rsid w:val="00265A39"/>
    <w:rsid w:val="0026727B"/>
    <w:rsid w:val="002702BA"/>
    <w:rsid w:val="002709AF"/>
    <w:rsid w:val="00274C57"/>
    <w:rsid w:val="002767DE"/>
    <w:rsid w:val="00284F51"/>
    <w:rsid w:val="002854CC"/>
    <w:rsid w:val="00286556"/>
    <w:rsid w:val="0029135B"/>
    <w:rsid w:val="00293515"/>
    <w:rsid w:val="002935F5"/>
    <w:rsid w:val="00293BD9"/>
    <w:rsid w:val="002969BA"/>
    <w:rsid w:val="002A0AE7"/>
    <w:rsid w:val="002A33C6"/>
    <w:rsid w:val="002A4B10"/>
    <w:rsid w:val="002B2533"/>
    <w:rsid w:val="002B26D8"/>
    <w:rsid w:val="002B52E2"/>
    <w:rsid w:val="002B5C23"/>
    <w:rsid w:val="002B6E5A"/>
    <w:rsid w:val="002C269D"/>
    <w:rsid w:val="002C2B5F"/>
    <w:rsid w:val="002C396C"/>
    <w:rsid w:val="002C4C8C"/>
    <w:rsid w:val="002C503E"/>
    <w:rsid w:val="002C5B7F"/>
    <w:rsid w:val="002C6EEE"/>
    <w:rsid w:val="002C7405"/>
    <w:rsid w:val="002D0B34"/>
    <w:rsid w:val="002D0C21"/>
    <w:rsid w:val="002D2C61"/>
    <w:rsid w:val="002D33D3"/>
    <w:rsid w:val="002E0D3A"/>
    <w:rsid w:val="002E1D38"/>
    <w:rsid w:val="002E2F97"/>
    <w:rsid w:val="002E330E"/>
    <w:rsid w:val="002E43BE"/>
    <w:rsid w:val="002F1F80"/>
    <w:rsid w:val="002F321C"/>
    <w:rsid w:val="002F343C"/>
    <w:rsid w:val="002F4C57"/>
    <w:rsid w:val="002F4F76"/>
    <w:rsid w:val="00301888"/>
    <w:rsid w:val="00304583"/>
    <w:rsid w:val="00306107"/>
    <w:rsid w:val="00310882"/>
    <w:rsid w:val="003108AE"/>
    <w:rsid w:val="00312917"/>
    <w:rsid w:val="00312EA1"/>
    <w:rsid w:val="00314A6A"/>
    <w:rsid w:val="003159D9"/>
    <w:rsid w:val="00316E51"/>
    <w:rsid w:val="00317832"/>
    <w:rsid w:val="00320D41"/>
    <w:rsid w:val="003273E6"/>
    <w:rsid w:val="0032745A"/>
    <w:rsid w:val="00327DE2"/>
    <w:rsid w:val="00331C9F"/>
    <w:rsid w:val="003323A6"/>
    <w:rsid w:val="0033374E"/>
    <w:rsid w:val="00334AFE"/>
    <w:rsid w:val="00334C7F"/>
    <w:rsid w:val="00335FD6"/>
    <w:rsid w:val="00336292"/>
    <w:rsid w:val="0034092E"/>
    <w:rsid w:val="00340DF0"/>
    <w:rsid w:val="003428C9"/>
    <w:rsid w:val="00343ED3"/>
    <w:rsid w:val="00344F06"/>
    <w:rsid w:val="00345798"/>
    <w:rsid w:val="0034698E"/>
    <w:rsid w:val="00353DA6"/>
    <w:rsid w:val="00355ED3"/>
    <w:rsid w:val="003602B1"/>
    <w:rsid w:val="00361D92"/>
    <w:rsid w:val="00363F86"/>
    <w:rsid w:val="00364AF2"/>
    <w:rsid w:val="00370BDA"/>
    <w:rsid w:val="00372454"/>
    <w:rsid w:val="00372AB9"/>
    <w:rsid w:val="003739EF"/>
    <w:rsid w:val="0038137B"/>
    <w:rsid w:val="003819E0"/>
    <w:rsid w:val="0038729B"/>
    <w:rsid w:val="00392BA5"/>
    <w:rsid w:val="00393868"/>
    <w:rsid w:val="00393C5D"/>
    <w:rsid w:val="0039646E"/>
    <w:rsid w:val="00396699"/>
    <w:rsid w:val="00396B83"/>
    <w:rsid w:val="003A13CF"/>
    <w:rsid w:val="003A16F6"/>
    <w:rsid w:val="003A191D"/>
    <w:rsid w:val="003A3809"/>
    <w:rsid w:val="003B1FE0"/>
    <w:rsid w:val="003B2C77"/>
    <w:rsid w:val="003B3539"/>
    <w:rsid w:val="003B3A21"/>
    <w:rsid w:val="003B4447"/>
    <w:rsid w:val="003B4964"/>
    <w:rsid w:val="003B54F7"/>
    <w:rsid w:val="003C0BAB"/>
    <w:rsid w:val="003C1BE2"/>
    <w:rsid w:val="003C1D30"/>
    <w:rsid w:val="003C3825"/>
    <w:rsid w:val="003C5D6A"/>
    <w:rsid w:val="003C5EF2"/>
    <w:rsid w:val="003D0F97"/>
    <w:rsid w:val="003D14D7"/>
    <w:rsid w:val="003D4898"/>
    <w:rsid w:val="003D624E"/>
    <w:rsid w:val="003D77E3"/>
    <w:rsid w:val="003E017F"/>
    <w:rsid w:val="003E01D7"/>
    <w:rsid w:val="003E1CCD"/>
    <w:rsid w:val="003E1EB8"/>
    <w:rsid w:val="003E33AE"/>
    <w:rsid w:val="003E4B72"/>
    <w:rsid w:val="003E5F27"/>
    <w:rsid w:val="003E6CF5"/>
    <w:rsid w:val="003E6FB4"/>
    <w:rsid w:val="003F0064"/>
    <w:rsid w:val="003F132A"/>
    <w:rsid w:val="003F1378"/>
    <w:rsid w:val="003F1722"/>
    <w:rsid w:val="003F1C24"/>
    <w:rsid w:val="003F4779"/>
    <w:rsid w:val="003F4D89"/>
    <w:rsid w:val="003F4E91"/>
    <w:rsid w:val="003F5AFA"/>
    <w:rsid w:val="003F6669"/>
    <w:rsid w:val="0040349F"/>
    <w:rsid w:val="00404C7F"/>
    <w:rsid w:val="0040660B"/>
    <w:rsid w:val="00407639"/>
    <w:rsid w:val="004124CA"/>
    <w:rsid w:val="004128FD"/>
    <w:rsid w:val="00412E7C"/>
    <w:rsid w:val="004146E7"/>
    <w:rsid w:val="00417907"/>
    <w:rsid w:val="00422A52"/>
    <w:rsid w:val="00426D1A"/>
    <w:rsid w:val="00431646"/>
    <w:rsid w:val="00432584"/>
    <w:rsid w:val="00432A87"/>
    <w:rsid w:val="00433FFD"/>
    <w:rsid w:val="004357EF"/>
    <w:rsid w:val="00435B21"/>
    <w:rsid w:val="00436535"/>
    <w:rsid w:val="00437D29"/>
    <w:rsid w:val="004407DE"/>
    <w:rsid w:val="00440C65"/>
    <w:rsid w:val="0044617E"/>
    <w:rsid w:val="004514B1"/>
    <w:rsid w:val="0045262E"/>
    <w:rsid w:val="00454027"/>
    <w:rsid w:val="0045596C"/>
    <w:rsid w:val="00456B99"/>
    <w:rsid w:val="00457CCE"/>
    <w:rsid w:val="00462354"/>
    <w:rsid w:val="004629CB"/>
    <w:rsid w:val="00466E36"/>
    <w:rsid w:val="00467369"/>
    <w:rsid w:val="00467776"/>
    <w:rsid w:val="00467944"/>
    <w:rsid w:val="00467ADF"/>
    <w:rsid w:val="004703EF"/>
    <w:rsid w:val="00470CB9"/>
    <w:rsid w:val="00470F85"/>
    <w:rsid w:val="004711F2"/>
    <w:rsid w:val="00471BF5"/>
    <w:rsid w:val="004735ED"/>
    <w:rsid w:val="00475279"/>
    <w:rsid w:val="004771ED"/>
    <w:rsid w:val="004808C2"/>
    <w:rsid w:val="00480F48"/>
    <w:rsid w:val="00481D2A"/>
    <w:rsid w:val="00481F97"/>
    <w:rsid w:val="00485100"/>
    <w:rsid w:val="00485C80"/>
    <w:rsid w:val="00491EC1"/>
    <w:rsid w:val="00492342"/>
    <w:rsid w:val="0049296C"/>
    <w:rsid w:val="00493615"/>
    <w:rsid w:val="00493AB4"/>
    <w:rsid w:val="00495182"/>
    <w:rsid w:val="004A0C0D"/>
    <w:rsid w:val="004A0EAD"/>
    <w:rsid w:val="004A2841"/>
    <w:rsid w:val="004B0494"/>
    <w:rsid w:val="004B11CE"/>
    <w:rsid w:val="004B1DE2"/>
    <w:rsid w:val="004C139A"/>
    <w:rsid w:val="004C1F14"/>
    <w:rsid w:val="004C2499"/>
    <w:rsid w:val="004C2878"/>
    <w:rsid w:val="004C2A7C"/>
    <w:rsid w:val="004C334B"/>
    <w:rsid w:val="004C3DF1"/>
    <w:rsid w:val="004C7C0C"/>
    <w:rsid w:val="004C7E7D"/>
    <w:rsid w:val="004D4142"/>
    <w:rsid w:val="004D48E9"/>
    <w:rsid w:val="004D734D"/>
    <w:rsid w:val="004E1C95"/>
    <w:rsid w:val="004E26EC"/>
    <w:rsid w:val="004E276A"/>
    <w:rsid w:val="004E2779"/>
    <w:rsid w:val="004E4767"/>
    <w:rsid w:val="004E537B"/>
    <w:rsid w:val="004E75A3"/>
    <w:rsid w:val="004F0E0E"/>
    <w:rsid w:val="004F19EF"/>
    <w:rsid w:val="004F2481"/>
    <w:rsid w:val="004F66A4"/>
    <w:rsid w:val="004F7904"/>
    <w:rsid w:val="004F7A3B"/>
    <w:rsid w:val="00500D7C"/>
    <w:rsid w:val="00502B5E"/>
    <w:rsid w:val="005038D9"/>
    <w:rsid w:val="00503CC6"/>
    <w:rsid w:val="00504DC3"/>
    <w:rsid w:val="005112C3"/>
    <w:rsid w:val="00511A5E"/>
    <w:rsid w:val="005123E3"/>
    <w:rsid w:val="00512F9A"/>
    <w:rsid w:val="0052261E"/>
    <w:rsid w:val="00523AE2"/>
    <w:rsid w:val="0052407C"/>
    <w:rsid w:val="00525E0A"/>
    <w:rsid w:val="00526726"/>
    <w:rsid w:val="005268E6"/>
    <w:rsid w:val="00526D75"/>
    <w:rsid w:val="00531DBE"/>
    <w:rsid w:val="00534133"/>
    <w:rsid w:val="00537E8F"/>
    <w:rsid w:val="00540358"/>
    <w:rsid w:val="00540361"/>
    <w:rsid w:val="00540A11"/>
    <w:rsid w:val="005460DB"/>
    <w:rsid w:val="00546D46"/>
    <w:rsid w:val="0055031F"/>
    <w:rsid w:val="005578C7"/>
    <w:rsid w:val="00557DCC"/>
    <w:rsid w:val="00560057"/>
    <w:rsid w:val="0056406D"/>
    <w:rsid w:val="00564281"/>
    <w:rsid w:val="00566570"/>
    <w:rsid w:val="00571B90"/>
    <w:rsid w:val="00572449"/>
    <w:rsid w:val="00572DCF"/>
    <w:rsid w:val="00573144"/>
    <w:rsid w:val="0057369F"/>
    <w:rsid w:val="00576F4A"/>
    <w:rsid w:val="005827CF"/>
    <w:rsid w:val="00582FA2"/>
    <w:rsid w:val="005840A7"/>
    <w:rsid w:val="00586BE6"/>
    <w:rsid w:val="00587E46"/>
    <w:rsid w:val="00593136"/>
    <w:rsid w:val="0059508B"/>
    <w:rsid w:val="0059646B"/>
    <w:rsid w:val="005969D1"/>
    <w:rsid w:val="005A3001"/>
    <w:rsid w:val="005A71A8"/>
    <w:rsid w:val="005B0C8D"/>
    <w:rsid w:val="005B2CC9"/>
    <w:rsid w:val="005B3EDA"/>
    <w:rsid w:val="005B3EEE"/>
    <w:rsid w:val="005C1421"/>
    <w:rsid w:val="005C1776"/>
    <w:rsid w:val="005C208B"/>
    <w:rsid w:val="005C2426"/>
    <w:rsid w:val="005C44B0"/>
    <w:rsid w:val="005C46C8"/>
    <w:rsid w:val="005C56E2"/>
    <w:rsid w:val="005C5F67"/>
    <w:rsid w:val="005C7385"/>
    <w:rsid w:val="005D123D"/>
    <w:rsid w:val="005D1853"/>
    <w:rsid w:val="005D3CBB"/>
    <w:rsid w:val="005D46C5"/>
    <w:rsid w:val="005D5F3C"/>
    <w:rsid w:val="005E49CC"/>
    <w:rsid w:val="005E5DCF"/>
    <w:rsid w:val="005F404C"/>
    <w:rsid w:val="006006BF"/>
    <w:rsid w:val="00600BDC"/>
    <w:rsid w:val="00600CAD"/>
    <w:rsid w:val="00605198"/>
    <w:rsid w:val="0060603A"/>
    <w:rsid w:val="00612A38"/>
    <w:rsid w:val="00613CB0"/>
    <w:rsid w:val="00616E53"/>
    <w:rsid w:val="006255BE"/>
    <w:rsid w:val="006270F2"/>
    <w:rsid w:val="006309F4"/>
    <w:rsid w:val="006314AF"/>
    <w:rsid w:val="00632216"/>
    <w:rsid w:val="006353B0"/>
    <w:rsid w:val="00636F42"/>
    <w:rsid w:val="00640EE3"/>
    <w:rsid w:val="006412C5"/>
    <w:rsid w:val="0064712B"/>
    <w:rsid w:val="0064758A"/>
    <w:rsid w:val="0065149B"/>
    <w:rsid w:val="0065544D"/>
    <w:rsid w:val="006554E4"/>
    <w:rsid w:val="00655FE4"/>
    <w:rsid w:val="0065644D"/>
    <w:rsid w:val="00656A1F"/>
    <w:rsid w:val="00656A89"/>
    <w:rsid w:val="00657152"/>
    <w:rsid w:val="0066723D"/>
    <w:rsid w:val="0066728C"/>
    <w:rsid w:val="00667409"/>
    <w:rsid w:val="00670F79"/>
    <w:rsid w:val="00672F53"/>
    <w:rsid w:val="00675B6B"/>
    <w:rsid w:val="00680115"/>
    <w:rsid w:val="006803D7"/>
    <w:rsid w:val="00680480"/>
    <w:rsid w:val="00680D3C"/>
    <w:rsid w:val="00681388"/>
    <w:rsid w:val="00681838"/>
    <w:rsid w:val="00682FD2"/>
    <w:rsid w:val="00685935"/>
    <w:rsid w:val="00686430"/>
    <w:rsid w:val="006877BA"/>
    <w:rsid w:val="00687974"/>
    <w:rsid w:val="00691F4B"/>
    <w:rsid w:val="0069250C"/>
    <w:rsid w:val="00692C97"/>
    <w:rsid w:val="0069348F"/>
    <w:rsid w:val="006945C7"/>
    <w:rsid w:val="00694DB6"/>
    <w:rsid w:val="0069523D"/>
    <w:rsid w:val="006A0F22"/>
    <w:rsid w:val="006A2765"/>
    <w:rsid w:val="006A4E98"/>
    <w:rsid w:val="006A67D1"/>
    <w:rsid w:val="006A6CE0"/>
    <w:rsid w:val="006A76E5"/>
    <w:rsid w:val="006B1C5D"/>
    <w:rsid w:val="006B214E"/>
    <w:rsid w:val="006B23A2"/>
    <w:rsid w:val="006B32BF"/>
    <w:rsid w:val="006B3CC7"/>
    <w:rsid w:val="006B57A3"/>
    <w:rsid w:val="006B5C07"/>
    <w:rsid w:val="006C1B82"/>
    <w:rsid w:val="006C2779"/>
    <w:rsid w:val="006C2E98"/>
    <w:rsid w:val="006C4593"/>
    <w:rsid w:val="006C6818"/>
    <w:rsid w:val="006D19EC"/>
    <w:rsid w:val="006D4490"/>
    <w:rsid w:val="006D5548"/>
    <w:rsid w:val="006D782A"/>
    <w:rsid w:val="006E063A"/>
    <w:rsid w:val="006E181D"/>
    <w:rsid w:val="006E5EF0"/>
    <w:rsid w:val="006F1684"/>
    <w:rsid w:val="006F1CC8"/>
    <w:rsid w:val="006F460A"/>
    <w:rsid w:val="006F5774"/>
    <w:rsid w:val="006F6728"/>
    <w:rsid w:val="00700764"/>
    <w:rsid w:val="007008C6"/>
    <w:rsid w:val="00702077"/>
    <w:rsid w:val="00706E93"/>
    <w:rsid w:val="0071182D"/>
    <w:rsid w:val="00713828"/>
    <w:rsid w:val="00717447"/>
    <w:rsid w:val="007175AA"/>
    <w:rsid w:val="00717F92"/>
    <w:rsid w:val="0072103D"/>
    <w:rsid w:val="00723962"/>
    <w:rsid w:val="0072422C"/>
    <w:rsid w:val="007262DB"/>
    <w:rsid w:val="00727048"/>
    <w:rsid w:val="00727B3C"/>
    <w:rsid w:val="00731FFF"/>
    <w:rsid w:val="0073233E"/>
    <w:rsid w:val="0073527F"/>
    <w:rsid w:val="00735F00"/>
    <w:rsid w:val="00737341"/>
    <w:rsid w:val="00737BF6"/>
    <w:rsid w:val="0074211B"/>
    <w:rsid w:val="0074223C"/>
    <w:rsid w:val="00743DC3"/>
    <w:rsid w:val="0074455E"/>
    <w:rsid w:val="00745293"/>
    <w:rsid w:val="007465C9"/>
    <w:rsid w:val="00746B2A"/>
    <w:rsid w:val="00747E72"/>
    <w:rsid w:val="00751E41"/>
    <w:rsid w:val="007561FC"/>
    <w:rsid w:val="00756413"/>
    <w:rsid w:val="00756841"/>
    <w:rsid w:val="00756C23"/>
    <w:rsid w:val="007609A3"/>
    <w:rsid w:val="0076104E"/>
    <w:rsid w:val="00763644"/>
    <w:rsid w:val="0076438F"/>
    <w:rsid w:val="0076444B"/>
    <w:rsid w:val="00765C3A"/>
    <w:rsid w:val="00766E63"/>
    <w:rsid w:val="0077024E"/>
    <w:rsid w:val="007717EC"/>
    <w:rsid w:val="00772D74"/>
    <w:rsid w:val="00777CE2"/>
    <w:rsid w:val="00781892"/>
    <w:rsid w:val="007823D1"/>
    <w:rsid w:val="00784037"/>
    <w:rsid w:val="007858CC"/>
    <w:rsid w:val="00785911"/>
    <w:rsid w:val="007859D3"/>
    <w:rsid w:val="0078649C"/>
    <w:rsid w:val="00791B33"/>
    <w:rsid w:val="00792315"/>
    <w:rsid w:val="00792800"/>
    <w:rsid w:val="007946DE"/>
    <w:rsid w:val="007966F0"/>
    <w:rsid w:val="007A0DCB"/>
    <w:rsid w:val="007A452C"/>
    <w:rsid w:val="007A500C"/>
    <w:rsid w:val="007A5679"/>
    <w:rsid w:val="007A5A59"/>
    <w:rsid w:val="007A654B"/>
    <w:rsid w:val="007A72F6"/>
    <w:rsid w:val="007A7CE5"/>
    <w:rsid w:val="007B2655"/>
    <w:rsid w:val="007B2D63"/>
    <w:rsid w:val="007B3E49"/>
    <w:rsid w:val="007B662B"/>
    <w:rsid w:val="007C16C7"/>
    <w:rsid w:val="007C42CC"/>
    <w:rsid w:val="007C4700"/>
    <w:rsid w:val="007D1176"/>
    <w:rsid w:val="007D2E57"/>
    <w:rsid w:val="007D3339"/>
    <w:rsid w:val="007D3C74"/>
    <w:rsid w:val="007D4541"/>
    <w:rsid w:val="007D4BCA"/>
    <w:rsid w:val="007D4F91"/>
    <w:rsid w:val="007D6856"/>
    <w:rsid w:val="007D77C4"/>
    <w:rsid w:val="007D7D4C"/>
    <w:rsid w:val="007E2E97"/>
    <w:rsid w:val="007E5ED3"/>
    <w:rsid w:val="007E668C"/>
    <w:rsid w:val="007F0EFB"/>
    <w:rsid w:val="007F7FA4"/>
    <w:rsid w:val="008028CC"/>
    <w:rsid w:val="00803BCC"/>
    <w:rsid w:val="0080520A"/>
    <w:rsid w:val="00806160"/>
    <w:rsid w:val="00810781"/>
    <w:rsid w:val="008108E7"/>
    <w:rsid w:val="00810A81"/>
    <w:rsid w:val="00810F81"/>
    <w:rsid w:val="00811FFB"/>
    <w:rsid w:val="00812072"/>
    <w:rsid w:val="008144F3"/>
    <w:rsid w:val="008145F2"/>
    <w:rsid w:val="00817236"/>
    <w:rsid w:val="00817FD6"/>
    <w:rsid w:val="00821301"/>
    <w:rsid w:val="00822A7C"/>
    <w:rsid w:val="00823C4E"/>
    <w:rsid w:val="00824A3F"/>
    <w:rsid w:val="008264CA"/>
    <w:rsid w:val="0083105E"/>
    <w:rsid w:val="0083131E"/>
    <w:rsid w:val="0083360F"/>
    <w:rsid w:val="00833723"/>
    <w:rsid w:val="00834BFD"/>
    <w:rsid w:val="00837F7E"/>
    <w:rsid w:val="0084269A"/>
    <w:rsid w:val="00842891"/>
    <w:rsid w:val="00845027"/>
    <w:rsid w:val="00845281"/>
    <w:rsid w:val="00847C1E"/>
    <w:rsid w:val="00854BE6"/>
    <w:rsid w:val="00854D2B"/>
    <w:rsid w:val="008615B1"/>
    <w:rsid w:val="008627D6"/>
    <w:rsid w:val="008632D9"/>
    <w:rsid w:val="0087039F"/>
    <w:rsid w:val="00870C1E"/>
    <w:rsid w:val="00873546"/>
    <w:rsid w:val="00877A2F"/>
    <w:rsid w:val="0088158A"/>
    <w:rsid w:val="00891EAE"/>
    <w:rsid w:val="00891FC7"/>
    <w:rsid w:val="00893815"/>
    <w:rsid w:val="00895CC2"/>
    <w:rsid w:val="00897CD3"/>
    <w:rsid w:val="008A0D9F"/>
    <w:rsid w:val="008A2DC5"/>
    <w:rsid w:val="008A2E1A"/>
    <w:rsid w:val="008A2E4D"/>
    <w:rsid w:val="008A44CE"/>
    <w:rsid w:val="008A4520"/>
    <w:rsid w:val="008A6433"/>
    <w:rsid w:val="008A7E07"/>
    <w:rsid w:val="008B05A1"/>
    <w:rsid w:val="008B0FB0"/>
    <w:rsid w:val="008B251C"/>
    <w:rsid w:val="008B288B"/>
    <w:rsid w:val="008B2C91"/>
    <w:rsid w:val="008B2F12"/>
    <w:rsid w:val="008B37C3"/>
    <w:rsid w:val="008B400C"/>
    <w:rsid w:val="008B4BF3"/>
    <w:rsid w:val="008B641C"/>
    <w:rsid w:val="008B797E"/>
    <w:rsid w:val="008C0487"/>
    <w:rsid w:val="008C0750"/>
    <w:rsid w:val="008C1BB8"/>
    <w:rsid w:val="008C3B04"/>
    <w:rsid w:val="008C403E"/>
    <w:rsid w:val="008C51C3"/>
    <w:rsid w:val="008C6018"/>
    <w:rsid w:val="008D3F23"/>
    <w:rsid w:val="008D45E6"/>
    <w:rsid w:val="008D4F52"/>
    <w:rsid w:val="008D5252"/>
    <w:rsid w:val="008D63D9"/>
    <w:rsid w:val="008E2190"/>
    <w:rsid w:val="008E4ECE"/>
    <w:rsid w:val="008E507C"/>
    <w:rsid w:val="008E644A"/>
    <w:rsid w:val="008E7181"/>
    <w:rsid w:val="008E7E0A"/>
    <w:rsid w:val="008F1429"/>
    <w:rsid w:val="008F464A"/>
    <w:rsid w:val="008F7BBC"/>
    <w:rsid w:val="009030EB"/>
    <w:rsid w:val="009042E1"/>
    <w:rsid w:val="00906A3C"/>
    <w:rsid w:val="00906DF5"/>
    <w:rsid w:val="00910FD1"/>
    <w:rsid w:val="009148D7"/>
    <w:rsid w:val="00920808"/>
    <w:rsid w:val="00920B34"/>
    <w:rsid w:val="00920E5C"/>
    <w:rsid w:val="009215AA"/>
    <w:rsid w:val="0092198D"/>
    <w:rsid w:val="009224C9"/>
    <w:rsid w:val="00922A4C"/>
    <w:rsid w:val="009233AD"/>
    <w:rsid w:val="0092550C"/>
    <w:rsid w:val="00926109"/>
    <w:rsid w:val="00926E4D"/>
    <w:rsid w:val="009272F7"/>
    <w:rsid w:val="009336E6"/>
    <w:rsid w:val="00933FB6"/>
    <w:rsid w:val="0093545F"/>
    <w:rsid w:val="00935732"/>
    <w:rsid w:val="009357FA"/>
    <w:rsid w:val="00936556"/>
    <w:rsid w:val="00937BCF"/>
    <w:rsid w:val="00937D62"/>
    <w:rsid w:val="0094143D"/>
    <w:rsid w:val="00942E25"/>
    <w:rsid w:val="00942F01"/>
    <w:rsid w:val="00946439"/>
    <w:rsid w:val="009467F0"/>
    <w:rsid w:val="009479A9"/>
    <w:rsid w:val="00952425"/>
    <w:rsid w:val="009545F5"/>
    <w:rsid w:val="00956480"/>
    <w:rsid w:val="00963BDB"/>
    <w:rsid w:val="00964405"/>
    <w:rsid w:val="009646D7"/>
    <w:rsid w:val="00965474"/>
    <w:rsid w:val="00966AFC"/>
    <w:rsid w:val="00970F8E"/>
    <w:rsid w:val="0097152C"/>
    <w:rsid w:val="00973834"/>
    <w:rsid w:val="0097454D"/>
    <w:rsid w:val="009770FB"/>
    <w:rsid w:val="009778FE"/>
    <w:rsid w:val="00983D8A"/>
    <w:rsid w:val="00985466"/>
    <w:rsid w:val="009866D6"/>
    <w:rsid w:val="00990806"/>
    <w:rsid w:val="00992403"/>
    <w:rsid w:val="00993936"/>
    <w:rsid w:val="00993CB1"/>
    <w:rsid w:val="00995501"/>
    <w:rsid w:val="00996CC5"/>
    <w:rsid w:val="00996D08"/>
    <w:rsid w:val="0099704B"/>
    <w:rsid w:val="0099706A"/>
    <w:rsid w:val="009A0768"/>
    <w:rsid w:val="009A0D29"/>
    <w:rsid w:val="009A2A24"/>
    <w:rsid w:val="009A2E53"/>
    <w:rsid w:val="009A4432"/>
    <w:rsid w:val="009A6694"/>
    <w:rsid w:val="009A6E1C"/>
    <w:rsid w:val="009B02E2"/>
    <w:rsid w:val="009B05C4"/>
    <w:rsid w:val="009B2320"/>
    <w:rsid w:val="009B24AE"/>
    <w:rsid w:val="009B340B"/>
    <w:rsid w:val="009B62BE"/>
    <w:rsid w:val="009C1ABF"/>
    <w:rsid w:val="009C3CFB"/>
    <w:rsid w:val="009C4A8F"/>
    <w:rsid w:val="009C5A16"/>
    <w:rsid w:val="009C6DB0"/>
    <w:rsid w:val="009C6FB2"/>
    <w:rsid w:val="009D3944"/>
    <w:rsid w:val="009D3B06"/>
    <w:rsid w:val="009D3F29"/>
    <w:rsid w:val="009D436F"/>
    <w:rsid w:val="009E0C86"/>
    <w:rsid w:val="009E2A6A"/>
    <w:rsid w:val="009E4676"/>
    <w:rsid w:val="009E4E78"/>
    <w:rsid w:val="009E7116"/>
    <w:rsid w:val="009E7D94"/>
    <w:rsid w:val="009F2C7A"/>
    <w:rsid w:val="009F2CC3"/>
    <w:rsid w:val="009F3D1B"/>
    <w:rsid w:val="009F6E54"/>
    <w:rsid w:val="00A01BF5"/>
    <w:rsid w:val="00A0355B"/>
    <w:rsid w:val="00A03A75"/>
    <w:rsid w:val="00A03C1B"/>
    <w:rsid w:val="00A0749E"/>
    <w:rsid w:val="00A07827"/>
    <w:rsid w:val="00A10EEA"/>
    <w:rsid w:val="00A10F31"/>
    <w:rsid w:val="00A11DA9"/>
    <w:rsid w:val="00A11E77"/>
    <w:rsid w:val="00A16554"/>
    <w:rsid w:val="00A17C5A"/>
    <w:rsid w:val="00A20108"/>
    <w:rsid w:val="00A20B98"/>
    <w:rsid w:val="00A21C48"/>
    <w:rsid w:val="00A21F74"/>
    <w:rsid w:val="00A23587"/>
    <w:rsid w:val="00A23B95"/>
    <w:rsid w:val="00A23EC0"/>
    <w:rsid w:val="00A2420D"/>
    <w:rsid w:val="00A24A90"/>
    <w:rsid w:val="00A24CAA"/>
    <w:rsid w:val="00A2648D"/>
    <w:rsid w:val="00A26931"/>
    <w:rsid w:val="00A269F2"/>
    <w:rsid w:val="00A27D0C"/>
    <w:rsid w:val="00A31D30"/>
    <w:rsid w:val="00A34FF8"/>
    <w:rsid w:val="00A3640B"/>
    <w:rsid w:val="00A36AD7"/>
    <w:rsid w:val="00A3796E"/>
    <w:rsid w:val="00A4088A"/>
    <w:rsid w:val="00A42031"/>
    <w:rsid w:val="00A43C10"/>
    <w:rsid w:val="00A46B8E"/>
    <w:rsid w:val="00A46C8D"/>
    <w:rsid w:val="00A46D3E"/>
    <w:rsid w:val="00A46E0E"/>
    <w:rsid w:val="00A47CAD"/>
    <w:rsid w:val="00A50CE0"/>
    <w:rsid w:val="00A5217B"/>
    <w:rsid w:val="00A52BB2"/>
    <w:rsid w:val="00A55DEA"/>
    <w:rsid w:val="00A570E6"/>
    <w:rsid w:val="00A6157A"/>
    <w:rsid w:val="00A61813"/>
    <w:rsid w:val="00A61997"/>
    <w:rsid w:val="00A61F16"/>
    <w:rsid w:val="00A66148"/>
    <w:rsid w:val="00A67A8F"/>
    <w:rsid w:val="00A70DA9"/>
    <w:rsid w:val="00A722A9"/>
    <w:rsid w:val="00A74996"/>
    <w:rsid w:val="00A74F2A"/>
    <w:rsid w:val="00A75078"/>
    <w:rsid w:val="00A75319"/>
    <w:rsid w:val="00A75771"/>
    <w:rsid w:val="00A8041D"/>
    <w:rsid w:val="00A809E1"/>
    <w:rsid w:val="00A836F1"/>
    <w:rsid w:val="00A837DD"/>
    <w:rsid w:val="00A85F19"/>
    <w:rsid w:val="00A8644C"/>
    <w:rsid w:val="00A865A4"/>
    <w:rsid w:val="00A94216"/>
    <w:rsid w:val="00A9432B"/>
    <w:rsid w:val="00A95B68"/>
    <w:rsid w:val="00A95F22"/>
    <w:rsid w:val="00AA0103"/>
    <w:rsid w:val="00AA109B"/>
    <w:rsid w:val="00AA32CE"/>
    <w:rsid w:val="00AA3E92"/>
    <w:rsid w:val="00AB06B0"/>
    <w:rsid w:val="00AB3166"/>
    <w:rsid w:val="00AB3507"/>
    <w:rsid w:val="00AB3516"/>
    <w:rsid w:val="00AB3F6B"/>
    <w:rsid w:val="00AB675C"/>
    <w:rsid w:val="00AC14E1"/>
    <w:rsid w:val="00AC1AFD"/>
    <w:rsid w:val="00AC2A65"/>
    <w:rsid w:val="00AC2CB2"/>
    <w:rsid w:val="00AC7F47"/>
    <w:rsid w:val="00AD4004"/>
    <w:rsid w:val="00AD63E9"/>
    <w:rsid w:val="00AD75DE"/>
    <w:rsid w:val="00AD7DA6"/>
    <w:rsid w:val="00AE4474"/>
    <w:rsid w:val="00AE44EF"/>
    <w:rsid w:val="00AE6054"/>
    <w:rsid w:val="00AF096F"/>
    <w:rsid w:val="00AF0C11"/>
    <w:rsid w:val="00AF36B6"/>
    <w:rsid w:val="00AF69CC"/>
    <w:rsid w:val="00AF6EF0"/>
    <w:rsid w:val="00B00093"/>
    <w:rsid w:val="00B007E4"/>
    <w:rsid w:val="00B00A76"/>
    <w:rsid w:val="00B01E30"/>
    <w:rsid w:val="00B026DD"/>
    <w:rsid w:val="00B03196"/>
    <w:rsid w:val="00B033F0"/>
    <w:rsid w:val="00B038A8"/>
    <w:rsid w:val="00B055A9"/>
    <w:rsid w:val="00B05F58"/>
    <w:rsid w:val="00B0638E"/>
    <w:rsid w:val="00B07697"/>
    <w:rsid w:val="00B1005D"/>
    <w:rsid w:val="00B102B2"/>
    <w:rsid w:val="00B16435"/>
    <w:rsid w:val="00B1758E"/>
    <w:rsid w:val="00B23167"/>
    <w:rsid w:val="00B255FC"/>
    <w:rsid w:val="00B25831"/>
    <w:rsid w:val="00B25F09"/>
    <w:rsid w:val="00B25F86"/>
    <w:rsid w:val="00B26BE7"/>
    <w:rsid w:val="00B26C9B"/>
    <w:rsid w:val="00B3098F"/>
    <w:rsid w:val="00B33896"/>
    <w:rsid w:val="00B34141"/>
    <w:rsid w:val="00B35CC2"/>
    <w:rsid w:val="00B422AD"/>
    <w:rsid w:val="00B45D91"/>
    <w:rsid w:val="00B50472"/>
    <w:rsid w:val="00B50CA2"/>
    <w:rsid w:val="00B5112A"/>
    <w:rsid w:val="00B53B36"/>
    <w:rsid w:val="00B54112"/>
    <w:rsid w:val="00B54192"/>
    <w:rsid w:val="00B63E41"/>
    <w:rsid w:val="00B64299"/>
    <w:rsid w:val="00B664AB"/>
    <w:rsid w:val="00B672C6"/>
    <w:rsid w:val="00B70544"/>
    <w:rsid w:val="00B711C1"/>
    <w:rsid w:val="00B71995"/>
    <w:rsid w:val="00B72237"/>
    <w:rsid w:val="00B72502"/>
    <w:rsid w:val="00B73D0C"/>
    <w:rsid w:val="00B743CA"/>
    <w:rsid w:val="00B761E0"/>
    <w:rsid w:val="00B76503"/>
    <w:rsid w:val="00B768A0"/>
    <w:rsid w:val="00B77A96"/>
    <w:rsid w:val="00B77E01"/>
    <w:rsid w:val="00B80E72"/>
    <w:rsid w:val="00B812C1"/>
    <w:rsid w:val="00B81A3D"/>
    <w:rsid w:val="00B82A9E"/>
    <w:rsid w:val="00B830BA"/>
    <w:rsid w:val="00B85AB7"/>
    <w:rsid w:val="00B86318"/>
    <w:rsid w:val="00B935A2"/>
    <w:rsid w:val="00B93F72"/>
    <w:rsid w:val="00BA0117"/>
    <w:rsid w:val="00BA068C"/>
    <w:rsid w:val="00BA1179"/>
    <w:rsid w:val="00BA332A"/>
    <w:rsid w:val="00BA3BB6"/>
    <w:rsid w:val="00BA5EDE"/>
    <w:rsid w:val="00BA6EDF"/>
    <w:rsid w:val="00BA7BF4"/>
    <w:rsid w:val="00BA7DAF"/>
    <w:rsid w:val="00BB2056"/>
    <w:rsid w:val="00BB2621"/>
    <w:rsid w:val="00BB3D00"/>
    <w:rsid w:val="00BB3DC3"/>
    <w:rsid w:val="00BB43A9"/>
    <w:rsid w:val="00BB56AA"/>
    <w:rsid w:val="00BB7B8B"/>
    <w:rsid w:val="00BB7ECD"/>
    <w:rsid w:val="00BC063D"/>
    <w:rsid w:val="00BC087C"/>
    <w:rsid w:val="00BC6760"/>
    <w:rsid w:val="00BC6828"/>
    <w:rsid w:val="00BC68D2"/>
    <w:rsid w:val="00BD3971"/>
    <w:rsid w:val="00BD5338"/>
    <w:rsid w:val="00BE257D"/>
    <w:rsid w:val="00BE2588"/>
    <w:rsid w:val="00BE3A72"/>
    <w:rsid w:val="00BE69C0"/>
    <w:rsid w:val="00BF03A9"/>
    <w:rsid w:val="00BF4531"/>
    <w:rsid w:val="00C00FAF"/>
    <w:rsid w:val="00C0319A"/>
    <w:rsid w:val="00C04762"/>
    <w:rsid w:val="00C06113"/>
    <w:rsid w:val="00C06880"/>
    <w:rsid w:val="00C10C64"/>
    <w:rsid w:val="00C113DC"/>
    <w:rsid w:val="00C122B6"/>
    <w:rsid w:val="00C13012"/>
    <w:rsid w:val="00C1360D"/>
    <w:rsid w:val="00C15820"/>
    <w:rsid w:val="00C167F8"/>
    <w:rsid w:val="00C16B04"/>
    <w:rsid w:val="00C239BE"/>
    <w:rsid w:val="00C23F7D"/>
    <w:rsid w:val="00C25B22"/>
    <w:rsid w:val="00C30E79"/>
    <w:rsid w:val="00C30FFD"/>
    <w:rsid w:val="00C33A48"/>
    <w:rsid w:val="00C347D6"/>
    <w:rsid w:val="00C3631A"/>
    <w:rsid w:val="00C37943"/>
    <w:rsid w:val="00C379A2"/>
    <w:rsid w:val="00C37BB3"/>
    <w:rsid w:val="00C4200A"/>
    <w:rsid w:val="00C4396A"/>
    <w:rsid w:val="00C4534E"/>
    <w:rsid w:val="00C4565F"/>
    <w:rsid w:val="00C46CDC"/>
    <w:rsid w:val="00C50564"/>
    <w:rsid w:val="00C50CE7"/>
    <w:rsid w:val="00C51CDE"/>
    <w:rsid w:val="00C53D13"/>
    <w:rsid w:val="00C55173"/>
    <w:rsid w:val="00C56AAE"/>
    <w:rsid w:val="00C61952"/>
    <w:rsid w:val="00C63B8C"/>
    <w:rsid w:val="00C63ED7"/>
    <w:rsid w:val="00C64A6F"/>
    <w:rsid w:val="00C64FF9"/>
    <w:rsid w:val="00C6558D"/>
    <w:rsid w:val="00C718B1"/>
    <w:rsid w:val="00C74153"/>
    <w:rsid w:val="00C74723"/>
    <w:rsid w:val="00C758EF"/>
    <w:rsid w:val="00C75B6E"/>
    <w:rsid w:val="00C80475"/>
    <w:rsid w:val="00C80DB6"/>
    <w:rsid w:val="00C847CF"/>
    <w:rsid w:val="00C84E9B"/>
    <w:rsid w:val="00C85339"/>
    <w:rsid w:val="00C877B7"/>
    <w:rsid w:val="00C903C3"/>
    <w:rsid w:val="00C9216C"/>
    <w:rsid w:val="00C9246C"/>
    <w:rsid w:val="00C92705"/>
    <w:rsid w:val="00C92E3B"/>
    <w:rsid w:val="00C9573A"/>
    <w:rsid w:val="00C97BC7"/>
    <w:rsid w:val="00CA01F1"/>
    <w:rsid w:val="00CA29EC"/>
    <w:rsid w:val="00CA2B26"/>
    <w:rsid w:val="00CA503F"/>
    <w:rsid w:val="00CB18C8"/>
    <w:rsid w:val="00CB5CFF"/>
    <w:rsid w:val="00CB704D"/>
    <w:rsid w:val="00CC034D"/>
    <w:rsid w:val="00CC1F62"/>
    <w:rsid w:val="00CC3F74"/>
    <w:rsid w:val="00CD4405"/>
    <w:rsid w:val="00CD56F5"/>
    <w:rsid w:val="00CD7BFB"/>
    <w:rsid w:val="00CE2351"/>
    <w:rsid w:val="00CE320E"/>
    <w:rsid w:val="00CE45E7"/>
    <w:rsid w:val="00CE5530"/>
    <w:rsid w:val="00CE5BFD"/>
    <w:rsid w:val="00CF0896"/>
    <w:rsid w:val="00CF4B38"/>
    <w:rsid w:val="00CF4B7E"/>
    <w:rsid w:val="00D039D5"/>
    <w:rsid w:val="00D04325"/>
    <w:rsid w:val="00D0736B"/>
    <w:rsid w:val="00D204B6"/>
    <w:rsid w:val="00D2150C"/>
    <w:rsid w:val="00D2400F"/>
    <w:rsid w:val="00D24B33"/>
    <w:rsid w:val="00D24EFE"/>
    <w:rsid w:val="00D2537C"/>
    <w:rsid w:val="00D27129"/>
    <w:rsid w:val="00D27630"/>
    <w:rsid w:val="00D319BF"/>
    <w:rsid w:val="00D322CC"/>
    <w:rsid w:val="00D3378D"/>
    <w:rsid w:val="00D33D72"/>
    <w:rsid w:val="00D34743"/>
    <w:rsid w:val="00D34922"/>
    <w:rsid w:val="00D35943"/>
    <w:rsid w:val="00D35BD0"/>
    <w:rsid w:val="00D36A5B"/>
    <w:rsid w:val="00D404D9"/>
    <w:rsid w:val="00D432EB"/>
    <w:rsid w:val="00D43E2B"/>
    <w:rsid w:val="00D471BE"/>
    <w:rsid w:val="00D518F3"/>
    <w:rsid w:val="00D52F0D"/>
    <w:rsid w:val="00D53C7C"/>
    <w:rsid w:val="00D53CD6"/>
    <w:rsid w:val="00D564BF"/>
    <w:rsid w:val="00D61B70"/>
    <w:rsid w:val="00D62433"/>
    <w:rsid w:val="00D6254A"/>
    <w:rsid w:val="00D63EDF"/>
    <w:rsid w:val="00D6743B"/>
    <w:rsid w:val="00D70681"/>
    <w:rsid w:val="00D70AD5"/>
    <w:rsid w:val="00D721BD"/>
    <w:rsid w:val="00D738E3"/>
    <w:rsid w:val="00D76A2C"/>
    <w:rsid w:val="00D81A68"/>
    <w:rsid w:val="00D81F08"/>
    <w:rsid w:val="00D82CBC"/>
    <w:rsid w:val="00D84A88"/>
    <w:rsid w:val="00D84BC8"/>
    <w:rsid w:val="00D8543F"/>
    <w:rsid w:val="00D87C5A"/>
    <w:rsid w:val="00D92880"/>
    <w:rsid w:val="00D92A49"/>
    <w:rsid w:val="00D92D09"/>
    <w:rsid w:val="00D93494"/>
    <w:rsid w:val="00D96574"/>
    <w:rsid w:val="00D96976"/>
    <w:rsid w:val="00D97E6C"/>
    <w:rsid w:val="00DA1D08"/>
    <w:rsid w:val="00DA2481"/>
    <w:rsid w:val="00DA3A7F"/>
    <w:rsid w:val="00DA6B05"/>
    <w:rsid w:val="00DB00B3"/>
    <w:rsid w:val="00DB23EA"/>
    <w:rsid w:val="00DB3C0E"/>
    <w:rsid w:val="00DB3E71"/>
    <w:rsid w:val="00DB6731"/>
    <w:rsid w:val="00DC2812"/>
    <w:rsid w:val="00DC3886"/>
    <w:rsid w:val="00DC42D4"/>
    <w:rsid w:val="00DC6100"/>
    <w:rsid w:val="00DC784B"/>
    <w:rsid w:val="00DC7B3A"/>
    <w:rsid w:val="00DD1F70"/>
    <w:rsid w:val="00DD34C9"/>
    <w:rsid w:val="00DD3F1A"/>
    <w:rsid w:val="00DD411A"/>
    <w:rsid w:val="00DD4672"/>
    <w:rsid w:val="00DD4AA0"/>
    <w:rsid w:val="00DE050C"/>
    <w:rsid w:val="00DE293D"/>
    <w:rsid w:val="00DE37F3"/>
    <w:rsid w:val="00DE5858"/>
    <w:rsid w:val="00DE6E00"/>
    <w:rsid w:val="00DF341E"/>
    <w:rsid w:val="00DF405B"/>
    <w:rsid w:val="00DF4947"/>
    <w:rsid w:val="00DF6AC2"/>
    <w:rsid w:val="00DF6D5E"/>
    <w:rsid w:val="00E004B8"/>
    <w:rsid w:val="00E009EA"/>
    <w:rsid w:val="00E01332"/>
    <w:rsid w:val="00E01E6E"/>
    <w:rsid w:val="00E02D46"/>
    <w:rsid w:val="00E102AA"/>
    <w:rsid w:val="00E11BE4"/>
    <w:rsid w:val="00E1327F"/>
    <w:rsid w:val="00E13D34"/>
    <w:rsid w:val="00E14A6E"/>
    <w:rsid w:val="00E15D60"/>
    <w:rsid w:val="00E1638C"/>
    <w:rsid w:val="00E1641E"/>
    <w:rsid w:val="00E25101"/>
    <w:rsid w:val="00E25582"/>
    <w:rsid w:val="00E2571B"/>
    <w:rsid w:val="00E268D8"/>
    <w:rsid w:val="00E31C72"/>
    <w:rsid w:val="00E320F7"/>
    <w:rsid w:val="00E32213"/>
    <w:rsid w:val="00E325F0"/>
    <w:rsid w:val="00E36A29"/>
    <w:rsid w:val="00E375CD"/>
    <w:rsid w:val="00E40478"/>
    <w:rsid w:val="00E4519E"/>
    <w:rsid w:val="00E4560B"/>
    <w:rsid w:val="00E4670C"/>
    <w:rsid w:val="00E47348"/>
    <w:rsid w:val="00E51629"/>
    <w:rsid w:val="00E539EA"/>
    <w:rsid w:val="00E53AE6"/>
    <w:rsid w:val="00E53D13"/>
    <w:rsid w:val="00E553E0"/>
    <w:rsid w:val="00E556F7"/>
    <w:rsid w:val="00E60351"/>
    <w:rsid w:val="00E61589"/>
    <w:rsid w:val="00E61A2E"/>
    <w:rsid w:val="00E62C8B"/>
    <w:rsid w:val="00E63CCD"/>
    <w:rsid w:val="00E63DED"/>
    <w:rsid w:val="00E64044"/>
    <w:rsid w:val="00E643D3"/>
    <w:rsid w:val="00E64F2F"/>
    <w:rsid w:val="00E6548C"/>
    <w:rsid w:val="00E67F89"/>
    <w:rsid w:val="00E70401"/>
    <w:rsid w:val="00E75F75"/>
    <w:rsid w:val="00E766EF"/>
    <w:rsid w:val="00E7768E"/>
    <w:rsid w:val="00E803A4"/>
    <w:rsid w:val="00E8049D"/>
    <w:rsid w:val="00E80531"/>
    <w:rsid w:val="00E81087"/>
    <w:rsid w:val="00E84A31"/>
    <w:rsid w:val="00E8509B"/>
    <w:rsid w:val="00E855A2"/>
    <w:rsid w:val="00E90037"/>
    <w:rsid w:val="00E90FDF"/>
    <w:rsid w:val="00E91007"/>
    <w:rsid w:val="00E937D7"/>
    <w:rsid w:val="00E938ED"/>
    <w:rsid w:val="00E93FC9"/>
    <w:rsid w:val="00E94E68"/>
    <w:rsid w:val="00E975E5"/>
    <w:rsid w:val="00EA0C5B"/>
    <w:rsid w:val="00EA5BA1"/>
    <w:rsid w:val="00EB1162"/>
    <w:rsid w:val="00EB20C5"/>
    <w:rsid w:val="00EB33F4"/>
    <w:rsid w:val="00EB6375"/>
    <w:rsid w:val="00EB6C30"/>
    <w:rsid w:val="00EB7DC9"/>
    <w:rsid w:val="00EC07C5"/>
    <w:rsid w:val="00EC1353"/>
    <w:rsid w:val="00EC3F60"/>
    <w:rsid w:val="00EC6191"/>
    <w:rsid w:val="00EC62A9"/>
    <w:rsid w:val="00EC6523"/>
    <w:rsid w:val="00EC673A"/>
    <w:rsid w:val="00ED2807"/>
    <w:rsid w:val="00ED328F"/>
    <w:rsid w:val="00ED4EB5"/>
    <w:rsid w:val="00ED4F27"/>
    <w:rsid w:val="00ED65EF"/>
    <w:rsid w:val="00ED6F97"/>
    <w:rsid w:val="00ED786A"/>
    <w:rsid w:val="00EE01F2"/>
    <w:rsid w:val="00EE143E"/>
    <w:rsid w:val="00EE1EC3"/>
    <w:rsid w:val="00EE5A02"/>
    <w:rsid w:val="00EE5A98"/>
    <w:rsid w:val="00EE731A"/>
    <w:rsid w:val="00EF0178"/>
    <w:rsid w:val="00EF0665"/>
    <w:rsid w:val="00EF233A"/>
    <w:rsid w:val="00EF27FD"/>
    <w:rsid w:val="00EF2D93"/>
    <w:rsid w:val="00EF4F7C"/>
    <w:rsid w:val="00EF73C3"/>
    <w:rsid w:val="00EF76C7"/>
    <w:rsid w:val="00F01316"/>
    <w:rsid w:val="00F0445E"/>
    <w:rsid w:val="00F068B9"/>
    <w:rsid w:val="00F0778D"/>
    <w:rsid w:val="00F10985"/>
    <w:rsid w:val="00F15539"/>
    <w:rsid w:val="00F15AD4"/>
    <w:rsid w:val="00F170C5"/>
    <w:rsid w:val="00F1730E"/>
    <w:rsid w:val="00F175CE"/>
    <w:rsid w:val="00F2393A"/>
    <w:rsid w:val="00F23AD6"/>
    <w:rsid w:val="00F27517"/>
    <w:rsid w:val="00F276EF"/>
    <w:rsid w:val="00F309C9"/>
    <w:rsid w:val="00F31ED6"/>
    <w:rsid w:val="00F32AF0"/>
    <w:rsid w:val="00F3666A"/>
    <w:rsid w:val="00F37D31"/>
    <w:rsid w:val="00F40533"/>
    <w:rsid w:val="00F41313"/>
    <w:rsid w:val="00F4241C"/>
    <w:rsid w:val="00F44751"/>
    <w:rsid w:val="00F46C16"/>
    <w:rsid w:val="00F47812"/>
    <w:rsid w:val="00F47CA3"/>
    <w:rsid w:val="00F47D38"/>
    <w:rsid w:val="00F50EF5"/>
    <w:rsid w:val="00F544C4"/>
    <w:rsid w:val="00F56B5E"/>
    <w:rsid w:val="00F62F91"/>
    <w:rsid w:val="00F64C97"/>
    <w:rsid w:val="00F658B1"/>
    <w:rsid w:val="00F65BDC"/>
    <w:rsid w:val="00F667A6"/>
    <w:rsid w:val="00F674E2"/>
    <w:rsid w:val="00F71052"/>
    <w:rsid w:val="00F71539"/>
    <w:rsid w:val="00F75417"/>
    <w:rsid w:val="00F7652C"/>
    <w:rsid w:val="00F76F44"/>
    <w:rsid w:val="00F77737"/>
    <w:rsid w:val="00F81CB0"/>
    <w:rsid w:val="00F8275D"/>
    <w:rsid w:val="00F84EC2"/>
    <w:rsid w:val="00F85CA5"/>
    <w:rsid w:val="00F86858"/>
    <w:rsid w:val="00F8691A"/>
    <w:rsid w:val="00F912BF"/>
    <w:rsid w:val="00F92BB2"/>
    <w:rsid w:val="00F938A9"/>
    <w:rsid w:val="00F95169"/>
    <w:rsid w:val="00F9574C"/>
    <w:rsid w:val="00F96D33"/>
    <w:rsid w:val="00FA61B1"/>
    <w:rsid w:val="00FA6D85"/>
    <w:rsid w:val="00FA7287"/>
    <w:rsid w:val="00FB0789"/>
    <w:rsid w:val="00FB29AE"/>
    <w:rsid w:val="00FB3DA2"/>
    <w:rsid w:val="00FB4774"/>
    <w:rsid w:val="00FB4CDA"/>
    <w:rsid w:val="00FB5C94"/>
    <w:rsid w:val="00FB7524"/>
    <w:rsid w:val="00FC0299"/>
    <w:rsid w:val="00FC16CD"/>
    <w:rsid w:val="00FC2CF3"/>
    <w:rsid w:val="00FC5F82"/>
    <w:rsid w:val="00FC7F00"/>
    <w:rsid w:val="00FD2463"/>
    <w:rsid w:val="00FD2999"/>
    <w:rsid w:val="00FD3E8E"/>
    <w:rsid w:val="00FD4D2F"/>
    <w:rsid w:val="00FD642C"/>
    <w:rsid w:val="00FE2AED"/>
    <w:rsid w:val="00FE3CBE"/>
    <w:rsid w:val="00FE46D4"/>
    <w:rsid w:val="00FF0A7B"/>
    <w:rsid w:val="00FF0EE8"/>
    <w:rsid w:val="00FF1B55"/>
    <w:rsid w:val="00FF1E0E"/>
    <w:rsid w:val="00FF400A"/>
    <w:rsid w:val="00FF67DC"/>
    <w:rsid w:val="00FF720B"/>
    <w:rsid w:val="022F8E5E"/>
    <w:rsid w:val="02E62217"/>
    <w:rsid w:val="0AE03861"/>
    <w:rsid w:val="0B054926"/>
    <w:rsid w:val="0DC779A8"/>
    <w:rsid w:val="0DF9B6D6"/>
    <w:rsid w:val="0EDE2B69"/>
    <w:rsid w:val="0F5A0630"/>
    <w:rsid w:val="10351C4C"/>
    <w:rsid w:val="10A1EA89"/>
    <w:rsid w:val="12A647DF"/>
    <w:rsid w:val="1302DCEB"/>
    <w:rsid w:val="144CCF78"/>
    <w:rsid w:val="17805659"/>
    <w:rsid w:val="1CCE58B8"/>
    <w:rsid w:val="1DFF2782"/>
    <w:rsid w:val="1E5A0E1B"/>
    <w:rsid w:val="1F06CAD4"/>
    <w:rsid w:val="1F418639"/>
    <w:rsid w:val="1F869E73"/>
    <w:rsid w:val="229D9B70"/>
    <w:rsid w:val="22F36904"/>
    <w:rsid w:val="23026090"/>
    <w:rsid w:val="23A33F05"/>
    <w:rsid w:val="23DCBB1B"/>
    <w:rsid w:val="23EC8E35"/>
    <w:rsid w:val="25D08DB8"/>
    <w:rsid w:val="26C05F15"/>
    <w:rsid w:val="26E4C6F7"/>
    <w:rsid w:val="2799AC47"/>
    <w:rsid w:val="28530952"/>
    <w:rsid w:val="29535DC0"/>
    <w:rsid w:val="2A2ED7DA"/>
    <w:rsid w:val="2A5FED86"/>
    <w:rsid w:val="2ED4B3E7"/>
    <w:rsid w:val="2F185C85"/>
    <w:rsid w:val="304F655C"/>
    <w:rsid w:val="308B0006"/>
    <w:rsid w:val="31CF5161"/>
    <w:rsid w:val="335FB345"/>
    <w:rsid w:val="340B895A"/>
    <w:rsid w:val="3466490E"/>
    <w:rsid w:val="34F79FDC"/>
    <w:rsid w:val="36D5B585"/>
    <w:rsid w:val="396126C1"/>
    <w:rsid w:val="3998CF63"/>
    <w:rsid w:val="3A8BC0A3"/>
    <w:rsid w:val="3B19E731"/>
    <w:rsid w:val="3C54DCE8"/>
    <w:rsid w:val="3D6D9394"/>
    <w:rsid w:val="3D8661B1"/>
    <w:rsid w:val="415F7826"/>
    <w:rsid w:val="42200653"/>
    <w:rsid w:val="43D955C9"/>
    <w:rsid w:val="44218F84"/>
    <w:rsid w:val="443C1A84"/>
    <w:rsid w:val="453ED261"/>
    <w:rsid w:val="477E7EAF"/>
    <w:rsid w:val="48A054B4"/>
    <w:rsid w:val="48D264E6"/>
    <w:rsid w:val="49EE97B1"/>
    <w:rsid w:val="4A6165BA"/>
    <w:rsid w:val="4AD93C92"/>
    <w:rsid w:val="4BB491A0"/>
    <w:rsid w:val="4BBC5130"/>
    <w:rsid w:val="50AE669C"/>
    <w:rsid w:val="512F7E49"/>
    <w:rsid w:val="532E5A4B"/>
    <w:rsid w:val="53D21662"/>
    <w:rsid w:val="5A6244D6"/>
    <w:rsid w:val="5B0796B5"/>
    <w:rsid w:val="5B64CD27"/>
    <w:rsid w:val="5BA110BA"/>
    <w:rsid w:val="5C82A830"/>
    <w:rsid w:val="5E33E48A"/>
    <w:rsid w:val="61B90E7A"/>
    <w:rsid w:val="61F52AF8"/>
    <w:rsid w:val="63EBB3C9"/>
    <w:rsid w:val="67F3FAA9"/>
    <w:rsid w:val="688292ED"/>
    <w:rsid w:val="6A4F5452"/>
    <w:rsid w:val="6A97B69C"/>
    <w:rsid w:val="6AB0C1DE"/>
    <w:rsid w:val="6B072267"/>
    <w:rsid w:val="6BE355A5"/>
    <w:rsid w:val="6C588532"/>
    <w:rsid w:val="70246146"/>
    <w:rsid w:val="71F6E64D"/>
    <w:rsid w:val="72163F17"/>
    <w:rsid w:val="724C7230"/>
    <w:rsid w:val="74B19864"/>
    <w:rsid w:val="75BE0539"/>
    <w:rsid w:val="75F164E1"/>
    <w:rsid w:val="760CB443"/>
    <w:rsid w:val="7656E140"/>
    <w:rsid w:val="7733FC25"/>
    <w:rsid w:val="7753C775"/>
    <w:rsid w:val="7ABA2783"/>
    <w:rsid w:val="7B50BDD3"/>
    <w:rsid w:val="7DA8E19E"/>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7213283"/>
  <w15:chartTrackingRefBased/>
  <w15:docId w15:val="{B754A72B-7D25-42D9-A759-5E47697B0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0768"/>
  </w:style>
  <w:style w:type="paragraph" w:styleId="Heading1">
    <w:name w:val="heading 1"/>
    <w:basedOn w:val="Normal"/>
    <w:next w:val="Normal"/>
    <w:link w:val="Heading1Char"/>
    <w:uiPriority w:val="9"/>
    <w:qFormat/>
    <w:rsid w:val="0059313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93136"/>
    <w:pPr>
      <w:keepNext/>
      <w:spacing w:after="200" w:line="276" w:lineRule="auto"/>
      <w:ind w:left="567"/>
      <w:jc w:val="both"/>
      <w:outlineLvl w:val="1"/>
    </w:pPr>
    <w:rPr>
      <w:rFonts w:ascii="Times New Roman" w:hAnsi="Times New Roman" w:cs="Times New Roman"/>
      <w:b/>
      <w:sz w:val="20"/>
      <w:szCs w:val="20"/>
    </w:rPr>
  </w:style>
  <w:style w:type="paragraph" w:styleId="Heading3">
    <w:name w:val="heading 3"/>
    <w:basedOn w:val="Normal"/>
    <w:next w:val="Normal"/>
    <w:link w:val="Heading3Char"/>
    <w:uiPriority w:val="9"/>
    <w:unhideWhenUsed/>
    <w:qFormat/>
    <w:rsid w:val="00593136"/>
    <w:pPr>
      <w:keepNext/>
      <w:spacing w:after="0" w:line="276" w:lineRule="auto"/>
      <w:ind w:left="567"/>
      <w:jc w:val="both"/>
      <w:outlineLvl w:val="2"/>
    </w:pPr>
    <w:rPr>
      <w:rFonts w:ascii="Times New Roman" w:hAnsi="Times New Roman" w:cs="Times New Roman"/>
      <w:b/>
      <w:sz w:val="24"/>
      <w:szCs w:val="24"/>
    </w:rPr>
  </w:style>
  <w:style w:type="paragraph" w:styleId="Heading4">
    <w:name w:val="heading 4"/>
    <w:basedOn w:val="Normal"/>
    <w:next w:val="Normal"/>
    <w:link w:val="Heading4Char"/>
    <w:uiPriority w:val="9"/>
    <w:unhideWhenUsed/>
    <w:qFormat/>
    <w:rsid w:val="00225FF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37E99"/>
    <w:rPr>
      <w:color w:val="0000FF"/>
      <w:shd w:val="clear" w:color="auto" w:fill="auto"/>
    </w:rPr>
  </w:style>
  <w:style w:type="paragraph" w:styleId="Header">
    <w:name w:val="header"/>
    <w:basedOn w:val="Normal"/>
    <w:link w:val="HeaderChar"/>
    <w:uiPriority w:val="99"/>
    <w:unhideWhenUsed/>
    <w:rsid w:val="00237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E99"/>
  </w:style>
  <w:style w:type="paragraph" w:styleId="Footer">
    <w:name w:val="footer"/>
    <w:basedOn w:val="Normal"/>
    <w:link w:val="FooterChar"/>
    <w:uiPriority w:val="99"/>
    <w:unhideWhenUsed/>
    <w:rsid w:val="00237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E99"/>
  </w:style>
  <w:style w:type="paragraph" w:customStyle="1" w:styleId="Pagedecouverture">
    <w:name w:val="Page de couverture"/>
    <w:basedOn w:val="Normal"/>
    <w:next w:val="Normal"/>
    <w:rsid w:val="00237E99"/>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37E9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37E99"/>
    <w:rPr>
      <w:rFonts w:ascii="Times New Roman" w:hAnsi="Times New Roman" w:cs="Times New Roman"/>
      <w:sz w:val="24"/>
    </w:rPr>
  </w:style>
  <w:style w:type="paragraph" w:customStyle="1" w:styleId="FooterSensitivity">
    <w:name w:val="Footer Sensitivity"/>
    <w:basedOn w:val="Normal"/>
    <w:link w:val="FooterSensitivityChar"/>
    <w:rsid w:val="00237E9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37E99"/>
    <w:rPr>
      <w:rFonts w:ascii="Times New Roman" w:hAnsi="Times New Roman" w:cs="Times New Roman"/>
      <w:b/>
      <w:sz w:val="32"/>
    </w:rPr>
  </w:style>
  <w:style w:type="paragraph" w:customStyle="1" w:styleId="HeaderCoverPage">
    <w:name w:val="Header Cover Page"/>
    <w:basedOn w:val="Normal"/>
    <w:link w:val="HeaderCoverPageChar"/>
    <w:rsid w:val="00237E9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37E99"/>
    <w:rPr>
      <w:rFonts w:ascii="Times New Roman" w:hAnsi="Times New Roman" w:cs="Times New Roman"/>
      <w:sz w:val="24"/>
    </w:rPr>
  </w:style>
  <w:style w:type="paragraph" w:customStyle="1" w:styleId="HeaderSensitivity">
    <w:name w:val="Header Sensitivity"/>
    <w:basedOn w:val="Normal"/>
    <w:link w:val="HeaderSensitivityChar"/>
    <w:rsid w:val="00237E9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37E99"/>
    <w:rPr>
      <w:rFonts w:ascii="Times New Roman" w:hAnsi="Times New Roman" w:cs="Times New Roman"/>
      <w:b/>
      <w:sz w:val="32"/>
    </w:rPr>
  </w:style>
  <w:style w:type="paragraph" w:customStyle="1" w:styleId="HeaderSensitivityRight">
    <w:name w:val="Header Sensitivity Right"/>
    <w:basedOn w:val="Normal"/>
    <w:link w:val="HeaderSensitivityRightChar"/>
    <w:rsid w:val="00237E9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37E99"/>
    <w:rPr>
      <w:rFonts w:ascii="Times New Roman" w:hAnsi="Times New Roman" w:cs="Times New Roman"/>
      <w:sz w:val="28"/>
    </w:rPr>
  </w:style>
  <w:style w:type="character" w:customStyle="1" w:styleId="Heading1Char">
    <w:name w:val="Heading 1 Char"/>
    <w:basedOn w:val="DefaultParagraphFont"/>
    <w:link w:val="Heading1"/>
    <w:uiPriority w:val="9"/>
    <w:rsid w:val="00593136"/>
    <w:rPr>
      <w:rFonts w:asciiTheme="majorHAnsi" w:eastAsiaTheme="majorEastAsia" w:hAnsiTheme="majorHAnsi" w:cstheme="majorBidi"/>
      <w:color w:val="2E74B5" w:themeColor="accent1" w:themeShade="BF"/>
      <w:sz w:val="32"/>
      <w:szCs w:val="32"/>
      <w:lang w:val="fr-FR"/>
    </w:rPr>
  </w:style>
  <w:style w:type="character" w:customStyle="1" w:styleId="Heading2Char">
    <w:name w:val="Heading 2 Char"/>
    <w:basedOn w:val="DefaultParagraphFont"/>
    <w:link w:val="Heading2"/>
    <w:uiPriority w:val="9"/>
    <w:rsid w:val="00593136"/>
    <w:rPr>
      <w:rFonts w:ascii="Times New Roman" w:hAnsi="Times New Roman" w:cs="Times New Roman"/>
      <w:b/>
      <w:sz w:val="20"/>
      <w:szCs w:val="20"/>
      <w:lang w:val="fr-FR"/>
    </w:rPr>
  </w:style>
  <w:style w:type="character" w:customStyle="1" w:styleId="Heading3Char">
    <w:name w:val="Heading 3 Char"/>
    <w:basedOn w:val="DefaultParagraphFont"/>
    <w:link w:val="Heading3"/>
    <w:uiPriority w:val="9"/>
    <w:rsid w:val="00593136"/>
    <w:rPr>
      <w:rFonts w:ascii="Times New Roman" w:hAnsi="Times New Roman" w:cs="Times New Roman"/>
      <w:b/>
      <w:sz w:val="24"/>
      <w:szCs w:val="24"/>
      <w:lang w:val="fr-FR"/>
    </w:rPr>
  </w:style>
  <w:style w:type="paragraph" w:styleId="ListParagraph">
    <w:name w:val="List Paragraph"/>
    <w:aliases w:val="Numb_Para,titulo 5,List Paragraph1,VIÑETAS,TITULO A,En tête 1,Report Para,WinDForce-Letter,Paragraphe,Paragraphe de liste (sdt),RMSI bulle Style,Bullet  Paragraph,Lettre d'introduction,1st level - Bullet List Paragraph,Celula"/>
    <w:basedOn w:val="Normal"/>
    <w:link w:val="ListParagraphChar"/>
    <w:uiPriority w:val="34"/>
    <w:qFormat/>
    <w:rsid w:val="00593136"/>
    <w:pPr>
      <w:spacing w:after="200" w:line="276" w:lineRule="auto"/>
      <w:ind w:left="720"/>
      <w:contextualSpacing/>
    </w:pPr>
  </w:style>
  <w:style w:type="paragraph" w:styleId="FootnoteText">
    <w:name w:val="footnote text"/>
    <w:aliases w:val="Fußnote,Footnote text,Footnote Text Char Char Char Char,Footnote Text Char Char,Footnote Text Char Char Char Char Char Char Char Char,f t,ft,f,f ,fn,Fotnotstext1,Schriftart: 9 pt,Schriftart: 10 pt,Schriftart: 8 pt,WB-Fußnotentext,FoodNote"/>
    <w:basedOn w:val="Normal"/>
    <w:link w:val="FootnoteTextChar"/>
    <w:uiPriority w:val="99"/>
    <w:unhideWhenUsed/>
    <w:qFormat/>
    <w:rsid w:val="00593136"/>
    <w:pPr>
      <w:keepLines/>
      <w:spacing w:after="0" w:line="240" w:lineRule="auto"/>
    </w:pPr>
    <w:rPr>
      <w:sz w:val="20"/>
      <w:szCs w:val="20"/>
    </w:rPr>
  </w:style>
  <w:style w:type="character" w:customStyle="1" w:styleId="FootnoteTextChar">
    <w:name w:val="Footnote Text Char"/>
    <w:aliases w:val="Fußnote Char,Footnote text Char,Footnote Text Char Char Char Char Char,Footnote Text Char Char Char,Footnote Text Char Char Char Char Char Char Char Char Char,f t Char,ft Char,f Char,f  Char,fn Char,Fotnotstext1 Char,FoodNote Char"/>
    <w:basedOn w:val="DefaultParagraphFont"/>
    <w:link w:val="FootnoteText"/>
    <w:uiPriority w:val="99"/>
    <w:rsid w:val="00593136"/>
    <w:rPr>
      <w:sz w:val="20"/>
      <w:szCs w:val="20"/>
      <w:lang w:val="fr-FR"/>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sid w:val="00593136"/>
    <w:rPr>
      <w:vertAlign w:val="superscript"/>
    </w:rPr>
  </w:style>
  <w:style w:type="character" w:styleId="Hyperlink">
    <w:name w:val="Hyperlink"/>
    <w:basedOn w:val="DefaultParagraphFont"/>
    <w:uiPriority w:val="99"/>
    <w:unhideWhenUsed/>
    <w:rsid w:val="00593136"/>
    <w:rPr>
      <w:color w:val="0563C1" w:themeColor="hyperlink"/>
      <w:u w:val="single"/>
    </w:rPr>
  </w:style>
  <w:style w:type="paragraph" w:styleId="BodyTextIndent">
    <w:name w:val="Body Text Indent"/>
    <w:basedOn w:val="Normal"/>
    <w:link w:val="BodyTextIndentChar"/>
    <w:uiPriority w:val="99"/>
    <w:unhideWhenUsed/>
    <w:rsid w:val="00593136"/>
    <w:pPr>
      <w:spacing w:after="200" w:line="276" w:lineRule="auto"/>
      <w:ind w:left="567"/>
      <w:jc w:val="both"/>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593136"/>
    <w:rPr>
      <w:rFonts w:ascii="Times New Roman" w:hAnsi="Times New Roman" w:cs="Times New Roman"/>
      <w:sz w:val="24"/>
      <w:szCs w:val="24"/>
      <w:lang w:val="fr-FR"/>
    </w:rPr>
  </w:style>
  <w:style w:type="character" w:styleId="CommentReference">
    <w:name w:val="annotation reference"/>
    <w:basedOn w:val="DefaultParagraphFont"/>
    <w:uiPriority w:val="99"/>
    <w:semiHidden/>
    <w:unhideWhenUsed/>
    <w:rsid w:val="00593136"/>
    <w:rPr>
      <w:sz w:val="16"/>
      <w:szCs w:val="16"/>
    </w:rPr>
  </w:style>
  <w:style w:type="paragraph" w:styleId="CommentText">
    <w:name w:val="annotation text"/>
    <w:basedOn w:val="Normal"/>
    <w:link w:val="CommentTextChar"/>
    <w:uiPriority w:val="99"/>
    <w:unhideWhenUsed/>
    <w:rsid w:val="00593136"/>
    <w:pPr>
      <w:spacing w:after="200" w:line="240" w:lineRule="auto"/>
    </w:pPr>
    <w:rPr>
      <w:sz w:val="20"/>
      <w:szCs w:val="20"/>
    </w:rPr>
  </w:style>
  <w:style w:type="character" w:customStyle="1" w:styleId="CommentTextChar">
    <w:name w:val="Comment Text Char"/>
    <w:basedOn w:val="DefaultParagraphFont"/>
    <w:link w:val="CommentText"/>
    <w:uiPriority w:val="99"/>
    <w:rsid w:val="00593136"/>
    <w:rPr>
      <w:sz w:val="20"/>
      <w:szCs w:val="20"/>
      <w:lang w:val="fr-FR"/>
    </w:rPr>
  </w:style>
  <w:style w:type="paragraph" w:styleId="CommentSubject">
    <w:name w:val="annotation subject"/>
    <w:basedOn w:val="CommentText"/>
    <w:next w:val="CommentText"/>
    <w:link w:val="CommentSubjectChar"/>
    <w:uiPriority w:val="99"/>
    <w:semiHidden/>
    <w:unhideWhenUsed/>
    <w:rsid w:val="00593136"/>
    <w:rPr>
      <w:b/>
      <w:bCs/>
    </w:rPr>
  </w:style>
  <w:style w:type="character" w:customStyle="1" w:styleId="CommentSubjectChar">
    <w:name w:val="Comment Subject Char"/>
    <w:basedOn w:val="CommentTextChar"/>
    <w:link w:val="CommentSubject"/>
    <w:uiPriority w:val="99"/>
    <w:semiHidden/>
    <w:rsid w:val="00593136"/>
    <w:rPr>
      <w:b/>
      <w:bCs/>
      <w:sz w:val="20"/>
      <w:szCs w:val="20"/>
      <w:lang w:val="fr-FR"/>
    </w:rPr>
  </w:style>
  <w:style w:type="paragraph" w:styleId="BalloonText">
    <w:name w:val="Balloon Text"/>
    <w:basedOn w:val="Normal"/>
    <w:link w:val="BalloonTextChar"/>
    <w:uiPriority w:val="99"/>
    <w:semiHidden/>
    <w:unhideWhenUsed/>
    <w:rsid w:val="005931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3136"/>
    <w:rPr>
      <w:rFonts w:ascii="Segoe UI" w:hAnsi="Segoe UI" w:cs="Segoe UI"/>
      <w:sz w:val="18"/>
      <w:szCs w:val="18"/>
      <w:lang w:val="fr-FR"/>
    </w:rPr>
  </w:style>
  <w:style w:type="paragraph" w:customStyle="1" w:styleId="NormalNoSpace">
    <w:name w:val="NormalNoSpace"/>
    <w:aliases w:val="Body TextNoSpace"/>
    <w:basedOn w:val="Normal"/>
    <w:uiPriority w:val="1"/>
    <w:qFormat/>
    <w:rsid w:val="00593136"/>
    <w:pPr>
      <w:spacing w:after="0" w:line="240" w:lineRule="auto"/>
    </w:pPr>
    <w:rPr>
      <w:rFonts w:ascii="Verdana" w:hAnsi="Verdana"/>
      <w:color w:val="000000" w:themeColor="text1"/>
      <w:sz w:val="20"/>
    </w:rPr>
  </w:style>
  <w:style w:type="numbering" w:customStyle="1" w:styleId="Bullets">
    <w:name w:val="Bullets"/>
    <w:aliases w:val="NumbLstBTBullet,NumbLstBullet"/>
    <w:uiPriority w:val="99"/>
    <w:rsid w:val="00593136"/>
    <w:pPr>
      <w:numPr>
        <w:numId w:val="6"/>
      </w:numPr>
    </w:pPr>
  </w:style>
  <w:style w:type="paragraph" w:customStyle="1" w:styleId="Bullet10">
    <w:name w:val="Bullet 1"/>
    <w:aliases w:val="Bullet1,BTBullet1,b1,bullets"/>
    <w:basedOn w:val="Normal"/>
    <w:link w:val="BTBullet1Znak"/>
    <w:uiPriority w:val="9"/>
    <w:qFormat/>
    <w:rsid w:val="00593136"/>
    <w:pPr>
      <w:numPr>
        <w:numId w:val="6"/>
      </w:numPr>
      <w:spacing w:before="120" w:after="120" w:line="240" w:lineRule="auto"/>
      <w:contextualSpacing/>
    </w:pPr>
    <w:rPr>
      <w:rFonts w:ascii="Verdana" w:hAnsi="Verdana"/>
      <w:color w:val="000000" w:themeColor="text1"/>
      <w:sz w:val="20"/>
    </w:rPr>
  </w:style>
  <w:style w:type="paragraph" w:customStyle="1" w:styleId="Bullet2">
    <w:name w:val="Bullet 2"/>
    <w:aliases w:val="Bullet2,BTBullet2"/>
    <w:basedOn w:val="Normal"/>
    <w:uiPriority w:val="10"/>
    <w:qFormat/>
    <w:rsid w:val="00593136"/>
    <w:pPr>
      <w:numPr>
        <w:ilvl w:val="1"/>
        <w:numId w:val="6"/>
      </w:numPr>
      <w:spacing w:before="120" w:after="120" w:line="240" w:lineRule="auto"/>
      <w:contextualSpacing/>
    </w:pPr>
    <w:rPr>
      <w:rFonts w:ascii="Verdana" w:hAnsi="Verdana"/>
      <w:color w:val="000000" w:themeColor="text1"/>
      <w:sz w:val="20"/>
    </w:rPr>
  </w:style>
  <w:style w:type="paragraph" w:customStyle="1" w:styleId="Bullet3">
    <w:name w:val="Bullet 3"/>
    <w:aliases w:val="Bullet3,BTBullet3"/>
    <w:basedOn w:val="Bullet2"/>
    <w:uiPriority w:val="10"/>
    <w:qFormat/>
    <w:rsid w:val="00593136"/>
    <w:pPr>
      <w:numPr>
        <w:ilvl w:val="2"/>
      </w:numPr>
    </w:pPr>
  </w:style>
  <w:style w:type="character" w:customStyle="1" w:styleId="BTBullet1Znak">
    <w:name w:val="BTBullet1 Znak"/>
    <w:link w:val="Bullet10"/>
    <w:uiPriority w:val="9"/>
    <w:locked/>
    <w:rsid w:val="00593136"/>
    <w:rPr>
      <w:rFonts w:ascii="Verdana" w:hAnsi="Verdana"/>
      <w:color w:val="000000" w:themeColor="text1"/>
      <w:sz w:val="20"/>
      <w:lang w:val="fr-FR"/>
    </w:rPr>
  </w:style>
  <w:style w:type="paragraph" w:customStyle="1" w:styleId="BodyText1">
    <w:name w:val="Body Text1"/>
    <w:basedOn w:val="Normal"/>
    <w:link w:val="BodytextChar"/>
    <w:qFormat/>
    <w:rsid w:val="00593136"/>
    <w:pPr>
      <w:spacing w:before="120" w:after="120" w:line="240" w:lineRule="auto"/>
      <w:jc w:val="both"/>
    </w:pPr>
    <w:rPr>
      <w:rFonts w:ascii="Arial" w:eastAsia="Times New Roman" w:hAnsi="Arial" w:cs="Times New Roman"/>
      <w:noProof/>
      <w:szCs w:val="20"/>
    </w:rPr>
  </w:style>
  <w:style w:type="character" w:customStyle="1" w:styleId="BodytextChar">
    <w:name w:val="Body text Char"/>
    <w:link w:val="BodyText1"/>
    <w:rsid w:val="00593136"/>
    <w:rPr>
      <w:rFonts w:ascii="Arial" w:eastAsia="Times New Roman" w:hAnsi="Arial" w:cs="Times New Roman"/>
      <w:noProof/>
      <w:szCs w:val="20"/>
      <w:lang w:val="fr-FR"/>
    </w:rPr>
  </w:style>
  <w:style w:type="paragraph" w:customStyle="1" w:styleId="bullet1">
    <w:name w:val="bullet 1"/>
    <w:basedOn w:val="BodyText1"/>
    <w:link w:val="bullet1Char"/>
    <w:qFormat/>
    <w:rsid w:val="00593136"/>
    <w:pPr>
      <w:numPr>
        <w:numId w:val="7"/>
      </w:numPr>
    </w:pPr>
    <w:rPr>
      <w:szCs w:val="24"/>
    </w:rPr>
  </w:style>
  <w:style w:type="character" w:customStyle="1" w:styleId="bullet1Char">
    <w:name w:val="bullet 1 Char"/>
    <w:basedOn w:val="BodytextChar"/>
    <w:link w:val="bullet1"/>
    <w:rsid w:val="00593136"/>
    <w:rPr>
      <w:rFonts w:ascii="Arial" w:eastAsia="Times New Roman" w:hAnsi="Arial" w:cs="Times New Roman"/>
      <w:noProof/>
      <w:szCs w:val="24"/>
      <w:lang w:val="fr-FR"/>
    </w:rPr>
  </w:style>
  <w:style w:type="paragraph" w:styleId="Revision">
    <w:name w:val="Revision"/>
    <w:hidden/>
    <w:uiPriority w:val="99"/>
    <w:semiHidden/>
    <w:rsid w:val="00593136"/>
    <w:pPr>
      <w:spacing w:after="0" w:line="240" w:lineRule="auto"/>
    </w:pPr>
  </w:style>
  <w:style w:type="character" w:styleId="FollowedHyperlink">
    <w:name w:val="FollowedHyperlink"/>
    <w:basedOn w:val="DefaultParagraphFont"/>
    <w:uiPriority w:val="99"/>
    <w:semiHidden/>
    <w:unhideWhenUsed/>
    <w:rsid w:val="00593136"/>
    <w:rPr>
      <w:color w:val="954F72" w:themeColor="followedHyperlink"/>
      <w:u w:val="single"/>
    </w:rPr>
  </w:style>
  <w:style w:type="table" w:styleId="TableGrid">
    <w:name w:val="Table Grid"/>
    <w:basedOn w:val="TableNormal"/>
    <w:uiPriority w:val="59"/>
    <w:rsid w:val="005931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harCharChar">
    <w:name w:val="Char Char Char"/>
    <w:basedOn w:val="Normal"/>
    <w:link w:val="FootnoteReference"/>
    <w:rsid w:val="00257143"/>
    <w:pPr>
      <w:spacing w:after="0" w:line="240" w:lineRule="exact"/>
    </w:pPr>
    <w:rPr>
      <w:vertAlign w:val="superscript"/>
    </w:rPr>
  </w:style>
  <w:style w:type="character" w:customStyle="1" w:styleId="UnresolvedMention">
    <w:name w:val="Unresolved Mention"/>
    <w:basedOn w:val="DefaultParagraphFont"/>
    <w:uiPriority w:val="99"/>
    <w:semiHidden/>
    <w:unhideWhenUsed/>
    <w:rsid w:val="00D63EDF"/>
    <w:rPr>
      <w:color w:val="605E5C"/>
      <w:shd w:val="clear" w:color="auto" w:fill="E1DFDD"/>
    </w:rPr>
  </w:style>
  <w:style w:type="paragraph" w:styleId="NormalWeb">
    <w:name w:val="Normal (Web)"/>
    <w:basedOn w:val="Normal"/>
    <w:unhideWhenUsed/>
    <w:rsid w:val="008A2DC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DefaultParagraphFont"/>
    <w:rsid w:val="008A2DC5"/>
  </w:style>
  <w:style w:type="character" w:customStyle="1" w:styleId="eop">
    <w:name w:val="eop"/>
    <w:basedOn w:val="DefaultParagraphFont"/>
    <w:rsid w:val="008A2DC5"/>
  </w:style>
  <w:style w:type="character" w:customStyle="1" w:styleId="contentcontrolboundarysink">
    <w:name w:val="contentcontrolboundarysink"/>
    <w:basedOn w:val="DefaultParagraphFont"/>
    <w:rsid w:val="008A2DC5"/>
  </w:style>
  <w:style w:type="character" w:customStyle="1" w:styleId="ListParagraphChar">
    <w:name w:val="List Paragraph Char"/>
    <w:aliases w:val="Numb_Para Char,titulo 5 Char,List Paragraph1 Char,VIÑETAS Char,TITULO A Char,En tête 1 Char,Report Para Char,WinDForce-Letter Char,Paragraphe Char,Paragraphe de liste (sdt) Char,RMSI bulle Style Char,Bullet  Paragraph Char"/>
    <w:link w:val="ListParagraph"/>
    <w:uiPriority w:val="34"/>
    <w:qFormat/>
    <w:locked/>
    <w:rsid w:val="00A03C1B"/>
    <w:rPr>
      <w:lang w:val="fr-FR"/>
    </w:rPr>
  </w:style>
  <w:style w:type="character" w:customStyle="1" w:styleId="Heading4Char">
    <w:name w:val="Heading 4 Char"/>
    <w:basedOn w:val="DefaultParagraphFont"/>
    <w:link w:val="Heading4"/>
    <w:uiPriority w:val="9"/>
    <w:rsid w:val="00225FFC"/>
    <w:rPr>
      <w:rFonts w:asciiTheme="majorHAnsi" w:eastAsiaTheme="majorEastAsia" w:hAnsiTheme="majorHAnsi" w:cstheme="majorBidi"/>
      <w:i/>
      <w:iCs/>
      <w:color w:val="2E74B5" w:themeColor="accent1" w:themeShade="BF"/>
    </w:rPr>
  </w:style>
  <w:style w:type="paragraph" w:customStyle="1" w:styleId="Typedudocument">
    <w:name w:val="Type du document"/>
    <w:basedOn w:val="Normal"/>
    <w:next w:val="Normal"/>
    <w:rsid w:val="000F5DCE"/>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0F5DCE"/>
    <w:pPr>
      <w:spacing w:before="360" w:after="360" w:line="240" w:lineRule="auto"/>
      <w:jc w:val="center"/>
    </w:pPr>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022203">
      <w:bodyDiv w:val="1"/>
      <w:marLeft w:val="0"/>
      <w:marRight w:val="0"/>
      <w:marTop w:val="0"/>
      <w:marBottom w:val="0"/>
      <w:divBdr>
        <w:top w:val="none" w:sz="0" w:space="0" w:color="auto"/>
        <w:left w:val="none" w:sz="0" w:space="0" w:color="auto"/>
        <w:bottom w:val="none" w:sz="0" w:space="0" w:color="auto"/>
        <w:right w:val="none" w:sz="0" w:space="0" w:color="auto"/>
      </w:divBdr>
    </w:div>
    <w:div w:id="893394119">
      <w:bodyDiv w:val="1"/>
      <w:marLeft w:val="0"/>
      <w:marRight w:val="0"/>
      <w:marTop w:val="0"/>
      <w:marBottom w:val="0"/>
      <w:divBdr>
        <w:top w:val="none" w:sz="0" w:space="0" w:color="auto"/>
        <w:left w:val="none" w:sz="0" w:space="0" w:color="auto"/>
        <w:bottom w:val="none" w:sz="0" w:space="0" w:color="auto"/>
        <w:right w:val="none" w:sz="0" w:space="0" w:color="auto"/>
      </w:divBdr>
    </w:div>
    <w:div w:id="164967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law/better-regulation/have-your-say/initiatives/14049-Nanomateriau-manufacture-dans-les-denrees-alimentaires-definition-revisee_fr" TargetMode="External"/><Relationship Id="rId2" Type="http://schemas.openxmlformats.org/officeDocument/2006/relationships/hyperlink" Target="https://www.efsa.europa.eu/en/efsajournal/pub/6768" TargetMode="External"/><Relationship Id="rId1" Type="http://schemas.openxmlformats.org/officeDocument/2006/relationships/hyperlink" Target="https://ec.europa.eu/transparency/expert-groups-register/screen/expert-groups/consult?lang=en&amp;do=groupDetail.groupDetail&amp;groupID=3560&amp;Lang=EN" TargetMode="External"/><Relationship Id="rId6" Type="http://schemas.openxmlformats.org/officeDocument/2006/relationships/hyperlink" Target="https://oeil.secure.europarl.europa.eu/oeil/fr/procedure-file?reference=2024/2691(DEA)" TargetMode="External"/><Relationship Id="rId5" Type="http://schemas.openxmlformats.org/officeDocument/2006/relationships/hyperlink" Target="https://www.europarl.europa.eu/doceo/document/TA-9-2024-0316_FR.pdf" TargetMode="External"/><Relationship Id="rId4" Type="http://schemas.openxmlformats.org/officeDocument/2006/relationships/hyperlink" Target="https://eur-lex.europa.eu/legal-content/FR/TXT/PDF/?uri=PI_COM:C(2024)16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03B33-FFB5-4E22-9793-5B1AEDEE3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1230</Words>
  <Characters>7015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8229</CharactersWithSpaces>
  <SharedDoc>false</SharedDoc>
  <HLinks>
    <vt:vector size="150" baseType="variant">
      <vt:variant>
        <vt:i4>393331</vt:i4>
      </vt:variant>
      <vt:variant>
        <vt:i4>72</vt:i4>
      </vt:variant>
      <vt:variant>
        <vt:i4>0</vt:i4>
      </vt:variant>
      <vt:variant>
        <vt:i4>5</vt:i4>
      </vt:variant>
      <vt:variant>
        <vt:lpwstr>http://data.europa.eu/eli/reg_impl/2021/403/oj</vt:lpwstr>
      </vt:variant>
      <vt:variant>
        <vt:lpwstr/>
      </vt:variant>
      <vt:variant>
        <vt:i4>1769524</vt:i4>
      </vt:variant>
      <vt:variant>
        <vt:i4>69</vt:i4>
      </vt:variant>
      <vt:variant>
        <vt:i4>0</vt:i4>
      </vt:variant>
      <vt:variant>
        <vt:i4>5</vt:i4>
      </vt:variant>
      <vt:variant>
        <vt:lpwstr>http://data.europa.eu/eli/reg_impl/2020/2235/oj</vt:lpwstr>
      </vt:variant>
      <vt:variant>
        <vt:lpwstr/>
      </vt:variant>
      <vt:variant>
        <vt:i4>6553711</vt:i4>
      </vt:variant>
      <vt:variant>
        <vt:i4>66</vt:i4>
      </vt:variant>
      <vt:variant>
        <vt:i4>0</vt:i4>
      </vt:variant>
      <vt:variant>
        <vt:i4>5</vt:i4>
      </vt:variant>
      <vt:variant>
        <vt:lpwstr>https://www.eu-parc.eu/</vt:lpwstr>
      </vt:variant>
      <vt:variant>
        <vt:lpwstr/>
      </vt:variant>
      <vt:variant>
        <vt:i4>3145757</vt:i4>
      </vt:variant>
      <vt:variant>
        <vt:i4>63</vt:i4>
      </vt:variant>
      <vt:variant>
        <vt:i4>0</vt:i4>
      </vt:variant>
      <vt:variant>
        <vt:i4>5</vt:i4>
      </vt:variant>
      <vt:variant>
        <vt:lpwstr>https://food.ec.europa.eu/document/download/c98a296f-5589-4efe-9112-e0389b59058d_en?filename=ah_vet-med_imp-reg-2019-06_ema-advice_art-115-5.pdf</vt:lpwstr>
      </vt:variant>
      <vt:variant>
        <vt:lpwstr/>
      </vt:variant>
      <vt:variant>
        <vt:i4>8126516</vt:i4>
      </vt:variant>
      <vt:variant>
        <vt:i4>60</vt:i4>
      </vt:variant>
      <vt:variant>
        <vt:i4>0</vt:i4>
      </vt:variant>
      <vt:variant>
        <vt:i4>5</vt:i4>
      </vt:variant>
      <vt:variant>
        <vt:lpwstr>https://ec.europa.eu/food/audits-analysis/audit-report/details/4250</vt:lpwstr>
      </vt:variant>
      <vt:variant>
        <vt:lpwstr/>
      </vt:variant>
      <vt:variant>
        <vt:i4>8060981</vt:i4>
      </vt:variant>
      <vt:variant>
        <vt:i4>57</vt:i4>
      </vt:variant>
      <vt:variant>
        <vt:i4>0</vt:i4>
      </vt:variant>
      <vt:variant>
        <vt:i4>5</vt:i4>
      </vt:variant>
      <vt:variant>
        <vt:lpwstr>https://ec.europa.eu/food/audits-analysis/audit-report/details/4326</vt:lpwstr>
      </vt:variant>
      <vt:variant>
        <vt:lpwstr/>
      </vt:variant>
      <vt:variant>
        <vt:i4>8257584</vt:i4>
      </vt:variant>
      <vt:variant>
        <vt:i4>54</vt:i4>
      </vt:variant>
      <vt:variant>
        <vt:i4>0</vt:i4>
      </vt:variant>
      <vt:variant>
        <vt:i4>5</vt:i4>
      </vt:variant>
      <vt:variant>
        <vt:lpwstr>https://ec.europa.eu/food/audits-analysis/audit-report/details/4673</vt:lpwstr>
      </vt:variant>
      <vt:variant>
        <vt:lpwstr/>
      </vt:variant>
      <vt:variant>
        <vt:i4>8192055</vt:i4>
      </vt:variant>
      <vt:variant>
        <vt:i4>51</vt:i4>
      </vt:variant>
      <vt:variant>
        <vt:i4>0</vt:i4>
      </vt:variant>
      <vt:variant>
        <vt:i4>5</vt:i4>
      </vt:variant>
      <vt:variant>
        <vt:lpwstr>https://ec.europa.eu/food/audits-analysis/audit-report/details/4141</vt:lpwstr>
      </vt:variant>
      <vt:variant>
        <vt:lpwstr/>
      </vt:variant>
      <vt:variant>
        <vt:i4>7864372</vt:i4>
      </vt:variant>
      <vt:variant>
        <vt:i4>48</vt:i4>
      </vt:variant>
      <vt:variant>
        <vt:i4>0</vt:i4>
      </vt:variant>
      <vt:variant>
        <vt:i4>5</vt:i4>
      </vt:variant>
      <vt:variant>
        <vt:lpwstr>https://ec.europa.eu/food/audits-analysis/audit-report/details/4210</vt:lpwstr>
      </vt:variant>
      <vt:variant>
        <vt:lpwstr/>
      </vt:variant>
      <vt:variant>
        <vt:i4>8257584</vt:i4>
      </vt:variant>
      <vt:variant>
        <vt:i4>45</vt:i4>
      </vt:variant>
      <vt:variant>
        <vt:i4>0</vt:i4>
      </vt:variant>
      <vt:variant>
        <vt:i4>5</vt:i4>
      </vt:variant>
      <vt:variant>
        <vt:lpwstr>https://ec.europa.eu/food/audits-analysis/audit-report/details/4677</vt:lpwstr>
      </vt:variant>
      <vt:variant>
        <vt:lpwstr/>
      </vt:variant>
      <vt:variant>
        <vt:i4>7340086</vt:i4>
      </vt:variant>
      <vt:variant>
        <vt:i4>42</vt:i4>
      </vt:variant>
      <vt:variant>
        <vt:i4>0</vt:i4>
      </vt:variant>
      <vt:variant>
        <vt:i4>5</vt:i4>
      </vt:variant>
      <vt:variant>
        <vt:lpwstr>https://ec.europa.eu/food/audits-analysis/audit-report/details/4094</vt:lpwstr>
      </vt:variant>
      <vt:variant>
        <vt:lpwstr/>
      </vt:variant>
      <vt:variant>
        <vt:i4>196659</vt:i4>
      </vt:variant>
      <vt:variant>
        <vt:i4>39</vt:i4>
      </vt:variant>
      <vt:variant>
        <vt:i4>0</vt:i4>
      </vt:variant>
      <vt:variant>
        <vt:i4>5</vt:i4>
      </vt:variant>
      <vt:variant>
        <vt:lpwstr>https://www.ema.europa.eu/en/news?f%5B0%5D=ema_news_responsible_body%3A100006</vt:lpwstr>
      </vt:variant>
      <vt:variant>
        <vt:lpwstr/>
      </vt:variant>
      <vt:variant>
        <vt:i4>393333</vt:i4>
      </vt:variant>
      <vt:variant>
        <vt:i4>36</vt:i4>
      </vt:variant>
      <vt:variant>
        <vt:i4>0</vt:i4>
      </vt:variant>
      <vt:variant>
        <vt:i4>5</vt:i4>
      </vt:variant>
      <vt:variant>
        <vt:lpwstr>http://data.europa.eu/eli/reg_impl/2021/405/oj</vt:lpwstr>
      </vt:variant>
      <vt:variant>
        <vt:lpwstr/>
      </vt:variant>
      <vt:variant>
        <vt:i4>393332</vt:i4>
      </vt:variant>
      <vt:variant>
        <vt:i4>33</vt:i4>
      </vt:variant>
      <vt:variant>
        <vt:i4>0</vt:i4>
      </vt:variant>
      <vt:variant>
        <vt:i4>5</vt:i4>
      </vt:variant>
      <vt:variant>
        <vt:lpwstr>http://data.europa.eu/eli/reg_impl/2021/404/oj</vt:lpwstr>
      </vt:variant>
      <vt:variant>
        <vt:lpwstr/>
      </vt:variant>
      <vt:variant>
        <vt:i4>5963876</vt:i4>
      </vt:variant>
      <vt:variant>
        <vt:i4>30</vt:i4>
      </vt:variant>
      <vt:variant>
        <vt:i4>0</vt:i4>
      </vt:variant>
      <vt:variant>
        <vt:i4>5</vt:i4>
      </vt:variant>
      <vt:variant>
        <vt:lpwstr>http://data.europa.eu/eli/reg_del/2022/2292/oj</vt:lpwstr>
      </vt:variant>
      <vt:variant>
        <vt:lpwstr/>
      </vt:variant>
      <vt:variant>
        <vt:i4>4784153</vt:i4>
      </vt:variant>
      <vt:variant>
        <vt:i4>27</vt:i4>
      </vt:variant>
      <vt:variant>
        <vt:i4>0</vt:i4>
      </vt:variant>
      <vt:variant>
        <vt:i4>5</vt:i4>
      </vt:variant>
      <vt:variant>
        <vt:lpwstr>http://data.europa.eu/eli/reg/2002/178/oj</vt:lpwstr>
      </vt:variant>
      <vt:variant>
        <vt:lpwstr/>
      </vt:variant>
      <vt:variant>
        <vt:i4>5898338</vt:i4>
      </vt:variant>
      <vt:variant>
        <vt:i4>24</vt:i4>
      </vt:variant>
      <vt:variant>
        <vt:i4>0</vt:i4>
      </vt:variant>
      <vt:variant>
        <vt:i4>5</vt:i4>
      </vt:variant>
      <vt:variant>
        <vt:lpwstr>http://data.europa.eu/eli/reg_del/2019/2035/oj</vt:lpwstr>
      </vt:variant>
      <vt:variant>
        <vt:lpwstr/>
      </vt:variant>
      <vt:variant>
        <vt:i4>8060947</vt:i4>
      </vt:variant>
      <vt:variant>
        <vt:i4>21</vt:i4>
      </vt:variant>
      <vt:variant>
        <vt:i4>0</vt:i4>
      </vt:variant>
      <vt:variant>
        <vt:i4>5</vt:i4>
      </vt:variant>
      <vt:variant>
        <vt:lpwstr>http://data.europa.eu/eli/reg_del/2021/577/oj</vt:lpwstr>
      </vt:variant>
      <vt:variant>
        <vt:lpwstr/>
      </vt:variant>
      <vt:variant>
        <vt:i4>5898338</vt:i4>
      </vt:variant>
      <vt:variant>
        <vt:i4>18</vt:i4>
      </vt:variant>
      <vt:variant>
        <vt:i4>0</vt:i4>
      </vt:variant>
      <vt:variant>
        <vt:i4>5</vt:i4>
      </vt:variant>
      <vt:variant>
        <vt:lpwstr>http://data.europa.eu/eli/reg_del/2019/2035/oj</vt:lpwstr>
      </vt:variant>
      <vt:variant>
        <vt:lpwstr/>
      </vt:variant>
      <vt:variant>
        <vt:i4>4784157</vt:i4>
      </vt:variant>
      <vt:variant>
        <vt:i4>15</vt:i4>
      </vt:variant>
      <vt:variant>
        <vt:i4>0</vt:i4>
      </vt:variant>
      <vt:variant>
        <vt:i4>5</vt:i4>
      </vt:variant>
      <vt:variant>
        <vt:lpwstr>http://data.europa.eu/eli/reg/2016/429/oj</vt:lpwstr>
      </vt:variant>
      <vt:variant>
        <vt:lpwstr/>
      </vt:variant>
      <vt:variant>
        <vt:i4>196720</vt:i4>
      </vt:variant>
      <vt:variant>
        <vt:i4>12</vt:i4>
      </vt:variant>
      <vt:variant>
        <vt:i4>0</vt:i4>
      </vt:variant>
      <vt:variant>
        <vt:i4>5</vt:i4>
      </vt:variant>
      <vt:variant>
        <vt:lpwstr>http://data.europa.eu/eli/reg_impl/2015/262/oj</vt:lpwstr>
      </vt:variant>
      <vt:variant>
        <vt:lpwstr/>
      </vt:variant>
      <vt:variant>
        <vt:i4>6946919</vt:i4>
      </vt:variant>
      <vt:variant>
        <vt:i4>9</vt:i4>
      </vt:variant>
      <vt:variant>
        <vt:i4>0</vt:i4>
      </vt:variant>
      <vt:variant>
        <vt:i4>5</vt:i4>
      </vt:variant>
      <vt:variant>
        <vt:lpwstr>http://data.europa.eu/eli/reg/2006/1950/oj</vt:lpwstr>
      </vt:variant>
      <vt:variant>
        <vt:lpwstr/>
      </vt:variant>
      <vt:variant>
        <vt:i4>5177369</vt:i4>
      </vt:variant>
      <vt:variant>
        <vt:i4>6</vt:i4>
      </vt:variant>
      <vt:variant>
        <vt:i4>0</vt:i4>
      </vt:variant>
      <vt:variant>
        <vt:i4>5</vt:i4>
      </vt:variant>
      <vt:variant>
        <vt:lpwstr>http://data.europa.eu/eli/reg/2009/470/oj</vt:lpwstr>
      </vt:variant>
      <vt:variant>
        <vt:lpwstr/>
      </vt:variant>
      <vt:variant>
        <vt:i4>5832789</vt:i4>
      </vt:variant>
      <vt:variant>
        <vt:i4>3</vt:i4>
      </vt:variant>
      <vt:variant>
        <vt:i4>0</vt:i4>
      </vt:variant>
      <vt:variant>
        <vt:i4>5</vt:i4>
      </vt:variant>
      <vt:variant>
        <vt:lpwstr>http://data.europa.eu/eli/dir/1996/22/oj</vt:lpwstr>
      </vt:variant>
      <vt:variant>
        <vt:lpwstr/>
      </vt:variant>
      <vt:variant>
        <vt:i4>126</vt:i4>
      </vt:variant>
      <vt:variant>
        <vt:i4>0</vt:i4>
      </vt:variant>
      <vt:variant>
        <vt:i4>0</vt:i4>
      </vt:variant>
      <vt:variant>
        <vt:i4>5</vt:i4>
      </vt:variant>
      <vt:variant>
        <vt:lpwstr>http://data.europa.eu/eli/reg_impl/2021/963/oj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2026-01-23T17:28:00Z</dcterms:created>
  <dcterms:modified xsi:type="dcterms:W3CDTF">2026-01-28T15:22:00Z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8.1, Build 20220902</vt:lpwstr>
  </property>
  <property fmtid="{D5CDD505-2E9C-101B-9397-08002B2CF9AE}" pid="9" name="MSIP_Label_6bd9ddd1-4d20-43f6-abfa-fc3c07406f94_Enabled">
    <vt:lpwstr>true</vt:lpwstr>
  </property>
  <property fmtid="{D5CDD505-2E9C-101B-9397-08002B2CF9AE}" pid="10" name="MSIP_Label_6bd9ddd1-4d20-43f6-abfa-fc3c07406f94_SetDate">
    <vt:lpwstr>2024-08-20T11:03:04Z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d682de00-63cb-42f2-8a3f-4664e8e2f9dd</vt:lpwstr>
  </property>
  <property fmtid="{D5CDD505-2E9C-101B-9397-08002B2CF9AE}" pid="15" name="MSIP_Label_6bd9ddd1-4d20-43f6-abfa-fc3c07406f94_ContentBits">
    <vt:lpwstr>0</vt:lpwstr>
  </property>
</Properties>
</file>