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08E4EE" w14:textId="105CA6C3" w:rsidR="00237E99" w:rsidRDefault="00F153FD" w:rsidP="00F153FD">
      <w:pPr>
        <w:pStyle w:val="Pagedecouverture"/>
        <w:rPr>
          <w:noProof/>
        </w:rPr>
      </w:pPr>
      <w:bookmarkStart w:id="0" w:name="_Hlk196397814"/>
      <w:bookmarkStart w:id="1" w:name="LW_BM_COVERPAGE"/>
      <w:r>
        <w:rPr>
          <w:noProof/>
        </w:rPr>
        <w:pict w14:anchorId="2B43C7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5848FC5-F431-4485-B383-D7F4FD0B07D3" style="width:455.25pt;height:300pt">
            <v:imagedata r:id="rId8" o:title=""/>
          </v:shape>
        </w:pict>
      </w:r>
    </w:p>
    <w:bookmarkEnd w:id="1"/>
    <w:p w14:paraId="4D52DFB0" w14:textId="6348EE29" w:rsidR="00364AF2" w:rsidRPr="00364AF2" w:rsidRDefault="00364AF2" w:rsidP="00364AF2">
      <w:pPr>
        <w:pStyle w:val="Pagedecouverture"/>
        <w:rPr>
          <w:noProof/>
          <w:lang w:val="en-GB"/>
        </w:rPr>
        <w:sectPr w:rsidR="00364AF2" w:rsidRPr="00364AF2" w:rsidSect="00F153FD">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4F9FF421" w14:textId="466575AC" w:rsidR="001F2552" w:rsidRPr="001F2552" w:rsidRDefault="001F2552" w:rsidP="001F2552">
      <w:pPr>
        <w:pStyle w:val="Typedudocument"/>
        <w:rPr>
          <w:noProof/>
        </w:rPr>
      </w:pPr>
      <w:bookmarkStart w:id="2" w:name="_GoBack"/>
      <w:bookmarkEnd w:id="2"/>
      <w:r w:rsidRPr="001F2552">
        <w:rPr>
          <w:noProof/>
        </w:rPr>
        <w:lastRenderedPageBreak/>
        <w:t>RAPORT AL COMISIEI CĂTRE PARLAMENTUL EUROPEAN ȘI CONSILIU</w:t>
      </w:r>
    </w:p>
    <w:p w14:paraId="32A4858F" w14:textId="4335DCDB" w:rsidR="001F2552" w:rsidRPr="001F2552" w:rsidRDefault="001F2552" w:rsidP="001F2552">
      <w:pPr>
        <w:pStyle w:val="Titreobjet"/>
        <w:rPr>
          <w:noProof/>
        </w:rPr>
      </w:pPr>
      <w:r w:rsidRPr="001F2552">
        <w:rPr>
          <w:noProof/>
        </w:rPr>
        <w:t>privind exercitarea delegării conferite Comisiei în temeiul</w:t>
      </w:r>
      <w:r w:rsidRPr="001F2552">
        <w:rPr>
          <w:noProof/>
        </w:rPr>
        <w:br/>
        <w:t xml:space="preserve">articolului 31 din Regulamentul (UE) 2015/2283 privind alimentele noi </w:t>
      </w:r>
      <w:r w:rsidRPr="001F2552">
        <w:rPr>
          <w:noProof/>
        </w:rPr>
        <w:br/>
      </w:r>
    </w:p>
    <w:p w14:paraId="01305BF2" w14:textId="12827A8F" w:rsidR="004B11CE" w:rsidRPr="00AB675C" w:rsidRDefault="004B11CE" w:rsidP="00AB675C">
      <w:pPr>
        <w:rPr>
          <w:i/>
          <w:iCs/>
          <w:noProof/>
        </w:rPr>
      </w:pPr>
      <w:r>
        <w:rPr>
          <w:i/>
          <w:noProof/>
        </w:rPr>
        <w:t xml:space="preserve"> </w:t>
      </w:r>
    </w:p>
    <w:p w14:paraId="7B98FF8F" w14:textId="1A7FB2B3" w:rsidR="00A67A8F" w:rsidRPr="009B05C4" w:rsidRDefault="00A67A8F" w:rsidP="009B05C4">
      <w:pPr>
        <w:pStyle w:val="Heading1"/>
        <w:numPr>
          <w:ilvl w:val="0"/>
          <w:numId w:val="1"/>
        </w:numPr>
        <w:spacing w:before="0" w:after="240" w:line="240" w:lineRule="auto"/>
        <w:ind w:left="567" w:hanging="567"/>
        <w:jc w:val="both"/>
        <w:rPr>
          <w:rFonts w:ascii="Times New Roman" w:hAnsi="Times New Roman" w:cs="Times New Roman"/>
          <w:b/>
          <w:bCs/>
          <w:smallCaps/>
          <w:noProof/>
          <w:color w:val="auto"/>
          <w:sz w:val="24"/>
          <w:szCs w:val="24"/>
        </w:rPr>
      </w:pPr>
      <w:r>
        <w:rPr>
          <w:rFonts w:ascii="Times New Roman" w:hAnsi="Times New Roman"/>
          <w:b/>
          <w:smallCaps/>
          <w:noProof/>
          <w:color w:val="auto"/>
          <w:sz w:val="24"/>
        </w:rPr>
        <w:t>Introducere</w:t>
      </w:r>
    </w:p>
    <w:p w14:paraId="379114C0" w14:textId="507FABF9" w:rsidR="00A67A8F" w:rsidRPr="00A67A8F" w:rsidRDefault="00A67A8F" w:rsidP="00A67A8F">
      <w:pPr>
        <w:jc w:val="both"/>
        <w:rPr>
          <w:rFonts w:ascii="Times New Roman" w:hAnsi="Times New Roman" w:cs="Times New Roman"/>
          <w:noProof/>
          <w:sz w:val="24"/>
          <w:szCs w:val="24"/>
        </w:rPr>
      </w:pPr>
      <w:r>
        <w:rPr>
          <w:rFonts w:ascii="Times New Roman" w:hAnsi="Times New Roman"/>
          <w:noProof/>
          <w:sz w:val="24"/>
        </w:rPr>
        <w:t>Prezentul raport îndeplinește obligația care îi revine Comisiei în temeiul articolului 32 alineatul (3) din Regulamentul (UE) 2015/2283 al Parlamentului European și al Consiliului din 25 noiembrie 2015 privind alimentele noi</w:t>
      </w:r>
      <w:r>
        <w:rPr>
          <w:rStyle w:val="FootnoteReference"/>
          <w:rFonts w:ascii="Times New Roman" w:hAnsi="Times New Roman" w:cs="Times New Roman"/>
          <w:noProof/>
          <w:sz w:val="24"/>
          <w:szCs w:val="24"/>
          <w:lang w:val="en-IE"/>
        </w:rPr>
        <w:footnoteReference w:id="2"/>
      </w:r>
      <w:r>
        <w:rPr>
          <w:rFonts w:ascii="Times New Roman" w:hAnsi="Times New Roman"/>
          <w:noProof/>
          <w:sz w:val="24"/>
        </w:rPr>
        <w:t xml:space="preserve"> (denumit în continuare „Regulamentul privind alimentele noi”). Regulamentul privind alimentele noi stabilește principiile generale, cerințele și responsabilitățile care reglementează autorizarea alimentelor noi pe piața Uniunii, asigurând funcționarea eficace a pieței interne și oferind, în același timp, un nivel ridicat de protecție a sănătății umane și a intereselor consumatorilor.</w:t>
      </w:r>
    </w:p>
    <w:p w14:paraId="53D5D0B5" w14:textId="77777777" w:rsidR="00A67A8F" w:rsidRPr="00A67A8F" w:rsidRDefault="00A67A8F" w:rsidP="0026727B">
      <w:pPr>
        <w:spacing w:after="240"/>
        <w:jc w:val="both"/>
        <w:rPr>
          <w:rFonts w:ascii="Times New Roman" w:hAnsi="Times New Roman" w:cs="Times New Roman"/>
          <w:noProof/>
          <w:sz w:val="24"/>
          <w:szCs w:val="24"/>
        </w:rPr>
      </w:pPr>
      <w:r>
        <w:rPr>
          <w:rFonts w:ascii="Times New Roman" w:hAnsi="Times New Roman"/>
          <w:noProof/>
          <w:sz w:val="24"/>
        </w:rPr>
        <w:t>Articolul 31 din Regulamentul privind alimentele noi împuternicește Comisia să adopte acte delegate pentru a ajusta și a adapta definiția nanomaterialelor fabricate menționată la articolul 3 alineatul (2) litera (f) în funcție de progresele tehnice și științifice sau de definițiile convenite la nivel internațional.</w:t>
      </w:r>
    </w:p>
    <w:p w14:paraId="4CB48A1E" w14:textId="59F7D9B4" w:rsidR="00A67A8F" w:rsidRPr="009B05C4" w:rsidRDefault="00A67A8F" w:rsidP="009B05C4">
      <w:pPr>
        <w:pStyle w:val="Heading1"/>
        <w:numPr>
          <w:ilvl w:val="0"/>
          <w:numId w:val="1"/>
        </w:numPr>
        <w:spacing w:before="0" w:after="240" w:line="240" w:lineRule="auto"/>
        <w:ind w:left="567" w:hanging="567"/>
        <w:jc w:val="both"/>
        <w:rPr>
          <w:rFonts w:ascii="Times New Roman" w:hAnsi="Times New Roman" w:cs="Times New Roman"/>
          <w:b/>
          <w:bCs/>
          <w:smallCaps/>
          <w:noProof/>
          <w:color w:val="auto"/>
          <w:sz w:val="24"/>
          <w:szCs w:val="24"/>
        </w:rPr>
      </w:pPr>
      <w:r>
        <w:rPr>
          <w:rFonts w:ascii="Times New Roman" w:hAnsi="Times New Roman"/>
          <w:b/>
          <w:smallCaps/>
          <w:noProof/>
          <w:color w:val="auto"/>
          <w:sz w:val="24"/>
        </w:rPr>
        <w:t>Temeiul juridic</w:t>
      </w:r>
    </w:p>
    <w:p w14:paraId="45237CFC" w14:textId="133CF685" w:rsidR="00A67A8F" w:rsidRPr="00A67A8F" w:rsidRDefault="00234226" w:rsidP="0026727B">
      <w:pPr>
        <w:spacing w:after="240"/>
        <w:jc w:val="both"/>
        <w:rPr>
          <w:rFonts w:ascii="Times New Roman" w:hAnsi="Times New Roman" w:cs="Times New Roman"/>
          <w:noProof/>
          <w:sz w:val="24"/>
          <w:szCs w:val="24"/>
        </w:rPr>
      </w:pPr>
      <w:r>
        <w:rPr>
          <w:rFonts w:ascii="Times New Roman" w:hAnsi="Times New Roman"/>
          <w:noProof/>
          <w:sz w:val="24"/>
        </w:rPr>
        <w:t xml:space="preserve">În conformitate cu articolul 32 alineatul (3) din Regulamentul privind alimentele noi, competența de a adopta acte delegate în temeiul articolului 31 fost conferită Comisiei pentru o perioadă inițială de 5 ani de la 31 decembrie 2015. Comisia a primit sarcina de a prezenta un raport privind exercitarea delegării de competențe conferite prin Regulamentul privind alimentele noi cel târziu cu 9 luni înainte de încheierea perioadei de cinci ani. Delegarea de competențe urma să se prelungească tacit cu perioade de cinci ani, cu excepția cazului în care Parlamentul European sau Consiliul se opune prelungirii respective cel târziu cu trei luni înainte de încheierea fiecărei perioade. </w:t>
      </w:r>
    </w:p>
    <w:p w14:paraId="7D7EB273" w14:textId="63ACC840" w:rsidR="00A67A8F" w:rsidRPr="009B05C4" w:rsidRDefault="00A67A8F" w:rsidP="009B05C4">
      <w:pPr>
        <w:pStyle w:val="Heading1"/>
        <w:numPr>
          <w:ilvl w:val="0"/>
          <w:numId w:val="1"/>
        </w:numPr>
        <w:spacing w:before="0" w:after="240" w:line="240" w:lineRule="auto"/>
        <w:ind w:left="567" w:hanging="567"/>
        <w:jc w:val="both"/>
        <w:rPr>
          <w:rFonts w:ascii="Times New Roman" w:hAnsi="Times New Roman" w:cs="Times New Roman"/>
          <w:b/>
          <w:bCs/>
          <w:smallCaps/>
          <w:noProof/>
          <w:color w:val="auto"/>
          <w:sz w:val="24"/>
          <w:szCs w:val="24"/>
        </w:rPr>
      </w:pPr>
      <w:r>
        <w:rPr>
          <w:rFonts w:ascii="Times New Roman" w:hAnsi="Times New Roman"/>
          <w:b/>
          <w:smallCaps/>
          <w:noProof/>
          <w:color w:val="auto"/>
          <w:sz w:val="24"/>
        </w:rPr>
        <w:t>Exercitarea delegării de competențe</w:t>
      </w:r>
    </w:p>
    <w:p w14:paraId="0090DCFE" w14:textId="287C0438" w:rsidR="00A67A8F" w:rsidRPr="00A67A8F" w:rsidRDefault="00A67A8F" w:rsidP="00A67A8F">
      <w:pPr>
        <w:jc w:val="both"/>
        <w:rPr>
          <w:rFonts w:ascii="Times New Roman" w:hAnsi="Times New Roman" w:cs="Times New Roman"/>
          <w:noProof/>
          <w:sz w:val="24"/>
          <w:szCs w:val="24"/>
        </w:rPr>
      </w:pPr>
      <w:r>
        <w:rPr>
          <w:rFonts w:ascii="Times New Roman" w:hAnsi="Times New Roman"/>
          <w:noProof/>
          <w:sz w:val="24"/>
        </w:rPr>
        <w:t xml:space="preserve">În exercitarea delegării de competențe conferite prin articolul 31 din Regulamentul privind alimentele noi, Comisia a luat măsuri pentru a adopta un act delegat în scopul ajustării și adaptării definiției nanomaterialelor fabricate. </w:t>
      </w:r>
    </w:p>
    <w:p w14:paraId="507AAF73" w14:textId="77777777" w:rsidR="00A67A8F" w:rsidRPr="00A67A8F" w:rsidRDefault="00A67A8F" w:rsidP="00A67A8F">
      <w:pPr>
        <w:jc w:val="both"/>
        <w:rPr>
          <w:rFonts w:ascii="Times New Roman" w:hAnsi="Times New Roman" w:cs="Times New Roman"/>
          <w:noProof/>
          <w:sz w:val="24"/>
          <w:szCs w:val="24"/>
        </w:rPr>
      </w:pPr>
      <w:r>
        <w:rPr>
          <w:rFonts w:ascii="Times New Roman" w:hAnsi="Times New Roman"/>
          <w:noProof/>
          <w:sz w:val="24"/>
        </w:rPr>
        <w:t xml:space="preserve">Articolul 3 alineatul (2) litera (f) din Regulamentul privind alimentele noi definește „nanomaterialele fabricate” ca fiind </w:t>
      </w:r>
    </w:p>
    <w:p w14:paraId="0DA9AAF2" w14:textId="77777777" w:rsidR="00A67A8F" w:rsidRPr="00A67A8F" w:rsidRDefault="00A67A8F" w:rsidP="00A67A8F">
      <w:pPr>
        <w:ind w:left="708"/>
        <w:jc w:val="both"/>
        <w:rPr>
          <w:rFonts w:ascii="Times New Roman" w:hAnsi="Times New Roman" w:cs="Times New Roman"/>
          <w:i/>
          <w:iCs/>
          <w:noProof/>
          <w:sz w:val="24"/>
          <w:szCs w:val="24"/>
        </w:rPr>
      </w:pPr>
      <w:r>
        <w:rPr>
          <w:rFonts w:ascii="Times New Roman" w:hAnsi="Times New Roman"/>
          <w:noProof/>
          <w:sz w:val="24"/>
        </w:rPr>
        <w:t>„</w:t>
      </w:r>
      <w:r>
        <w:rPr>
          <w:rFonts w:ascii="Times New Roman" w:hAnsi="Times New Roman"/>
          <w:i/>
          <w:noProof/>
          <w:sz w:val="24"/>
        </w:rPr>
        <w:t>orice material produs în mod intenționat care conține una sau mai multe dimensiuni de ordinul a 100 nm sau mai puțin sau care este alcătuit din părți funcționale distincte, în interior sau la suprafață, dintre care multe au una sau mai multe dimensiuni de ordinul a 100 nm sau mai puțin, inclusiv structurile, aglomeratele sau agregatele, care pot avea o dimensiune mai mare de 100 nm, dar posedă proprietăți caracteristice scării nanometrice.</w:t>
      </w:r>
    </w:p>
    <w:p w14:paraId="410FAE87" w14:textId="77777777" w:rsidR="00A67A8F" w:rsidRPr="00A67A8F" w:rsidRDefault="00A67A8F" w:rsidP="00A67A8F">
      <w:pPr>
        <w:ind w:left="708"/>
        <w:jc w:val="both"/>
        <w:rPr>
          <w:rFonts w:ascii="Times New Roman" w:hAnsi="Times New Roman" w:cs="Times New Roman"/>
          <w:i/>
          <w:iCs/>
          <w:noProof/>
          <w:sz w:val="24"/>
          <w:szCs w:val="24"/>
        </w:rPr>
      </w:pPr>
      <w:r>
        <w:rPr>
          <w:rFonts w:ascii="Times New Roman" w:hAnsi="Times New Roman"/>
          <w:i/>
          <w:noProof/>
          <w:sz w:val="24"/>
        </w:rPr>
        <w:t>Proprietățile care sunt caracteristice scării nanometrice includ:</w:t>
      </w:r>
    </w:p>
    <w:p w14:paraId="11A735C1" w14:textId="77777777" w:rsidR="00A67A8F" w:rsidRPr="00A67A8F" w:rsidRDefault="00A67A8F" w:rsidP="00A67A8F">
      <w:pPr>
        <w:ind w:left="708"/>
        <w:jc w:val="both"/>
        <w:rPr>
          <w:rFonts w:ascii="Times New Roman" w:hAnsi="Times New Roman" w:cs="Times New Roman"/>
          <w:i/>
          <w:iCs/>
          <w:noProof/>
          <w:sz w:val="24"/>
          <w:szCs w:val="24"/>
        </w:rPr>
      </w:pPr>
      <w:r>
        <w:rPr>
          <w:rFonts w:ascii="Times New Roman" w:hAnsi="Times New Roman"/>
          <w:i/>
          <w:noProof/>
          <w:sz w:val="24"/>
        </w:rPr>
        <w:t>(i) proprietăți legate de suprafața specifică mare a materialelor luate în considerare; și/sau</w:t>
      </w:r>
    </w:p>
    <w:p w14:paraId="56C5F63E" w14:textId="77777777" w:rsidR="00A67A8F" w:rsidRPr="00A67A8F" w:rsidRDefault="00A67A8F" w:rsidP="00A67A8F">
      <w:pPr>
        <w:ind w:left="708"/>
        <w:jc w:val="both"/>
        <w:rPr>
          <w:rFonts w:ascii="Times New Roman" w:hAnsi="Times New Roman" w:cs="Times New Roman"/>
          <w:noProof/>
          <w:sz w:val="24"/>
          <w:szCs w:val="24"/>
        </w:rPr>
      </w:pPr>
      <w:r>
        <w:rPr>
          <w:rFonts w:ascii="Times New Roman" w:hAnsi="Times New Roman"/>
          <w:i/>
          <w:noProof/>
          <w:sz w:val="24"/>
        </w:rPr>
        <w:t>(ii) proprietăți fizico-chimice specifice care diferă de cele ale aceluiași material sub altă formă decât cea nanometrică</w:t>
      </w:r>
      <w:r>
        <w:rPr>
          <w:rFonts w:ascii="Times New Roman" w:hAnsi="Times New Roman"/>
          <w:noProof/>
          <w:sz w:val="24"/>
        </w:rPr>
        <w:t>.”</w:t>
      </w:r>
    </w:p>
    <w:p w14:paraId="03848D28" w14:textId="77777777" w:rsidR="00A67A8F" w:rsidRPr="00A67A8F" w:rsidRDefault="00A67A8F" w:rsidP="00A67A8F">
      <w:pPr>
        <w:jc w:val="both"/>
        <w:rPr>
          <w:rFonts w:ascii="Times New Roman" w:hAnsi="Times New Roman" w:cs="Times New Roman"/>
          <w:noProof/>
          <w:sz w:val="24"/>
          <w:szCs w:val="24"/>
        </w:rPr>
      </w:pPr>
      <w:r>
        <w:rPr>
          <w:rFonts w:ascii="Times New Roman" w:hAnsi="Times New Roman"/>
          <w:noProof/>
          <w:sz w:val="24"/>
        </w:rPr>
        <w:t>Această definiție s-a bazat pe o recomandare a Comisiei din 18 octombrie 2011</w:t>
      </w:r>
      <w:r>
        <w:rPr>
          <w:rStyle w:val="FootnoteReference"/>
          <w:rFonts w:ascii="Times New Roman" w:hAnsi="Times New Roman" w:cs="Times New Roman"/>
          <w:noProof/>
          <w:sz w:val="24"/>
          <w:szCs w:val="24"/>
          <w:lang w:val="en-IE"/>
        </w:rPr>
        <w:footnoteReference w:id="3"/>
      </w:r>
      <w:r>
        <w:rPr>
          <w:rFonts w:ascii="Times New Roman" w:hAnsi="Times New Roman"/>
          <w:noProof/>
          <w:sz w:val="24"/>
        </w:rPr>
        <w:t xml:space="preserve"> care a introdus o definiție a nanomaterialelor. </w:t>
      </w:r>
    </w:p>
    <w:p w14:paraId="091C2127" w14:textId="1F639318" w:rsidR="00A67A8F" w:rsidRPr="00A67A8F" w:rsidRDefault="00A67A8F" w:rsidP="00A67A8F">
      <w:pPr>
        <w:jc w:val="both"/>
        <w:rPr>
          <w:rFonts w:ascii="Times New Roman" w:hAnsi="Times New Roman" w:cs="Times New Roman"/>
          <w:noProof/>
          <w:sz w:val="24"/>
          <w:szCs w:val="24"/>
        </w:rPr>
      </w:pPr>
      <w:r>
        <w:rPr>
          <w:rFonts w:ascii="Times New Roman" w:hAnsi="Times New Roman"/>
          <w:noProof/>
          <w:sz w:val="24"/>
        </w:rPr>
        <w:t>Ulterior, la 10 iunie 2022, a fost adoptată o nouă recomandare a Comisiei privind definiția nanomaterialelor (denumită în continuare „recomandarea Comisiei”), pe baza celor mai avansate evoluții tehnice și științifice</w:t>
      </w:r>
      <w:r>
        <w:rPr>
          <w:rStyle w:val="FootnoteReference"/>
          <w:rFonts w:ascii="Times New Roman" w:hAnsi="Times New Roman" w:cs="Times New Roman"/>
          <w:noProof/>
          <w:sz w:val="24"/>
          <w:szCs w:val="24"/>
          <w:lang w:val="en-IE"/>
        </w:rPr>
        <w:footnoteReference w:id="4"/>
      </w:r>
      <w:r>
        <w:rPr>
          <w:rFonts w:ascii="Times New Roman" w:hAnsi="Times New Roman"/>
          <w:noProof/>
          <w:sz w:val="24"/>
        </w:rPr>
        <w:t>. Recomandarea Comisiei a fost rezultatul unei analize aprofundate</w:t>
      </w:r>
      <w:r>
        <w:rPr>
          <w:rStyle w:val="FootnoteReference"/>
          <w:rFonts w:ascii="Times New Roman" w:hAnsi="Times New Roman" w:cs="Times New Roman"/>
          <w:noProof/>
          <w:sz w:val="24"/>
          <w:szCs w:val="24"/>
          <w:lang w:val="en-IE"/>
        </w:rPr>
        <w:footnoteReference w:id="5"/>
      </w:r>
      <w:r>
        <w:rPr>
          <w:rFonts w:ascii="Times New Roman" w:hAnsi="Times New Roman"/>
          <w:noProof/>
          <w:sz w:val="24"/>
        </w:rPr>
        <w:t xml:space="preserve"> și al unei consultări specifice a părților interesate</w:t>
      </w:r>
      <w:r>
        <w:rPr>
          <w:rStyle w:val="FootnoteReference"/>
          <w:rFonts w:ascii="Times New Roman" w:hAnsi="Times New Roman" w:cs="Times New Roman"/>
          <w:noProof/>
          <w:sz w:val="24"/>
          <w:szCs w:val="24"/>
          <w:lang w:val="en-IE"/>
        </w:rPr>
        <w:footnoteReference w:id="6"/>
      </w:r>
      <w:r>
        <w:rPr>
          <w:rFonts w:ascii="Times New Roman" w:hAnsi="Times New Roman"/>
          <w:noProof/>
          <w:sz w:val="24"/>
        </w:rPr>
        <w:t xml:space="preserve"> </w:t>
      </w:r>
      <w:r>
        <w:rPr>
          <w:rStyle w:val="FootnoteReference"/>
          <w:rFonts w:ascii="Times New Roman" w:hAnsi="Times New Roman" w:cs="Times New Roman"/>
          <w:noProof/>
          <w:sz w:val="24"/>
          <w:szCs w:val="24"/>
          <w:lang w:val="en-IE"/>
        </w:rPr>
        <w:footnoteReference w:id="7"/>
      </w:r>
      <w:r>
        <w:rPr>
          <w:rFonts w:ascii="Times New Roman" w:hAnsi="Times New Roman"/>
          <w:noProof/>
          <w:sz w:val="24"/>
        </w:rPr>
        <w:t xml:space="preserve">. </w:t>
      </w:r>
    </w:p>
    <w:p w14:paraId="17308C9E" w14:textId="417EBDCC" w:rsidR="00A67A8F" w:rsidRPr="00A67A8F" w:rsidRDefault="00A67A8F" w:rsidP="00A67A8F">
      <w:pPr>
        <w:jc w:val="both"/>
        <w:rPr>
          <w:rFonts w:ascii="Times New Roman" w:hAnsi="Times New Roman" w:cs="Times New Roman"/>
          <w:noProof/>
          <w:sz w:val="24"/>
          <w:szCs w:val="24"/>
        </w:rPr>
      </w:pPr>
      <w:r>
        <w:rPr>
          <w:rFonts w:ascii="Times New Roman" w:hAnsi="Times New Roman"/>
          <w:noProof/>
          <w:sz w:val="24"/>
        </w:rPr>
        <w:t>Ținând seama de definiția revizuită introdusă prin recomandarea Comisiei și de apelul acesteia de a alinia în consecință legislația existentă, începând din octombrie 2022, un grup de experți al Comisiei</w:t>
      </w:r>
      <w:r>
        <w:rPr>
          <w:rStyle w:val="FootnoteReference"/>
          <w:rFonts w:ascii="Times New Roman" w:hAnsi="Times New Roman" w:cs="Times New Roman"/>
          <w:noProof/>
          <w:sz w:val="24"/>
          <w:szCs w:val="24"/>
          <w:lang w:val="en-IE"/>
        </w:rPr>
        <w:footnoteReference w:id="8"/>
      </w:r>
      <w:r>
        <w:rPr>
          <w:rFonts w:ascii="Times New Roman" w:hAnsi="Times New Roman"/>
          <w:noProof/>
          <w:sz w:val="24"/>
        </w:rPr>
        <w:t xml:space="preserve"> compus din experți naționali a asistat Comisia la pregătirea unui act delegat pentru a ajusta și a adapta definiția nanomaterialelor fabricate la nevoile Regulamentului privind alimentele noi. În cadrul acestei activități a fost luat în considerare documentul de orientare al EFSA intitulat </w:t>
      </w:r>
      <w:r>
        <w:rPr>
          <w:rFonts w:ascii="Times New Roman" w:hAnsi="Times New Roman"/>
          <w:i/>
          <w:noProof/>
          <w:sz w:val="24"/>
        </w:rPr>
        <w:t>Guidance on risk assessment of nanomaterials to be applied in the food and feed chain: human and animal health</w:t>
      </w:r>
      <w:r>
        <w:rPr>
          <w:rFonts w:ascii="Times New Roman" w:hAnsi="Times New Roman"/>
          <w:noProof/>
          <w:sz w:val="24"/>
        </w:rPr>
        <w:t xml:space="preserve"> (Orientări privind evaluarea riscurilor aplicațiilor nanomaterialelor în lanțul alimentar și furajer: sănătatea umană și animală”)</w:t>
      </w:r>
      <w:r>
        <w:rPr>
          <w:rStyle w:val="FootnoteReference"/>
          <w:rFonts w:ascii="Times New Roman" w:hAnsi="Times New Roman" w:cs="Times New Roman"/>
          <w:noProof/>
          <w:sz w:val="24"/>
          <w:szCs w:val="24"/>
          <w:lang w:val="en-IE"/>
        </w:rPr>
        <w:footnoteReference w:id="9"/>
      </w:r>
      <w:r>
        <w:rPr>
          <w:rFonts w:ascii="Times New Roman" w:hAnsi="Times New Roman"/>
          <w:noProof/>
          <w:sz w:val="24"/>
        </w:rPr>
        <w:t>, adoptat la 30 iunie 2021 și publicat la 3 august 2021. De asemenea, a fost esențial să se valorifice experiența părților interesate pentru a se identifica aspectele practice legate de definiția nanomaterialelor fabricate, iar feedbackul acestora a fost solicitat în special în paralel cu consultarea care a avut loc între 30 noiembrie 2023 și 12 ianuarie 2024</w:t>
      </w:r>
      <w:r>
        <w:rPr>
          <w:rStyle w:val="FootnoteReference"/>
          <w:rFonts w:ascii="Times New Roman" w:hAnsi="Times New Roman" w:cs="Times New Roman"/>
          <w:noProof/>
          <w:sz w:val="24"/>
          <w:szCs w:val="24"/>
          <w:lang w:val="en-IE"/>
        </w:rPr>
        <w:footnoteReference w:id="10"/>
      </w:r>
      <w:r>
        <w:rPr>
          <w:rFonts w:ascii="Times New Roman" w:hAnsi="Times New Roman"/>
          <w:noProof/>
          <w:sz w:val="24"/>
        </w:rPr>
        <w:t xml:space="preserve">. </w:t>
      </w:r>
    </w:p>
    <w:p w14:paraId="6BF30821" w14:textId="4E666175" w:rsidR="00D432EB" w:rsidRPr="00A67A8F" w:rsidRDefault="00C06880" w:rsidP="00D432EB">
      <w:pPr>
        <w:jc w:val="both"/>
        <w:rPr>
          <w:rFonts w:ascii="Times New Roman" w:hAnsi="Times New Roman" w:cs="Times New Roman"/>
          <w:noProof/>
          <w:sz w:val="24"/>
          <w:szCs w:val="24"/>
        </w:rPr>
      </w:pPr>
      <w:r>
        <w:rPr>
          <w:rFonts w:ascii="Times New Roman" w:hAnsi="Times New Roman"/>
          <w:noProof/>
          <w:sz w:val="24"/>
        </w:rPr>
        <w:t>La 14 martie 2024, Comisia a adoptat un regulament delegat de modificare a Regulamentului privind alimentele noi în ceea ce privește definiția „nanomaterialelor fabricate” (denumit în continuare „regulamentul delegat al Comisiei”)</w:t>
      </w:r>
      <w:r>
        <w:rPr>
          <w:rStyle w:val="FootnoteReference"/>
          <w:rFonts w:ascii="Times New Roman" w:hAnsi="Times New Roman" w:cs="Times New Roman"/>
          <w:noProof/>
          <w:sz w:val="24"/>
          <w:szCs w:val="24"/>
          <w:lang w:val="en-IE"/>
        </w:rPr>
        <w:footnoteReference w:id="11"/>
      </w:r>
      <w:r>
        <w:rPr>
          <w:rFonts w:ascii="Times New Roman" w:hAnsi="Times New Roman"/>
          <w:noProof/>
          <w:sz w:val="24"/>
        </w:rPr>
        <w:t xml:space="preserve">. Scopul său a fost de a asigura coerența definiției nanomaterialelor fabricate în cadrul de reglementare al UE și de a aborda problemele identificate în punerea în aplicare a definiției „nanomaterialelor fabricate” din Regulamentul privind alimentele noi în scopul atingerii obiectivelor regulamentului respectiv. În acest scop, regulamentul delegat al Comisiei a preluat principalele elemente tehnice ale definiției generale a nanomaterialelor fabricate, stabilite în recomandarea Comisiei, care includeau cele mai avansate evoluții tehnice și științifice. În special, definiția modificată a inclus limita de dimensiune (&lt; 100 nm), excluderea din definiție a materialelor cu un raport suprafață/volum care depășește o anumită valoare, definițiile termenilor „particulă”, „agregat” și „aglomerat”, precum și valoarea-prag implicită de 50 % din particule la scară nanometrică pentru ca un material să fie considerat nanomaterial. </w:t>
      </w:r>
    </w:p>
    <w:p w14:paraId="63A5A78D" w14:textId="35FCCCCD" w:rsidR="000534B5" w:rsidRPr="00A67A8F" w:rsidRDefault="00C06880" w:rsidP="000534B5">
      <w:pPr>
        <w:jc w:val="both"/>
        <w:rPr>
          <w:rFonts w:ascii="Times New Roman" w:hAnsi="Times New Roman" w:cs="Times New Roman"/>
          <w:noProof/>
          <w:sz w:val="24"/>
          <w:szCs w:val="24"/>
        </w:rPr>
      </w:pPr>
      <w:r>
        <w:rPr>
          <w:rFonts w:ascii="Times New Roman" w:hAnsi="Times New Roman"/>
          <w:noProof/>
          <w:sz w:val="24"/>
        </w:rPr>
        <w:t>În conformitate cu procedura de adoptare a actelor delegate, regulamentul delegat al Comisiei a fost trimis spre examinare Parlamentului European și Consiliului. La 24 aprilie 2024, Parlamentul European a ridicat obiecții la regulamentul delegat al Comisiei</w:t>
      </w:r>
      <w:r>
        <w:rPr>
          <w:rStyle w:val="FootnoteReference"/>
          <w:rFonts w:ascii="Times New Roman" w:hAnsi="Times New Roman" w:cs="Times New Roman"/>
          <w:noProof/>
          <w:sz w:val="24"/>
          <w:szCs w:val="24"/>
          <w:lang w:val="en-IE"/>
        </w:rPr>
        <w:footnoteReference w:id="12"/>
      </w:r>
      <w:r>
        <w:rPr>
          <w:rFonts w:ascii="Times New Roman" w:hAnsi="Times New Roman"/>
          <w:noProof/>
          <w:sz w:val="24"/>
        </w:rPr>
        <w:t>. În obiecțiile sale, Parlamentul European a susținut că regulamentul delegat al Comisiei nu este compatibil cu scopul și conținutul Regulamentului privind alimentele noi și că depășește competențele delegate conferite prin articolul 31 din regulamentul menționat. La 29 august 2024, Comisia a răspuns oficial la obiecțiile Parlamentului European</w:t>
      </w:r>
      <w:r>
        <w:rPr>
          <w:rStyle w:val="FootnoteReference"/>
          <w:rFonts w:ascii="Times New Roman" w:hAnsi="Times New Roman" w:cs="Times New Roman"/>
          <w:noProof/>
          <w:sz w:val="24"/>
          <w:szCs w:val="24"/>
          <w:lang w:val="en-IE"/>
        </w:rPr>
        <w:footnoteReference w:id="13"/>
      </w:r>
      <w:r>
        <w:rPr>
          <w:rFonts w:ascii="Times New Roman" w:hAnsi="Times New Roman"/>
          <w:noProof/>
          <w:sz w:val="24"/>
        </w:rPr>
        <w:t xml:space="preserve">. Având în vedere aceste obiecții, regulamentul delegat al Comisiei nu a intrat în vigoare. Prin urmare, definiția „nanomaterialului fabricat” de la articolul 3 alineatul (2) litera (f) din Regulamentul privind alimentele noi rămâne neschimbată. </w:t>
      </w:r>
    </w:p>
    <w:p w14:paraId="545AD6F6" w14:textId="6519A71C" w:rsidR="00A67A8F" w:rsidRPr="00184ECF" w:rsidRDefault="00A67A8F" w:rsidP="000375B3">
      <w:pPr>
        <w:jc w:val="both"/>
        <w:rPr>
          <w:rFonts w:ascii="Times New Roman" w:hAnsi="Times New Roman" w:cs="Times New Roman"/>
          <w:b/>
          <w:bCs/>
          <w:noProof/>
          <w:sz w:val="24"/>
          <w:szCs w:val="24"/>
          <w:highlight w:val="yellow"/>
        </w:rPr>
      </w:pPr>
    </w:p>
    <w:p w14:paraId="3BF57BCD" w14:textId="64A40250" w:rsidR="00A67A8F" w:rsidRPr="009B05C4" w:rsidRDefault="00A67A8F" w:rsidP="009B05C4">
      <w:pPr>
        <w:pStyle w:val="Heading1"/>
        <w:numPr>
          <w:ilvl w:val="0"/>
          <w:numId w:val="1"/>
        </w:numPr>
        <w:spacing w:before="0" w:after="240" w:line="240" w:lineRule="auto"/>
        <w:ind w:left="567" w:hanging="567"/>
        <w:jc w:val="both"/>
        <w:rPr>
          <w:rFonts w:ascii="Times New Roman" w:hAnsi="Times New Roman" w:cs="Times New Roman"/>
          <w:b/>
          <w:bCs/>
          <w:smallCaps/>
          <w:noProof/>
          <w:color w:val="auto"/>
          <w:sz w:val="24"/>
          <w:szCs w:val="24"/>
        </w:rPr>
      </w:pPr>
      <w:r>
        <w:rPr>
          <w:rFonts w:ascii="Times New Roman" w:hAnsi="Times New Roman"/>
          <w:b/>
          <w:smallCaps/>
          <w:noProof/>
          <w:color w:val="auto"/>
          <w:sz w:val="24"/>
        </w:rPr>
        <w:t>Concluzii</w:t>
      </w:r>
    </w:p>
    <w:p w14:paraId="64E19785" w14:textId="51B0A1D8" w:rsidR="00717F92" w:rsidRDefault="00364AF2" w:rsidP="00936556">
      <w:pPr>
        <w:jc w:val="both"/>
        <w:rPr>
          <w:rFonts w:ascii="Times New Roman" w:hAnsi="Times New Roman" w:cs="Times New Roman"/>
          <w:noProof/>
          <w:sz w:val="24"/>
          <w:szCs w:val="24"/>
        </w:rPr>
      </w:pPr>
      <w:r>
        <w:rPr>
          <w:rFonts w:ascii="Times New Roman" w:hAnsi="Times New Roman"/>
          <w:noProof/>
          <w:sz w:val="24"/>
        </w:rPr>
        <w:t>În ultimii ani, Comisia a luat măsuri pentru a exercita competențele delegate care i-au fost conferite în temeiul articolului 31 din Regulamentul privind alimentele noi. Comisia consideră că este necesar să se prelungească delegarea de competențe, deoarece este esențial să se asigure că definiția nanomaterialelor fabricate menționată la articolul 3 alineatul (2) litera (f) din Regulamentul privind alimentele noi este adaptată la progresele tehnice și științifice sau la definițiile convenite la nivel internațional.</w:t>
      </w:r>
      <w:r>
        <w:rPr>
          <w:rFonts w:ascii="Segoe UI" w:hAnsi="Segoe UI"/>
          <w:noProof/>
          <w:sz w:val="18"/>
        </w:rPr>
        <w:t xml:space="preserve"> </w:t>
      </w:r>
      <w:r>
        <w:rPr>
          <w:rFonts w:ascii="Times New Roman" w:hAnsi="Times New Roman"/>
          <w:noProof/>
          <w:sz w:val="24"/>
        </w:rPr>
        <w:t xml:space="preserve">Această aliniere tehnică este fundamentală pentru a garanta condiții de concurență echitabile pe piața internă, oferind în același timp un nivel ridicat de protecție a sănătății umane și a intereselor consumatorilor, care sunt obiectivele Regulamentului privind alimentele noi. Odată cu menținerea </w:t>
      </w:r>
      <w:r>
        <w:rPr>
          <w:rFonts w:ascii="Times New Roman" w:hAnsi="Times New Roman"/>
          <w:i/>
          <w:noProof/>
          <w:sz w:val="24"/>
        </w:rPr>
        <w:t>statu-quo</w:t>
      </w:r>
      <w:r>
        <w:rPr>
          <w:rFonts w:ascii="Times New Roman" w:hAnsi="Times New Roman"/>
          <w:noProof/>
          <w:sz w:val="24"/>
        </w:rPr>
        <w:t xml:space="preserve">-ului, materialele care ar trebui definite ca „nanomateriale fabricate” vor continua să nu fie definite ca atare, privând astfel consumatorii de informațiile necesare cu privire la prezența lor în produse. </w:t>
      </w:r>
    </w:p>
    <w:p w14:paraId="0722F3BF" w14:textId="05333AC8" w:rsidR="000F5DCE" w:rsidRPr="00A67A8F" w:rsidRDefault="00364AF2" w:rsidP="00936556">
      <w:pPr>
        <w:jc w:val="both"/>
        <w:rPr>
          <w:rFonts w:ascii="Times New Roman" w:hAnsi="Times New Roman" w:cs="Times New Roman"/>
          <w:noProof/>
          <w:sz w:val="24"/>
          <w:szCs w:val="24"/>
        </w:rPr>
      </w:pPr>
      <w:r>
        <w:rPr>
          <w:rFonts w:ascii="Times New Roman" w:hAnsi="Times New Roman"/>
          <w:noProof/>
          <w:sz w:val="24"/>
        </w:rPr>
        <w:t>Prin prezentul raport, Comisia respectă cerința de raportare în temeiul articolului 32 alineatul (3) din Regulamentul privind alimentele noi și invită Parlamentul European și Consiliul să ia act de prezentul raport.</w:t>
      </w:r>
      <w:bookmarkEnd w:id="0"/>
    </w:p>
    <w:sectPr w:rsidR="000F5DCE" w:rsidRPr="00A67A8F" w:rsidSect="00A67A8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1DB0F3" w14:textId="77777777" w:rsidR="00B72237" w:rsidRDefault="00B72237" w:rsidP="00237E99">
      <w:pPr>
        <w:spacing w:after="0" w:line="240" w:lineRule="auto"/>
      </w:pPr>
      <w:r>
        <w:separator/>
      </w:r>
    </w:p>
  </w:endnote>
  <w:endnote w:type="continuationSeparator" w:id="0">
    <w:p w14:paraId="051A4B64" w14:textId="77777777" w:rsidR="00B72237" w:rsidRDefault="00B72237" w:rsidP="00237E99">
      <w:pPr>
        <w:spacing w:after="0" w:line="240" w:lineRule="auto"/>
      </w:pPr>
      <w:r>
        <w:continuationSeparator/>
      </w:r>
    </w:p>
  </w:endnote>
  <w:endnote w:type="continuationNotice" w:id="1">
    <w:p w14:paraId="724BEE94" w14:textId="77777777" w:rsidR="00B72237" w:rsidRDefault="00B722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E7AE0D" w14:textId="60A5CDEF" w:rsidR="00F153FD" w:rsidRPr="00F153FD" w:rsidRDefault="00F153FD" w:rsidP="00F153FD">
    <w:pPr>
      <w:pStyle w:val="FooterCoverPage"/>
      <w:rPr>
        <w:rFonts w:ascii="Arial" w:hAnsi="Arial" w:cs="Arial"/>
        <w:b/>
        <w:sz w:val="48"/>
      </w:rPr>
    </w:pPr>
    <w:r w:rsidRPr="00F153FD">
      <w:rPr>
        <w:rFonts w:ascii="Arial" w:hAnsi="Arial" w:cs="Arial"/>
        <w:b/>
        <w:sz w:val="48"/>
      </w:rPr>
      <w:t>RO</w:t>
    </w:r>
    <w:r w:rsidRPr="00F153FD">
      <w:rPr>
        <w:rFonts w:ascii="Arial" w:hAnsi="Arial" w:cs="Arial"/>
        <w:b/>
        <w:sz w:val="48"/>
      </w:rPr>
      <w:tab/>
    </w:r>
    <w:r w:rsidRPr="00F153FD">
      <w:rPr>
        <w:rFonts w:ascii="Arial" w:hAnsi="Arial" w:cs="Arial"/>
        <w:b/>
        <w:sz w:val="48"/>
      </w:rPr>
      <w:tab/>
    </w:r>
    <w:r w:rsidRPr="00F153FD">
      <w:tab/>
    </w:r>
    <w:r w:rsidRPr="00F153FD">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C918BE" w14:textId="4A65EB4D" w:rsidR="00F153FD" w:rsidRPr="00F153FD" w:rsidRDefault="00F153FD" w:rsidP="00F153FD">
    <w:pPr>
      <w:pStyle w:val="FooterCoverPage"/>
      <w:rPr>
        <w:rFonts w:ascii="Arial" w:hAnsi="Arial" w:cs="Arial"/>
        <w:b/>
        <w:sz w:val="48"/>
      </w:rPr>
    </w:pPr>
    <w:r w:rsidRPr="00F153FD">
      <w:rPr>
        <w:rFonts w:ascii="Arial" w:hAnsi="Arial" w:cs="Arial"/>
        <w:b/>
        <w:sz w:val="48"/>
      </w:rPr>
      <w:t>RO</w:t>
    </w:r>
    <w:r w:rsidRPr="00F153FD">
      <w:rPr>
        <w:rFonts w:ascii="Arial" w:hAnsi="Arial" w:cs="Arial"/>
        <w:b/>
        <w:sz w:val="48"/>
      </w:rPr>
      <w:tab/>
    </w:r>
    <w:r w:rsidRPr="00F153FD">
      <w:rPr>
        <w:rFonts w:ascii="Arial" w:hAnsi="Arial" w:cs="Arial"/>
        <w:b/>
        <w:sz w:val="48"/>
      </w:rPr>
      <w:tab/>
    </w:r>
    <w:r w:rsidRPr="00F153FD">
      <w:tab/>
    </w:r>
    <w:r w:rsidRPr="00F153FD">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87B713" w14:textId="77777777" w:rsidR="00F153FD" w:rsidRPr="00F153FD" w:rsidRDefault="00F153FD" w:rsidP="00F153F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4DF1C" w14:textId="77777777" w:rsidR="00364AF2" w:rsidRPr="00A67A8F" w:rsidRDefault="00364AF2" w:rsidP="00A67A8F">
    <w:pPr>
      <w:pStyle w:val="FooterCoverPage"/>
      <w:rPr>
        <w:rFonts w:ascii="Arial" w:hAnsi="Arial" w:cs="Arial"/>
        <w:b/>
        <w:sz w:val="48"/>
      </w:rPr>
    </w:pPr>
    <w:r>
      <w:rPr>
        <w:rFonts w:ascii="Arial" w:hAnsi="Arial"/>
        <w:b/>
        <w:sz w:val="48"/>
      </w:rPr>
      <w:t>EN</w:t>
    </w:r>
    <w:r>
      <w:tab/>
    </w:r>
    <w:r>
      <w:tab/>
    </w:r>
    <w:r>
      <w:tab/>
    </w:r>
    <w:r>
      <w:rPr>
        <w:rFonts w:ascii="Arial" w:hAnsi="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9307838"/>
      <w:docPartObj>
        <w:docPartGallery w:val="Page Numbers (Bottom of Page)"/>
        <w:docPartUnique/>
      </w:docPartObj>
    </w:sdtPr>
    <w:sdtEndPr>
      <w:rPr>
        <w:noProof/>
      </w:rPr>
    </w:sdtEndPr>
    <w:sdtContent>
      <w:p w14:paraId="78B757F2" w14:textId="7239A6FC" w:rsidR="000722B8" w:rsidRDefault="000722B8">
        <w:pPr>
          <w:pStyle w:val="Footer"/>
          <w:jc w:val="center"/>
        </w:pPr>
        <w:r>
          <w:fldChar w:fldCharType="begin"/>
        </w:r>
        <w:r>
          <w:instrText xml:space="preserve"> PAGE   \* MERGEFORMAT </w:instrText>
        </w:r>
        <w:r>
          <w:fldChar w:fldCharType="separate"/>
        </w:r>
        <w:r w:rsidR="00F153FD">
          <w:rPr>
            <w:noProof/>
          </w:rPr>
          <w:t>1</w:t>
        </w:r>
        <w:r>
          <w:fldChar w:fldCharType="end"/>
        </w:r>
      </w:p>
    </w:sdtContent>
  </w:sdt>
  <w:p w14:paraId="43A2FF1D" w14:textId="5CC04FA7" w:rsidR="00364AF2" w:rsidRPr="000722B8" w:rsidRDefault="00364AF2" w:rsidP="000722B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F801A6" w14:textId="77777777" w:rsidR="00364AF2" w:rsidRDefault="00364A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1B1941" w14:textId="77777777" w:rsidR="00B72237" w:rsidRDefault="00B72237" w:rsidP="00237E99">
      <w:pPr>
        <w:spacing w:after="0" w:line="240" w:lineRule="auto"/>
      </w:pPr>
      <w:r>
        <w:separator/>
      </w:r>
    </w:p>
  </w:footnote>
  <w:footnote w:type="continuationSeparator" w:id="0">
    <w:p w14:paraId="00399E2C" w14:textId="77777777" w:rsidR="00B72237" w:rsidRDefault="00B72237" w:rsidP="00237E99">
      <w:pPr>
        <w:spacing w:after="0" w:line="240" w:lineRule="auto"/>
      </w:pPr>
      <w:r>
        <w:continuationSeparator/>
      </w:r>
    </w:p>
  </w:footnote>
  <w:footnote w:type="continuationNotice" w:id="1">
    <w:p w14:paraId="66A4735C" w14:textId="77777777" w:rsidR="00B72237" w:rsidRDefault="00B72237">
      <w:pPr>
        <w:spacing w:after="0" w:line="240" w:lineRule="auto"/>
      </w:pPr>
    </w:p>
  </w:footnote>
  <w:footnote w:id="2">
    <w:p w14:paraId="23D962EA" w14:textId="77777777" w:rsidR="00A67A8F" w:rsidRPr="009B05C4" w:rsidRDefault="00A67A8F" w:rsidP="00A67A8F">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Regulamentul (UE) 2015/2283 al Parlamentului European și al Consiliului din 25 noiembrie 2015 privind alimentele noi, de modificare a Regulamentului (UE) nr. 1169/2011 al Parlamentului European și al Consiliului și de abrogare a Regulamentului (CE) nr. 258/97 al Parlamentului European și al Consiliului și a Regulamentului (CE) nr. 1852/2001 al Comisiei. JO L 327, 11.12.2015, p. 1. </w:t>
      </w:r>
    </w:p>
  </w:footnote>
  <w:footnote w:id="3">
    <w:p w14:paraId="65B477E2" w14:textId="77777777" w:rsidR="00A67A8F" w:rsidRPr="00A67A8F" w:rsidRDefault="00A67A8F" w:rsidP="00A67A8F">
      <w:pPr>
        <w:pStyle w:val="FootnoteText"/>
        <w:spacing w:after="1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Recomandarea Comisiei din 18 octombrie 2011 privind definiția nanomaterialelor (2011/696/UE). JO L 275, 20.10.2011, p. 38.</w:t>
      </w:r>
    </w:p>
  </w:footnote>
  <w:footnote w:id="4">
    <w:p w14:paraId="576800E0" w14:textId="77777777" w:rsidR="00A67A8F" w:rsidRPr="00A67A8F" w:rsidRDefault="00A67A8F" w:rsidP="00A67A8F">
      <w:pPr>
        <w:pStyle w:val="FootnoteText"/>
        <w:spacing w:after="1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Recomandarea Comisiei din 10 iunie 2022 privind definiția nanomaterialelor (C/2022/3689). JO C 229, 14.6.2022, p. 1. </w:t>
      </w:r>
    </w:p>
  </w:footnote>
  <w:footnote w:id="5">
    <w:p w14:paraId="4BF6812B" w14:textId="641418FD" w:rsidR="00A67A8F" w:rsidRPr="00A67A8F" w:rsidRDefault="00A67A8F" w:rsidP="00A67A8F">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Rapoartele științifice</w:t>
      </w:r>
      <w:r w:rsidR="00ED67F3">
        <w:rPr>
          <w:rFonts w:ascii="Times New Roman" w:hAnsi="Times New Roman"/>
        </w:rPr>
        <w:t xml:space="preserve"> </w:t>
      </w:r>
      <w:r>
        <w:rPr>
          <w:rFonts w:ascii="Times New Roman" w:hAnsi="Times New Roman"/>
        </w:rPr>
        <w:t>și strategice („Science for Policy Reports”) ale Centrului Comun de Cercetare (JRC) al Comisiei:</w:t>
      </w:r>
    </w:p>
    <w:p w14:paraId="4AC628C2" w14:textId="77777777" w:rsidR="00A67A8F" w:rsidRPr="00A67A8F" w:rsidRDefault="00A67A8F" w:rsidP="00A67A8F">
      <w:pPr>
        <w:pStyle w:val="FootnoteText"/>
        <w:jc w:val="both"/>
        <w:rPr>
          <w:rFonts w:ascii="Times New Roman" w:hAnsi="Times New Roman" w:cs="Times New Roman"/>
        </w:rPr>
      </w:pPr>
      <w:r>
        <w:rPr>
          <w:rFonts w:ascii="Times New Roman" w:hAnsi="Times New Roman"/>
        </w:rPr>
        <w:t xml:space="preserve">- </w:t>
      </w:r>
      <w:r>
        <w:rPr>
          <w:rFonts w:ascii="Times New Roman" w:hAnsi="Times New Roman"/>
          <w:i/>
        </w:rPr>
        <w:t>Towards a review of the EC Recommendation for a definition of the term ‘nanomaterial’ - Part 1: Compilation of information concerning the experience with the definition</w:t>
      </w:r>
      <w:r>
        <w:rPr>
          <w:rFonts w:ascii="Times New Roman" w:hAnsi="Times New Roman"/>
        </w:rPr>
        <w:t xml:space="preserve"> (Către o revizuire a recomandării CE pentru o definiție a termenului „nanomaterial” - Partea 1: Compilarea informațiilor privind experiența legată de definiție). EUR 26567 EN; doi:10.2788/36237 (2014).</w:t>
      </w:r>
    </w:p>
    <w:p w14:paraId="2F168806" w14:textId="77777777" w:rsidR="00A67A8F" w:rsidRPr="00A67A8F" w:rsidRDefault="00A67A8F" w:rsidP="00A67A8F">
      <w:pPr>
        <w:pStyle w:val="FootnoteText"/>
        <w:jc w:val="both"/>
        <w:rPr>
          <w:rFonts w:ascii="Times New Roman" w:hAnsi="Times New Roman" w:cs="Times New Roman"/>
        </w:rPr>
      </w:pPr>
      <w:r>
        <w:rPr>
          <w:rFonts w:ascii="Times New Roman" w:hAnsi="Times New Roman"/>
        </w:rPr>
        <w:t xml:space="preserve">- </w:t>
      </w:r>
      <w:r>
        <w:rPr>
          <w:rFonts w:ascii="Times New Roman" w:hAnsi="Times New Roman"/>
          <w:i/>
        </w:rPr>
        <w:t>Towards a review of the EC Recommendation for a definition of the term ‘nanomaterial‘ - Part 2: Assessment of collected information concerning the experience with the definition</w:t>
      </w:r>
      <w:r>
        <w:rPr>
          <w:rFonts w:ascii="Times New Roman" w:hAnsi="Times New Roman"/>
        </w:rPr>
        <w:t xml:space="preserve"> (Către o revizuire a recomandării CE pentru o definiție a termenului „nanomaterial” - Partea 2: Evaluarea informațiilor colectate cu privire la experiența dobândită în ceea ce privește definiția). EUR 26744 EN; doi: 10.2787/97286 (2014).</w:t>
      </w:r>
    </w:p>
    <w:p w14:paraId="0E6D1717" w14:textId="77777777" w:rsidR="00A67A8F" w:rsidRPr="00A67A8F" w:rsidRDefault="00A67A8F" w:rsidP="00A67A8F">
      <w:pPr>
        <w:pStyle w:val="FootnoteText"/>
        <w:spacing w:after="120"/>
        <w:jc w:val="both"/>
        <w:rPr>
          <w:rFonts w:ascii="Times New Roman" w:hAnsi="Times New Roman" w:cs="Times New Roman"/>
        </w:rPr>
      </w:pPr>
      <w:r>
        <w:rPr>
          <w:rFonts w:ascii="Times New Roman" w:hAnsi="Times New Roman"/>
        </w:rPr>
        <w:t xml:space="preserve">- </w:t>
      </w:r>
      <w:r>
        <w:rPr>
          <w:rFonts w:ascii="Times New Roman" w:hAnsi="Times New Roman"/>
          <w:i/>
        </w:rPr>
        <w:t>Towards a review of the EC Recommendation for a definition of the term “nanomaterial - Part 3: Scientific-technical evaluation of options to clarify the definition and to facilitate its implementation</w:t>
      </w:r>
      <w:r>
        <w:rPr>
          <w:rFonts w:ascii="Times New Roman" w:hAnsi="Times New Roman"/>
        </w:rPr>
        <w:t xml:space="preserve"> (Către o revizuire a recomandării CE pentru o definiție a termenului „nanomaterial” - Partea 3: Evaluarea tehnico-științifică a opțiunilor de clarificare a definiției și de facilitare a punerii sale în aplicare). EUR 27240 EN; doi:10.2788/678452 (2015). </w:t>
      </w:r>
    </w:p>
    <w:p w14:paraId="0A1B76B8" w14:textId="77777777" w:rsidR="00A67A8F" w:rsidRPr="00A67A8F" w:rsidRDefault="00A67A8F" w:rsidP="00A67A8F">
      <w:pPr>
        <w:pStyle w:val="FootnoteText"/>
        <w:jc w:val="both"/>
        <w:rPr>
          <w:rFonts w:ascii="Times New Roman" w:hAnsi="Times New Roman" w:cs="Times New Roman"/>
        </w:rPr>
      </w:pPr>
      <w:r>
        <w:rPr>
          <w:rFonts w:ascii="Times New Roman" w:hAnsi="Times New Roman"/>
        </w:rPr>
        <w:t xml:space="preserve">Rapoarte JRC: </w:t>
      </w:r>
    </w:p>
    <w:p w14:paraId="5AA62E82" w14:textId="77777777" w:rsidR="00A67A8F" w:rsidRPr="00A67A8F" w:rsidRDefault="00A67A8F" w:rsidP="00A67A8F">
      <w:pPr>
        <w:pStyle w:val="FootnoteText"/>
        <w:jc w:val="both"/>
        <w:rPr>
          <w:rFonts w:ascii="Times New Roman" w:hAnsi="Times New Roman" w:cs="Times New Roman"/>
        </w:rPr>
      </w:pPr>
      <w:r>
        <w:rPr>
          <w:rFonts w:ascii="Times New Roman" w:hAnsi="Times New Roman"/>
        </w:rPr>
        <w:t xml:space="preserve">- </w:t>
      </w:r>
      <w:r>
        <w:rPr>
          <w:rFonts w:ascii="Times New Roman" w:hAnsi="Times New Roman"/>
          <w:i/>
        </w:rPr>
        <w:t>An overview of concepts and terms used in the European Commission’s definition of nanomaterial</w:t>
      </w:r>
      <w:r>
        <w:rPr>
          <w:rFonts w:ascii="Times New Roman" w:hAnsi="Times New Roman"/>
        </w:rPr>
        <w:t xml:space="preserve"> (O prezentare generală a conceptelor și a termenilor folosiți în definiția dată nanomaterialelor de către Comisia Europeană). EUR 29647 EN; doi:10.2760/459136 (2019).</w:t>
      </w:r>
    </w:p>
    <w:p w14:paraId="34531DE0" w14:textId="77777777" w:rsidR="00A67A8F" w:rsidRPr="00A67A8F" w:rsidRDefault="00A67A8F" w:rsidP="00A67A8F">
      <w:pPr>
        <w:pStyle w:val="FootnoteText"/>
        <w:spacing w:after="120"/>
        <w:jc w:val="both"/>
        <w:rPr>
          <w:rFonts w:ascii="Times New Roman" w:hAnsi="Times New Roman" w:cs="Times New Roman"/>
        </w:rPr>
      </w:pPr>
      <w:r>
        <w:rPr>
          <w:rFonts w:ascii="Times New Roman" w:hAnsi="Times New Roman"/>
        </w:rPr>
        <w:t xml:space="preserve">- </w:t>
      </w:r>
      <w:r>
        <w:rPr>
          <w:rFonts w:ascii="Times New Roman" w:hAnsi="Times New Roman"/>
          <w:i/>
        </w:rPr>
        <w:t>Identification of nanomaterials through measurements</w:t>
      </w:r>
      <w:r>
        <w:rPr>
          <w:rFonts w:ascii="Times New Roman" w:hAnsi="Times New Roman"/>
        </w:rPr>
        <w:t xml:space="preserve"> (Identificarea nanomaterialelor prin măsurători). EUR 29942 EN; doi:10.2760/053982 (2019). </w:t>
      </w:r>
    </w:p>
  </w:footnote>
  <w:footnote w:id="6">
    <w:p w14:paraId="73ADDC62" w14:textId="77777777" w:rsidR="00A67A8F" w:rsidRPr="00A67A8F" w:rsidRDefault="00A67A8F" w:rsidP="00A67A8F">
      <w:pPr>
        <w:pStyle w:val="FootnoteText"/>
        <w:spacing w:after="1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Consultarea specifică a părților interesate s-a desfășurat între 6 mai și 30 iunie 2021. </w:t>
      </w:r>
    </w:p>
  </w:footnote>
  <w:footnote w:id="7">
    <w:p w14:paraId="6FEC9CC6" w14:textId="364404C4" w:rsidR="00A67A8F" w:rsidRPr="00A67A8F" w:rsidRDefault="00A67A8F" w:rsidP="009B05C4">
      <w:pPr>
        <w:pStyle w:val="FootnoteText"/>
        <w:spacing w:after="1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Rezultatele analizei și ale consultării părților interesate sunt explicate în documentul de lucru al serviciilor Comisiei [SWD (2022) 150] care însoțește recomandarea Comisiei.</w:t>
      </w:r>
    </w:p>
  </w:footnote>
  <w:footnote w:id="8">
    <w:p w14:paraId="63475DD3" w14:textId="19C05F23" w:rsidR="00A67A8F" w:rsidRPr="00A67A8F" w:rsidRDefault="00A67A8F" w:rsidP="00A67A8F">
      <w:pPr>
        <w:pStyle w:val="FootnoteText"/>
        <w:spacing w:after="120"/>
        <w:jc w:val="both"/>
        <w:rPr>
          <w:rFonts w:ascii="Times New Roman" w:hAnsi="Times New Roman" w:cs="Times New Roman"/>
        </w:rPr>
      </w:pPr>
      <w:r>
        <w:rPr>
          <w:rStyle w:val="FootnoteReference"/>
          <w:rFonts w:ascii="Times New Roman" w:hAnsi="Times New Roman" w:cs="Times New Roman"/>
        </w:rPr>
        <w:footnoteRef/>
      </w:r>
      <w:hyperlink r:id="rId1" w:history="1">
        <w:r>
          <w:rPr>
            <w:rStyle w:val="Hyperlink"/>
            <w:rFonts w:ascii="Times New Roman" w:hAnsi="Times New Roman"/>
          </w:rPr>
          <w:t>https://ec.europa.eu/transparency/expert-groups-register/screen/expert-groups/consult?lang=en&amp;do=groupDetail.groupDetail&amp;groupID=3560&amp;Lang=EN</w:t>
        </w:r>
      </w:hyperlink>
      <w:r>
        <w:rPr>
          <w:rFonts w:ascii="Times New Roman" w:hAnsi="Times New Roman"/>
        </w:rPr>
        <w:t xml:space="preserve"> </w:t>
      </w:r>
    </w:p>
  </w:footnote>
  <w:footnote w:id="9">
    <w:p w14:paraId="43E75845" w14:textId="77777777" w:rsidR="00A67A8F" w:rsidRPr="00A67A8F" w:rsidRDefault="00A67A8F" w:rsidP="00A67A8F">
      <w:pPr>
        <w:pStyle w:val="FootnoteText"/>
        <w:spacing w:after="1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 w:history="1">
        <w:r>
          <w:rPr>
            <w:rStyle w:val="Hyperlink"/>
            <w:rFonts w:ascii="Times New Roman" w:hAnsi="Times New Roman"/>
          </w:rPr>
          <w:t>https://www.efsa.europa.eu/en/efsajournal/pub/6768</w:t>
        </w:r>
      </w:hyperlink>
      <w:r>
        <w:rPr>
          <w:rFonts w:ascii="Times New Roman" w:hAnsi="Times New Roman"/>
        </w:rPr>
        <w:t xml:space="preserve"> </w:t>
      </w:r>
    </w:p>
  </w:footnote>
  <w:footnote w:id="10">
    <w:p w14:paraId="1D322922" w14:textId="77777777" w:rsidR="00A67A8F" w:rsidRPr="009B05C4" w:rsidRDefault="00A67A8F" w:rsidP="00A67A8F">
      <w:pPr>
        <w:pStyle w:val="FootnoteText"/>
        <w:spacing w:after="12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 w:history="1">
        <w:r>
          <w:rPr>
            <w:rStyle w:val="Hyperlink"/>
            <w:rFonts w:ascii="Times New Roman" w:hAnsi="Times New Roman"/>
          </w:rPr>
          <w:t>https://ec.europa.eu/info/law/better-regulation/have-your-say/initiatives/14049-Revizuirea-definitiei-nanomaterialelor-fabricate-prezente-in-alimente_ro</w:t>
        </w:r>
      </w:hyperlink>
      <w:r>
        <w:rPr>
          <w:rFonts w:ascii="Times New Roman" w:hAnsi="Times New Roman"/>
        </w:rPr>
        <w:t xml:space="preserve"> </w:t>
      </w:r>
    </w:p>
  </w:footnote>
  <w:footnote w:id="11">
    <w:p w14:paraId="2860BD91" w14:textId="77777777" w:rsidR="00A67A8F" w:rsidRPr="009B05C4" w:rsidRDefault="00A67A8F" w:rsidP="00A67A8F">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Regulamentul delegat (UE).../... al Comisiei din 14.3.2024 de modificare a Regulamentului (UE) 2015/2283 al Parlamentului European și al Consiliului privind alimentele noi în ceea ce privește definiția „nanomaterialelor fabricate”. C(2024) 1612 final. </w:t>
      </w:r>
    </w:p>
    <w:p w14:paraId="225530B4" w14:textId="09A12C58" w:rsidR="00A67A8F" w:rsidRPr="00936556" w:rsidRDefault="00F153FD" w:rsidP="009B05C4">
      <w:pPr>
        <w:pStyle w:val="FootnoteText"/>
        <w:spacing w:after="120"/>
        <w:rPr>
          <w:rFonts w:ascii="Times New Roman" w:hAnsi="Times New Roman" w:cs="Times New Roman"/>
        </w:rPr>
      </w:pPr>
      <w:hyperlink r:id="rId4" w:history="1">
        <w:r w:rsidR="00936556">
          <w:rPr>
            <w:rStyle w:val="Hyperlink"/>
            <w:rFonts w:ascii="Times New Roman" w:hAnsi="Times New Roman"/>
          </w:rPr>
          <w:t>https://eur-lex.europa.eu/legal-content/RO/TXT/PDF/?uri=PI_COM:C(2024)1612</w:t>
        </w:r>
      </w:hyperlink>
      <w:r w:rsidR="00936556">
        <w:rPr>
          <w:rFonts w:ascii="Times New Roman" w:hAnsi="Times New Roman"/>
        </w:rPr>
        <w:t xml:space="preserve"> </w:t>
      </w:r>
    </w:p>
  </w:footnote>
  <w:footnote w:id="12">
    <w:p w14:paraId="393A38BE" w14:textId="57224563" w:rsidR="00A67A8F" w:rsidRPr="009B05C4" w:rsidRDefault="00A67A8F" w:rsidP="00A67A8F">
      <w:pPr>
        <w:pStyle w:val="FootnoteText"/>
        <w:jc w:val="both"/>
        <w:rPr>
          <w:rFonts w:ascii="Times New Roman" w:hAnsi="Times New Roman" w:cs="Times New Roman"/>
        </w:rPr>
      </w:pPr>
      <w:r>
        <w:rPr>
          <w:rStyle w:val="FootnoteReference"/>
          <w:rFonts w:ascii="Times New Roman" w:hAnsi="Times New Roman" w:cs="Times New Roman"/>
        </w:rPr>
        <w:footnoteRef/>
      </w:r>
      <w:bookmarkStart w:id="3" w:name="_Hlk210041832"/>
      <w:r>
        <w:rPr>
          <w:rFonts w:ascii="Times New Roman" w:hAnsi="Times New Roman"/>
        </w:rPr>
        <w:t xml:space="preserve"> Obiecție la un act delegat: Alimentele noi – definiția „nanomaterialelor fabricate”. Rezoluția Parlamentului European din 24 aprilie 2024 referitoare la Regulamentul delegat al Comisiei din 14 martie 2024 de modificare a Regulamentului (UE) 2015/2283 al Parlamentului European și al Consiliului privind alimentele noi în ceea ce privește definiția „nanomaterialelor fabricate”.</w:t>
      </w:r>
      <w:r w:rsidR="00ED67F3">
        <w:rPr>
          <w:rFonts w:ascii="Times New Roman" w:hAnsi="Times New Roman"/>
        </w:rPr>
        <w:t xml:space="preserve"> </w:t>
      </w:r>
      <w:r>
        <w:rPr>
          <w:rFonts w:ascii="Times New Roman" w:hAnsi="Times New Roman"/>
        </w:rPr>
        <w:t xml:space="preserve">C(2024)01612 – 2024/2691(DEA). </w:t>
      </w:r>
    </w:p>
    <w:p w14:paraId="099F9237" w14:textId="77777777" w:rsidR="00A67A8F" w:rsidRPr="009B05C4" w:rsidRDefault="00F153FD" w:rsidP="00A67A8F">
      <w:pPr>
        <w:pStyle w:val="FootnoteText"/>
        <w:spacing w:after="120"/>
        <w:rPr>
          <w:rFonts w:ascii="Times New Roman" w:hAnsi="Times New Roman" w:cs="Times New Roman"/>
        </w:rPr>
      </w:pPr>
      <w:hyperlink r:id="rId5" w:history="1">
        <w:r w:rsidR="00A67A8F">
          <w:rPr>
            <w:rStyle w:val="Hyperlink"/>
            <w:rFonts w:ascii="Times New Roman" w:hAnsi="Times New Roman"/>
          </w:rPr>
          <w:t>https://www.europarl.europa.eu/doceo/document/TA-9-2024-0316_RO.pdf</w:t>
        </w:r>
      </w:hyperlink>
      <w:r w:rsidR="00A67A8F">
        <w:rPr>
          <w:rFonts w:ascii="Times New Roman" w:hAnsi="Times New Roman"/>
        </w:rPr>
        <w:t xml:space="preserve"> </w:t>
      </w:r>
      <w:bookmarkEnd w:id="3"/>
    </w:p>
  </w:footnote>
  <w:footnote w:id="13">
    <w:p w14:paraId="076C3495" w14:textId="707FC730" w:rsidR="003F4E91" w:rsidRPr="003F4E91" w:rsidRDefault="003F4E91" w:rsidP="003F4E91">
      <w:pPr>
        <w:pStyle w:val="FootnoteText"/>
        <w:jc w:val="both"/>
        <w:rPr>
          <w:rFonts w:ascii="Times New Roman" w:hAnsi="Times New Roman" w:cs="Times New Roman"/>
        </w:rPr>
      </w:pPr>
      <w:r>
        <w:rPr>
          <w:rFonts w:ascii="Times New Roman" w:hAnsi="Times New Roman" w:cs="Times New Roman"/>
          <w:vertAlign w:val="superscript"/>
          <w:lang w:val="en-IE"/>
        </w:rPr>
        <w:footnoteRef/>
      </w:r>
      <w:r>
        <w:rPr>
          <w:rFonts w:ascii="Times New Roman" w:hAnsi="Times New Roman"/>
          <w:vertAlign w:val="superscript"/>
        </w:rPr>
        <w:t xml:space="preserve"> </w:t>
      </w:r>
      <w:r>
        <w:rPr>
          <w:rFonts w:ascii="Times New Roman" w:hAnsi="Times New Roman"/>
        </w:rPr>
        <w:t xml:space="preserve">Documentul SP(2024)399. </w:t>
      </w:r>
      <w:r>
        <w:rPr>
          <w:rFonts w:ascii="Times New Roman" w:hAnsi="Times New Roman"/>
          <w:i/>
        </w:rPr>
        <w:t>Follow up to the European Parliament non-legislative resolution on the Commission delegated regulation of 14 March 2024 amending Regulation (EU) 2015/2283 of the European Parliament and of the Council on novel foods as regards the definition of ‘engineered nanomaterials’</w:t>
      </w:r>
      <w:r>
        <w:rPr>
          <w:rFonts w:ascii="Times New Roman" w:hAnsi="Times New Roman"/>
        </w:rPr>
        <w:t xml:space="preserve">. </w:t>
      </w:r>
    </w:p>
    <w:p w14:paraId="2B2F1227" w14:textId="1DEF0348" w:rsidR="003F4E91" w:rsidRPr="001216EB" w:rsidRDefault="00F153FD" w:rsidP="003F4E91">
      <w:pPr>
        <w:pStyle w:val="FootnoteText"/>
        <w:spacing w:after="120"/>
        <w:rPr>
          <w:rStyle w:val="Hyperlink"/>
          <w:rFonts w:ascii="Times New Roman" w:hAnsi="Times New Roman" w:cs="Times New Roman"/>
        </w:rPr>
      </w:pPr>
      <w:hyperlink r:id="rId6" w:history="1">
        <w:r w:rsidR="003F4E91">
          <w:rPr>
            <w:rStyle w:val="Hyperlink"/>
            <w:rFonts w:ascii="Times New Roman" w:hAnsi="Times New Roman"/>
          </w:rPr>
          <w:t>https://oeil.secure.europarl.europa.eu/oeil/en/procedure-file?reference=2024/2691(DEA)</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68C9F1" w14:textId="77777777" w:rsidR="00F153FD" w:rsidRPr="00F153FD" w:rsidRDefault="00F153FD" w:rsidP="00F153F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FC2B9" w14:textId="77777777" w:rsidR="00F153FD" w:rsidRPr="00F153FD" w:rsidRDefault="00F153FD" w:rsidP="00F153F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D053C4" w14:textId="77777777" w:rsidR="00F153FD" w:rsidRPr="00F153FD" w:rsidRDefault="00F153FD" w:rsidP="00F153F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28E7F" w14:textId="77777777" w:rsidR="00364AF2" w:rsidRDefault="00364AF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38527" w14:textId="77777777" w:rsidR="00364AF2" w:rsidRDefault="00364AF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614455" w14:textId="77777777" w:rsidR="00364AF2" w:rsidRDefault="00364A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080596"/>
    <w:multiLevelType w:val="hybridMultilevel"/>
    <w:tmpl w:val="E7042C62"/>
    <w:lvl w:ilvl="0" w:tplc="F78650B8">
      <w:start w:val="1"/>
      <w:numFmt w:val="bullet"/>
      <w:lvlText w:val=""/>
      <w:lvlJc w:val="left"/>
      <w:pPr>
        <w:ind w:left="717" w:hanging="360"/>
      </w:pPr>
      <w:rPr>
        <w:rFonts w:ascii="Symbol" w:hAnsi="Symbol" w:hint="default"/>
      </w:rPr>
    </w:lvl>
    <w:lvl w:ilvl="1" w:tplc="F370A738" w:tentative="1">
      <w:start w:val="1"/>
      <w:numFmt w:val="bullet"/>
      <w:lvlText w:val="o"/>
      <w:lvlJc w:val="left"/>
      <w:pPr>
        <w:ind w:left="1437" w:hanging="360"/>
      </w:pPr>
      <w:rPr>
        <w:rFonts w:ascii="Courier New" w:hAnsi="Courier New" w:cs="Courier New" w:hint="default"/>
      </w:rPr>
    </w:lvl>
    <w:lvl w:ilvl="2" w:tplc="979A71F6" w:tentative="1">
      <w:start w:val="1"/>
      <w:numFmt w:val="bullet"/>
      <w:lvlText w:val=""/>
      <w:lvlJc w:val="left"/>
      <w:pPr>
        <w:ind w:left="2157" w:hanging="360"/>
      </w:pPr>
      <w:rPr>
        <w:rFonts w:ascii="Wingdings" w:hAnsi="Wingdings" w:hint="default"/>
      </w:rPr>
    </w:lvl>
    <w:lvl w:ilvl="3" w:tplc="856A9346" w:tentative="1">
      <w:start w:val="1"/>
      <w:numFmt w:val="bullet"/>
      <w:lvlText w:val=""/>
      <w:lvlJc w:val="left"/>
      <w:pPr>
        <w:ind w:left="2877" w:hanging="360"/>
      </w:pPr>
      <w:rPr>
        <w:rFonts w:ascii="Symbol" w:hAnsi="Symbol" w:hint="default"/>
      </w:rPr>
    </w:lvl>
    <w:lvl w:ilvl="4" w:tplc="5AFA9CAE" w:tentative="1">
      <w:start w:val="1"/>
      <w:numFmt w:val="bullet"/>
      <w:lvlText w:val="o"/>
      <w:lvlJc w:val="left"/>
      <w:pPr>
        <w:ind w:left="3597" w:hanging="360"/>
      </w:pPr>
      <w:rPr>
        <w:rFonts w:ascii="Courier New" w:hAnsi="Courier New" w:cs="Courier New" w:hint="default"/>
      </w:rPr>
    </w:lvl>
    <w:lvl w:ilvl="5" w:tplc="411EA1C0" w:tentative="1">
      <w:start w:val="1"/>
      <w:numFmt w:val="bullet"/>
      <w:lvlText w:val=""/>
      <w:lvlJc w:val="left"/>
      <w:pPr>
        <w:ind w:left="4317" w:hanging="360"/>
      </w:pPr>
      <w:rPr>
        <w:rFonts w:ascii="Wingdings" w:hAnsi="Wingdings" w:hint="default"/>
      </w:rPr>
    </w:lvl>
    <w:lvl w:ilvl="6" w:tplc="B1547A0E" w:tentative="1">
      <w:start w:val="1"/>
      <w:numFmt w:val="bullet"/>
      <w:lvlText w:val=""/>
      <w:lvlJc w:val="left"/>
      <w:pPr>
        <w:ind w:left="5037" w:hanging="360"/>
      </w:pPr>
      <w:rPr>
        <w:rFonts w:ascii="Symbol" w:hAnsi="Symbol" w:hint="default"/>
      </w:rPr>
    </w:lvl>
    <w:lvl w:ilvl="7" w:tplc="FF062DCE" w:tentative="1">
      <w:start w:val="1"/>
      <w:numFmt w:val="bullet"/>
      <w:lvlText w:val="o"/>
      <w:lvlJc w:val="left"/>
      <w:pPr>
        <w:ind w:left="5757" w:hanging="360"/>
      </w:pPr>
      <w:rPr>
        <w:rFonts w:ascii="Courier New" w:hAnsi="Courier New" w:cs="Courier New" w:hint="default"/>
      </w:rPr>
    </w:lvl>
    <w:lvl w:ilvl="8" w:tplc="B6906AB2" w:tentative="1">
      <w:start w:val="1"/>
      <w:numFmt w:val="bullet"/>
      <w:lvlText w:val=""/>
      <w:lvlJc w:val="left"/>
      <w:pPr>
        <w:ind w:left="6477" w:hanging="360"/>
      </w:pPr>
      <w:rPr>
        <w:rFonts w:ascii="Wingdings" w:hAnsi="Wingdings" w:hint="default"/>
      </w:rPr>
    </w:lvl>
  </w:abstractNum>
  <w:abstractNum w:abstractNumId="1" w15:restartNumberingAfterBreak="0">
    <w:nsid w:val="21572E5A"/>
    <w:multiLevelType w:val="hybridMultilevel"/>
    <w:tmpl w:val="79D0989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25684083"/>
    <w:multiLevelType w:val="hybridMultilevel"/>
    <w:tmpl w:val="4BCC2700"/>
    <w:lvl w:ilvl="0" w:tplc="8674A4E8">
      <w:start w:val="1"/>
      <w:numFmt w:val="bullet"/>
      <w:lvlText w:val=""/>
      <w:lvlJc w:val="left"/>
      <w:pPr>
        <w:ind w:left="1146" w:hanging="360"/>
      </w:pPr>
      <w:rPr>
        <w:rFonts w:ascii="Symbol" w:hAnsi="Symbol" w:hint="default"/>
      </w:rPr>
    </w:lvl>
    <w:lvl w:ilvl="1" w:tplc="0A3C015C" w:tentative="1">
      <w:start w:val="1"/>
      <w:numFmt w:val="bullet"/>
      <w:lvlText w:val="o"/>
      <w:lvlJc w:val="left"/>
      <w:pPr>
        <w:ind w:left="1866" w:hanging="360"/>
      </w:pPr>
      <w:rPr>
        <w:rFonts w:ascii="Courier New" w:hAnsi="Courier New" w:cs="Courier New" w:hint="default"/>
      </w:rPr>
    </w:lvl>
    <w:lvl w:ilvl="2" w:tplc="6A70CAA6" w:tentative="1">
      <w:start w:val="1"/>
      <w:numFmt w:val="bullet"/>
      <w:lvlText w:val=""/>
      <w:lvlJc w:val="left"/>
      <w:pPr>
        <w:ind w:left="2586" w:hanging="360"/>
      </w:pPr>
      <w:rPr>
        <w:rFonts w:ascii="Wingdings" w:hAnsi="Wingdings" w:hint="default"/>
      </w:rPr>
    </w:lvl>
    <w:lvl w:ilvl="3" w:tplc="E7EAB5A4" w:tentative="1">
      <w:start w:val="1"/>
      <w:numFmt w:val="bullet"/>
      <w:lvlText w:val=""/>
      <w:lvlJc w:val="left"/>
      <w:pPr>
        <w:ind w:left="3306" w:hanging="360"/>
      </w:pPr>
      <w:rPr>
        <w:rFonts w:ascii="Symbol" w:hAnsi="Symbol" w:hint="default"/>
      </w:rPr>
    </w:lvl>
    <w:lvl w:ilvl="4" w:tplc="DDF2237E" w:tentative="1">
      <w:start w:val="1"/>
      <w:numFmt w:val="bullet"/>
      <w:lvlText w:val="o"/>
      <w:lvlJc w:val="left"/>
      <w:pPr>
        <w:ind w:left="4026" w:hanging="360"/>
      </w:pPr>
      <w:rPr>
        <w:rFonts w:ascii="Courier New" w:hAnsi="Courier New" w:cs="Courier New" w:hint="default"/>
      </w:rPr>
    </w:lvl>
    <w:lvl w:ilvl="5" w:tplc="E4B2FE36" w:tentative="1">
      <w:start w:val="1"/>
      <w:numFmt w:val="bullet"/>
      <w:lvlText w:val=""/>
      <w:lvlJc w:val="left"/>
      <w:pPr>
        <w:ind w:left="4746" w:hanging="360"/>
      </w:pPr>
      <w:rPr>
        <w:rFonts w:ascii="Wingdings" w:hAnsi="Wingdings" w:hint="default"/>
      </w:rPr>
    </w:lvl>
    <w:lvl w:ilvl="6" w:tplc="F77E5A6A" w:tentative="1">
      <w:start w:val="1"/>
      <w:numFmt w:val="bullet"/>
      <w:lvlText w:val=""/>
      <w:lvlJc w:val="left"/>
      <w:pPr>
        <w:ind w:left="5466" w:hanging="360"/>
      </w:pPr>
      <w:rPr>
        <w:rFonts w:ascii="Symbol" w:hAnsi="Symbol" w:hint="default"/>
      </w:rPr>
    </w:lvl>
    <w:lvl w:ilvl="7" w:tplc="E798684E" w:tentative="1">
      <w:start w:val="1"/>
      <w:numFmt w:val="bullet"/>
      <w:lvlText w:val="o"/>
      <w:lvlJc w:val="left"/>
      <w:pPr>
        <w:ind w:left="6186" w:hanging="360"/>
      </w:pPr>
      <w:rPr>
        <w:rFonts w:ascii="Courier New" w:hAnsi="Courier New" w:cs="Courier New" w:hint="default"/>
      </w:rPr>
    </w:lvl>
    <w:lvl w:ilvl="8" w:tplc="EB20B67C" w:tentative="1">
      <w:start w:val="1"/>
      <w:numFmt w:val="bullet"/>
      <w:lvlText w:val=""/>
      <w:lvlJc w:val="left"/>
      <w:pPr>
        <w:ind w:left="6906" w:hanging="360"/>
      </w:pPr>
      <w:rPr>
        <w:rFonts w:ascii="Wingdings" w:hAnsi="Wingdings" w:hint="default"/>
      </w:rPr>
    </w:lvl>
  </w:abstractNum>
  <w:abstractNum w:abstractNumId="3" w15:restartNumberingAfterBreak="0">
    <w:nsid w:val="29EB570A"/>
    <w:multiLevelType w:val="hybridMultilevel"/>
    <w:tmpl w:val="2918DCAA"/>
    <w:lvl w:ilvl="0" w:tplc="177AEA4C">
      <w:start w:val="5"/>
      <w:numFmt w:val="bullet"/>
      <w:lvlText w:val=""/>
      <w:lvlJc w:val="left"/>
      <w:pPr>
        <w:ind w:left="720" w:hanging="360"/>
      </w:pPr>
      <w:rPr>
        <w:rFonts w:ascii="Wingdings" w:eastAsiaTheme="minorHAnsi" w:hAnsi="Wingding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C9E64E2"/>
    <w:multiLevelType w:val="multilevel"/>
    <w:tmpl w:val="E4729308"/>
    <w:lvl w:ilvl="0">
      <w:start w:val="3"/>
      <w:numFmt w:val="decimal"/>
      <w:lvlText w:val="%1"/>
      <w:lvlJc w:val="left"/>
      <w:pPr>
        <w:ind w:left="480" w:hanging="480"/>
      </w:pPr>
      <w:rPr>
        <w:rFonts w:hint="default"/>
      </w:rPr>
    </w:lvl>
    <w:lvl w:ilvl="1">
      <w:start w:val="2"/>
      <w:numFmt w:val="decimal"/>
      <w:lvlText w:val="%1.%2"/>
      <w:lvlJc w:val="left"/>
      <w:pPr>
        <w:ind w:left="763" w:hanging="48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5" w15:restartNumberingAfterBreak="0">
    <w:nsid w:val="31401E64"/>
    <w:multiLevelType w:val="multilevel"/>
    <w:tmpl w:val="271E09AC"/>
    <w:lvl w:ilvl="0">
      <w:start w:val="4"/>
      <w:numFmt w:val="decimal"/>
      <w:lvlText w:val="%1"/>
      <w:lvlJc w:val="left"/>
      <w:pPr>
        <w:ind w:left="480" w:hanging="480"/>
      </w:pPr>
      <w:rPr>
        <w:rFonts w:hint="default"/>
      </w:rPr>
    </w:lvl>
    <w:lvl w:ilvl="1">
      <w:start w:val="2"/>
      <w:numFmt w:val="decimal"/>
      <w:lvlText w:val="%1.%2"/>
      <w:lvlJc w:val="left"/>
      <w:pPr>
        <w:ind w:left="547" w:hanging="480"/>
      </w:pPr>
      <w:rPr>
        <w:rFonts w:hint="default"/>
      </w:rPr>
    </w:lvl>
    <w:lvl w:ilvl="2">
      <w:start w:val="1"/>
      <w:numFmt w:val="decimal"/>
      <w:lvlText w:val="%1.%2.%3"/>
      <w:lvlJc w:val="left"/>
      <w:pPr>
        <w:ind w:left="854" w:hanging="720"/>
      </w:pPr>
      <w:rPr>
        <w:rFonts w:hint="default"/>
      </w:rPr>
    </w:lvl>
    <w:lvl w:ilvl="3">
      <w:start w:val="1"/>
      <w:numFmt w:val="decimal"/>
      <w:lvlText w:val="%1.%2.%3.%4"/>
      <w:lvlJc w:val="left"/>
      <w:pPr>
        <w:ind w:left="921" w:hanging="720"/>
      </w:pPr>
      <w:rPr>
        <w:rFonts w:hint="default"/>
      </w:rPr>
    </w:lvl>
    <w:lvl w:ilvl="4">
      <w:start w:val="1"/>
      <w:numFmt w:val="decimal"/>
      <w:lvlText w:val="%1.%2.%3.%4.%5"/>
      <w:lvlJc w:val="left"/>
      <w:pPr>
        <w:ind w:left="1348" w:hanging="1080"/>
      </w:pPr>
      <w:rPr>
        <w:rFonts w:hint="default"/>
      </w:rPr>
    </w:lvl>
    <w:lvl w:ilvl="5">
      <w:start w:val="1"/>
      <w:numFmt w:val="decimal"/>
      <w:lvlText w:val="%1.%2.%3.%4.%5.%6"/>
      <w:lvlJc w:val="left"/>
      <w:pPr>
        <w:ind w:left="1415" w:hanging="1080"/>
      </w:pPr>
      <w:rPr>
        <w:rFonts w:hint="default"/>
      </w:rPr>
    </w:lvl>
    <w:lvl w:ilvl="6">
      <w:start w:val="1"/>
      <w:numFmt w:val="decimal"/>
      <w:lvlText w:val="%1.%2.%3.%4.%5.%6.%7"/>
      <w:lvlJc w:val="left"/>
      <w:pPr>
        <w:ind w:left="1842" w:hanging="1440"/>
      </w:pPr>
      <w:rPr>
        <w:rFonts w:hint="default"/>
      </w:rPr>
    </w:lvl>
    <w:lvl w:ilvl="7">
      <w:start w:val="1"/>
      <w:numFmt w:val="decimal"/>
      <w:lvlText w:val="%1.%2.%3.%4.%5.%6.%7.%8"/>
      <w:lvlJc w:val="left"/>
      <w:pPr>
        <w:ind w:left="1909" w:hanging="1440"/>
      </w:pPr>
      <w:rPr>
        <w:rFonts w:hint="default"/>
      </w:rPr>
    </w:lvl>
    <w:lvl w:ilvl="8">
      <w:start w:val="1"/>
      <w:numFmt w:val="decimal"/>
      <w:lvlText w:val="%1.%2.%3.%4.%5.%6.%7.%8.%9"/>
      <w:lvlJc w:val="left"/>
      <w:pPr>
        <w:ind w:left="2336" w:hanging="1800"/>
      </w:pPr>
      <w:rPr>
        <w:rFonts w:hint="default"/>
      </w:rPr>
    </w:lvl>
  </w:abstractNum>
  <w:abstractNum w:abstractNumId="6" w15:restartNumberingAfterBreak="0">
    <w:nsid w:val="3181508F"/>
    <w:multiLevelType w:val="hybridMultilevel"/>
    <w:tmpl w:val="B1A46BE4"/>
    <w:lvl w:ilvl="0" w:tplc="6D2A73AE">
      <w:start w:val="1"/>
      <w:numFmt w:val="bullet"/>
      <w:pStyle w:val="bullet1"/>
      <w:lvlText w:val=""/>
      <w:lvlJc w:val="left"/>
      <w:pPr>
        <w:ind w:left="720" w:hanging="360"/>
      </w:pPr>
      <w:rPr>
        <w:rFonts w:ascii="Symbol" w:hAnsi="Symbol" w:hint="default"/>
        <w:b/>
        <w:i w:val="0"/>
        <w:color w:val="325BAA"/>
        <w:sz w:val="24"/>
      </w:rPr>
    </w:lvl>
    <w:lvl w:ilvl="1" w:tplc="D758FE2C">
      <w:start w:val="1"/>
      <w:numFmt w:val="bullet"/>
      <w:lvlText w:val="o"/>
      <w:lvlJc w:val="left"/>
      <w:pPr>
        <w:ind w:left="1440" w:hanging="360"/>
      </w:pPr>
      <w:rPr>
        <w:rFonts w:ascii="Courier New" w:hAnsi="Courier New" w:hint="default"/>
        <w:color w:val="44546A" w:themeColor="text2"/>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37AB5D85"/>
    <w:multiLevelType w:val="hybridMultilevel"/>
    <w:tmpl w:val="56067EFC"/>
    <w:lvl w:ilvl="0" w:tplc="15C4706C">
      <w:start w:val="4"/>
      <w:numFmt w:val="bullet"/>
      <w:lvlText w:val="-"/>
      <w:lvlJc w:val="left"/>
      <w:pPr>
        <w:ind w:left="927" w:hanging="360"/>
      </w:pPr>
      <w:rPr>
        <w:rFonts w:ascii="Times New Roman" w:eastAsiaTheme="minorHAnsi" w:hAnsi="Times New Roman" w:cs="Times New Roman" w:hint="default"/>
      </w:rPr>
    </w:lvl>
    <w:lvl w:ilvl="1" w:tplc="18090003">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8" w15:restartNumberingAfterBreak="0">
    <w:nsid w:val="3DB92A87"/>
    <w:multiLevelType w:val="multilevel"/>
    <w:tmpl w:val="E83AADB6"/>
    <w:styleLink w:val="Bullets"/>
    <w:lvl w:ilvl="0">
      <w:start w:val="1"/>
      <w:numFmt w:val="bullet"/>
      <w:pStyle w:val="Bullet10"/>
      <w:lvlText w:val=""/>
      <w:lvlJc w:val="left"/>
      <w:pPr>
        <w:tabs>
          <w:tab w:val="num" w:pos="1020"/>
        </w:tabs>
        <w:ind w:left="1380" w:hanging="340"/>
      </w:pPr>
      <w:rPr>
        <w:rFonts w:ascii="Wingdings" w:hAnsi="Wingdings" w:hint="default"/>
        <w:color w:val="002395"/>
        <w:sz w:val="24"/>
      </w:rPr>
    </w:lvl>
    <w:lvl w:ilvl="1">
      <w:start w:val="1"/>
      <w:numFmt w:val="bullet"/>
      <w:pStyle w:val="Bullet2"/>
      <w:lvlText w:val="-"/>
      <w:lvlJc w:val="left"/>
      <w:pPr>
        <w:tabs>
          <w:tab w:val="num" w:pos="1361"/>
        </w:tabs>
        <w:ind w:left="1721" w:hanging="341"/>
      </w:pPr>
      <w:rPr>
        <w:rFonts w:ascii="Arial" w:hAnsi="Arial" w:hint="default"/>
        <w:color w:val="auto"/>
        <w:sz w:val="24"/>
      </w:rPr>
    </w:lvl>
    <w:lvl w:ilvl="2">
      <w:start w:val="1"/>
      <w:numFmt w:val="bullet"/>
      <w:pStyle w:val="Bullet3"/>
      <w:lvlText w:val="◦"/>
      <w:lvlJc w:val="left"/>
      <w:pPr>
        <w:tabs>
          <w:tab w:val="num" w:pos="1701"/>
        </w:tabs>
        <w:ind w:left="2061" w:hanging="340"/>
      </w:pPr>
      <w:rPr>
        <w:rFonts w:ascii="Arial" w:hAnsi="Arial" w:hint="default"/>
        <w:color w:val="44546A" w:themeColor="text2"/>
        <w:sz w:val="28"/>
      </w:rPr>
    </w:lvl>
    <w:lvl w:ilvl="3">
      <w:start w:val="1"/>
      <w:numFmt w:val="decimal"/>
      <w:lvlText w:val=""/>
      <w:lvlJc w:val="left"/>
      <w:pPr>
        <w:tabs>
          <w:tab w:val="num" w:pos="1701"/>
        </w:tabs>
        <w:ind w:left="2061" w:firstLine="0"/>
      </w:pPr>
    </w:lvl>
    <w:lvl w:ilvl="4">
      <w:start w:val="1"/>
      <w:numFmt w:val="decimal"/>
      <w:lvlText w:val=""/>
      <w:lvlJc w:val="left"/>
      <w:pPr>
        <w:tabs>
          <w:tab w:val="num" w:pos="1701"/>
        </w:tabs>
        <w:ind w:left="2061" w:firstLine="0"/>
      </w:pPr>
    </w:lvl>
    <w:lvl w:ilvl="5">
      <w:start w:val="1"/>
      <w:numFmt w:val="decimal"/>
      <w:lvlText w:val=""/>
      <w:lvlJc w:val="left"/>
      <w:pPr>
        <w:tabs>
          <w:tab w:val="num" w:pos="1701"/>
        </w:tabs>
        <w:ind w:left="2061" w:firstLine="0"/>
      </w:pPr>
    </w:lvl>
    <w:lvl w:ilvl="6">
      <w:start w:val="1"/>
      <w:numFmt w:val="decimal"/>
      <w:lvlText w:val=""/>
      <w:lvlJc w:val="left"/>
      <w:pPr>
        <w:tabs>
          <w:tab w:val="num" w:pos="1701"/>
        </w:tabs>
        <w:ind w:left="2061" w:firstLine="0"/>
      </w:pPr>
    </w:lvl>
    <w:lvl w:ilvl="7">
      <w:start w:val="1"/>
      <w:numFmt w:val="decimal"/>
      <w:lvlText w:val=""/>
      <w:lvlJc w:val="left"/>
      <w:pPr>
        <w:tabs>
          <w:tab w:val="num" w:pos="1701"/>
        </w:tabs>
        <w:ind w:left="2061" w:firstLine="0"/>
      </w:pPr>
    </w:lvl>
    <w:lvl w:ilvl="8">
      <w:start w:val="1"/>
      <w:numFmt w:val="decimal"/>
      <w:lvlText w:val=""/>
      <w:lvlJc w:val="left"/>
      <w:pPr>
        <w:tabs>
          <w:tab w:val="num" w:pos="1701"/>
        </w:tabs>
        <w:ind w:left="2061" w:firstLine="0"/>
      </w:pPr>
    </w:lvl>
  </w:abstractNum>
  <w:abstractNum w:abstractNumId="9" w15:restartNumberingAfterBreak="0">
    <w:nsid w:val="48FD631D"/>
    <w:multiLevelType w:val="hybridMultilevel"/>
    <w:tmpl w:val="562EAE2A"/>
    <w:lvl w:ilvl="0" w:tplc="A9A6CB26">
      <w:start w:val="1"/>
      <w:numFmt w:val="bullet"/>
      <w:lvlText w:val=""/>
      <w:lvlJc w:val="left"/>
      <w:pPr>
        <w:ind w:left="720" w:hanging="360"/>
      </w:pPr>
      <w:rPr>
        <w:rFonts w:ascii="Symbol" w:hAnsi="Symbol" w:hint="default"/>
      </w:rPr>
    </w:lvl>
    <w:lvl w:ilvl="1" w:tplc="00A4DBB4" w:tentative="1">
      <w:start w:val="1"/>
      <w:numFmt w:val="bullet"/>
      <w:lvlText w:val="o"/>
      <w:lvlJc w:val="left"/>
      <w:pPr>
        <w:ind w:left="1440" w:hanging="360"/>
      </w:pPr>
      <w:rPr>
        <w:rFonts w:ascii="Courier New" w:hAnsi="Courier New" w:cs="Courier New" w:hint="default"/>
      </w:rPr>
    </w:lvl>
    <w:lvl w:ilvl="2" w:tplc="2BD292FC" w:tentative="1">
      <w:start w:val="1"/>
      <w:numFmt w:val="bullet"/>
      <w:lvlText w:val=""/>
      <w:lvlJc w:val="left"/>
      <w:pPr>
        <w:ind w:left="2160" w:hanging="360"/>
      </w:pPr>
      <w:rPr>
        <w:rFonts w:ascii="Wingdings" w:hAnsi="Wingdings" w:hint="default"/>
      </w:rPr>
    </w:lvl>
    <w:lvl w:ilvl="3" w:tplc="657CA22C" w:tentative="1">
      <w:start w:val="1"/>
      <w:numFmt w:val="bullet"/>
      <w:lvlText w:val=""/>
      <w:lvlJc w:val="left"/>
      <w:pPr>
        <w:ind w:left="2880" w:hanging="360"/>
      </w:pPr>
      <w:rPr>
        <w:rFonts w:ascii="Symbol" w:hAnsi="Symbol" w:hint="default"/>
      </w:rPr>
    </w:lvl>
    <w:lvl w:ilvl="4" w:tplc="F4447C56" w:tentative="1">
      <w:start w:val="1"/>
      <w:numFmt w:val="bullet"/>
      <w:lvlText w:val="o"/>
      <w:lvlJc w:val="left"/>
      <w:pPr>
        <w:ind w:left="3600" w:hanging="360"/>
      </w:pPr>
      <w:rPr>
        <w:rFonts w:ascii="Courier New" w:hAnsi="Courier New" w:cs="Courier New" w:hint="default"/>
      </w:rPr>
    </w:lvl>
    <w:lvl w:ilvl="5" w:tplc="4BFA0540" w:tentative="1">
      <w:start w:val="1"/>
      <w:numFmt w:val="bullet"/>
      <w:lvlText w:val=""/>
      <w:lvlJc w:val="left"/>
      <w:pPr>
        <w:ind w:left="4320" w:hanging="360"/>
      </w:pPr>
      <w:rPr>
        <w:rFonts w:ascii="Wingdings" w:hAnsi="Wingdings" w:hint="default"/>
      </w:rPr>
    </w:lvl>
    <w:lvl w:ilvl="6" w:tplc="B13CEB3C" w:tentative="1">
      <w:start w:val="1"/>
      <w:numFmt w:val="bullet"/>
      <w:lvlText w:val=""/>
      <w:lvlJc w:val="left"/>
      <w:pPr>
        <w:ind w:left="5040" w:hanging="360"/>
      </w:pPr>
      <w:rPr>
        <w:rFonts w:ascii="Symbol" w:hAnsi="Symbol" w:hint="default"/>
      </w:rPr>
    </w:lvl>
    <w:lvl w:ilvl="7" w:tplc="053630AA" w:tentative="1">
      <w:start w:val="1"/>
      <w:numFmt w:val="bullet"/>
      <w:lvlText w:val="o"/>
      <w:lvlJc w:val="left"/>
      <w:pPr>
        <w:ind w:left="5760" w:hanging="360"/>
      </w:pPr>
      <w:rPr>
        <w:rFonts w:ascii="Courier New" w:hAnsi="Courier New" w:cs="Courier New" w:hint="default"/>
      </w:rPr>
    </w:lvl>
    <w:lvl w:ilvl="8" w:tplc="5ED0DAEE" w:tentative="1">
      <w:start w:val="1"/>
      <w:numFmt w:val="bullet"/>
      <w:lvlText w:val=""/>
      <w:lvlJc w:val="left"/>
      <w:pPr>
        <w:ind w:left="6480" w:hanging="360"/>
      </w:pPr>
      <w:rPr>
        <w:rFonts w:ascii="Wingdings" w:hAnsi="Wingdings" w:hint="default"/>
      </w:rPr>
    </w:lvl>
  </w:abstractNum>
  <w:abstractNum w:abstractNumId="10" w15:restartNumberingAfterBreak="0">
    <w:nsid w:val="4CA62FAB"/>
    <w:multiLevelType w:val="multilevel"/>
    <w:tmpl w:val="37761D92"/>
    <w:lvl w:ilvl="0">
      <w:start w:val="5"/>
      <w:numFmt w:val="decimal"/>
      <w:lvlText w:val="%1."/>
      <w:lvlJc w:val="left"/>
      <w:pPr>
        <w:ind w:left="360" w:hanging="360"/>
      </w:pPr>
      <w:rPr>
        <w:rFonts w:hint="default"/>
        <w:color w:val="auto"/>
      </w:rPr>
    </w:lvl>
    <w:lvl w:ilvl="1">
      <w:start w:val="1"/>
      <w:numFmt w:val="decimal"/>
      <w:lvlText w:val="%1.%2."/>
      <w:lvlJc w:val="left"/>
      <w:pPr>
        <w:ind w:left="792" w:hanging="432"/>
      </w:pPr>
      <w:rPr>
        <w:rFonts w:hint="default"/>
      </w:rPr>
    </w:lvl>
    <w:lvl w:ilvl="2">
      <w:start w:val="1"/>
      <w:numFmt w:val="decimal"/>
      <w:lvlText w:val="%1.%2.%3."/>
      <w:lvlJc w:val="left"/>
      <w:pPr>
        <w:ind w:left="121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5B0F1622"/>
    <w:multiLevelType w:val="multilevel"/>
    <w:tmpl w:val="AD504C8C"/>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53443B2"/>
    <w:multiLevelType w:val="hybridMultilevel"/>
    <w:tmpl w:val="3D7066DE"/>
    <w:lvl w:ilvl="0" w:tplc="D7766BD4">
      <w:start w:val="1"/>
      <w:numFmt w:val="bullet"/>
      <w:lvlText w:val=""/>
      <w:lvlJc w:val="left"/>
      <w:pPr>
        <w:ind w:left="785" w:hanging="360"/>
      </w:pPr>
      <w:rPr>
        <w:rFonts w:ascii="Symbol" w:hAnsi="Symbol" w:hint="default"/>
        <w:color w:val="000000" w:themeColor="text1"/>
      </w:rPr>
    </w:lvl>
    <w:lvl w:ilvl="1" w:tplc="2C0A0003">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13" w15:restartNumberingAfterBreak="0">
    <w:nsid w:val="6A213D33"/>
    <w:multiLevelType w:val="hybridMultilevel"/>
    <w:tmpl w:val="FE2A2CDE"/>
    <w:lvl w:ilvl="0" w:tplc="F1F6EA6E">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730A2623"/>
    <w:multiLevelType w:val="hybridMultilevel"/>
    <w:tmpl w:val="DCC635C2"/>
    <w:lvl w:ilvl="0" w:tplc="080C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15" w15:restartNumberingAfterBreak="0">
    <w:nsid w:val="77F715FC"/>
    <w:multiLevelType w:val="hybridMultilevel"/>
    <w:tmpl w:val="0EDEC80A"/>
    <w:lvl w:ilvl="0" w:tplc="F4F6028E">
      <w:start w:val="1"/>
      <w:numFmt w:val="bullet"/>
      <w:lvlText w:val=""/>
      <w:lvlJc w:val="left"/>
      <w:pPr>
        <w:ind w:left="1287" w:hanging="360"/>
      </w:pPr>
      <w:rPr>
        <w:rFonts w:ascii="Symbol" w:hAnsi="Symbol" w:hint="default"/>
      </w:rPr>
    </w:lvl>
    <w:lvl w:ilvl="1" w:tplc="6E729528" w:tentative="1">
      <w:start w:val="1"/>
      <w:numFmt w:val="bullet"/>
      <w:lvlText w:val="o"/>
      <w:lvlJc w:val="left"/>
      <w:pPr>
        <w:ind w:left="2007" w:hanging="360"/>
      </w:pPr>
      <w:rPr>
        <w:rFonts w:ascii="Courier New" w:hAnsi="Courier New" w:cs="Courier New" w:hint="default"/>
      </w:rPr>
    </w:lvl>
    <w:lvl w:ilvl="2" w:tplc="A0D20E7A" w:tentative="1">
      <w:start w:val="1"/>
      <w:numFmt w:val="bullet"/>
      <w:lvlText w:val=""/>
      <w:lvlJc w:val="left"/>
      <w:pPr>
        <w:ind w:left="2727" w:hanging="360"/>
      </w:pPr>
      <w:rPr>
        <w:rFonts w:ascii="Wingdings" w:hAnsi="Wingdings" w:hint="default"/>
      </w:rPr>
    </w:lvl>
    <w:lvl w:ilvl="3" w:tplc="BFF0CD38" w:tentative="1">
      <w:start w:val="1"/>
      <w:numFmt w:val="bullet"/>
      <w:lvlText w:val=""/>
      <w:lvlJc w:val="left"/>
      <w:pPr>
        <w:ind w:left="3447" w:hanging="360"/>
      </w:pPr>
      <w:rPr>
        <w:rFonts w:ascii="Symbol" w:hAnsi="Symbol" w:hint="default"/>
      </w:rPr>
    </w:lvl>
    <w:lvl w:ilvl="4" w:tplc="8C227FA2" w:tentative="1">
      <w:start w:val="1"/>
      <w:numFmt w:val="bullet"/>
      <w:lvlText w:val="o"/>
      <w:lvlJc w:val="left"/>
      <w:pPr>
        <w:ind w:left="4167" w:hanging="360"/>
      </w:pPr>
      <w:rPr>
        <w:rFonts w:ascii="Courier New" w:hAnsi="Courier New" w:cs="Courier New" w:hint="default"/>
      </w:rPr>
    </w:lvl>
    <w:lvl w:ilvl="5" w:tplc="0B0C3560" w:tentative="1">
      <w:start w:val="1"/>
      <w:numFmt w:val="bullet"/>
      <w:lvlText w:val=""/>
      <w:lvlJc w:val="left"/>
      <w:pPr>
        <w:ind w:left="4887" w:hanging="360"/>
      </w:pPr>
      <w:rPr>
        <w:rFonts w:ascii="Wingdings" w:hAnsi="Wingdings" w:hint="default"/>
      </w:rPr>
    </w:lvl>
    <w:lvl w:ilvl="6" w:tplc="305E16D0" w:tentative="1">
      <w:start w:val="1"/>
      <w:numFmt w:val="bullet"/>
      <w:lvlText w:val=""/>
      <w:lvlJc w:val="left"/>
      <w:pPr>
        <w:ind w:left="5607" w:hanging="360"/>
      </w:pPr>
      <w:rPr>
        <w:rFonts w:ascii="Symbol" w:hAnsi="Symbol" w:hint="default"/>
      </w:rPr>
    </w:lvl>
    <w:lvl w:ilvl="7" w:tplc="A4468756" w:tentative="1">
      <w:start w:val="1"/>
      <w:numFmt w:val="bullet"/>
      <w:lvlText w:val="o"/>
      <w:lvlJc w:val="left"/>
      <w:pPr>
        <w:ind w:left="6327" w:hanging="360"/>
      </w:pPr>
      <w:rPr>
        <w:rFonts w:ascii="Courier New" w:hAnsi="Courier New" w:cs="Courier New" w:hint="default"/>
      </w:rPr>
    </w:lvl>
    <w:lvl w:ilvl="8" w:tplc="5344BC1A" w:tentative="1">
      <w:start w:val="1"/>
      <w:numFmt w:val="bullet"/>
      <w:lvlText w:val=""/>
      <w:lvlJc w:val="left"/>
      <w:pPr>
        <w:ind w:left="7047" w:hanging="360"/>
      </w:pPr>
      <w:rPr>
        <w:rFonts w:ascii="Wingdings" w:hAnsi="Wingdings" w:hint="default"/>
      </w:rPr>
    </w:lvl>
  </w:abstractNum>
  <w:abstractNum w:abstractNumId="16" w15:restartNumberingAfterBreak="0">
    <w:nsid w:val="7BE01280"/>
    <w:multiLevelType w:val="multilevel"/>
    <w:tmpl w:val="AF004176"/>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1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F37455F"/>
    <w:multiLevelType w:val="hybridMultilevel"/>
    <w:tmpl w:val="CDB8B546"/>
    <w:lvl w:ilvl="0" w:tplc="B4B6259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2"/>
  </w:num>
  <w:num w:numId="3">
    <w:abstractNumId w:val="9"/>
  </w:num>
  <w:num w:numId="4">
    <w:abstractNumId w:val="0"/>
  </w:num>
  <w:num w:numId="5">
    <w:abstractNumId w:val="15"/>
  </w:num>
  <w:num w:numId="6">
    <w:abstractNumId w:val="8"/>
  </w:num>
  <w:num w:numId="7">
    <w:abstractNumId w:val="6"/>
  </w:num>
  <w:num w:numId="8">
    <w:abstractNumId w:val="13"/>
  </w:num>
  <w:num w:numId="9">
    <w:abstractNumId w:val="14"/>
  </w:num>
  <w:num w:numId="10">
    <w:abstractNumId w:val="3"/>
  </w:num>
  <w:num w:numId="11">
    <w:abstractNumId w:val="1"/>
  </w:num>
  <w:num w:numId="12">
    <w:abstractNumId w:val="17"/>
  </w:num>
  <w:num w:numId="13">
    <w:abstractNumId w:val="5"/>
  </w:num>
  <w:num w:numId="14">
    <w:abstractNumId w:val="7"/>
  </w:num>
  <w:num w:numId="15">
    <w:abstractNumId w:val="4"/>
  </w:num>
  <w:num w:numId="16">
    <w:abstractNumId w:val="12"/>
  </w:num>
  <w:num w:numId="17">
    <w:abstractNumId w:val="11"/>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45848FC5-F431-4485-B383-D7F4FD0B07D3"/>
    <w:docVar w:name="LW_COVERPAGE_TYPE" w:val="1"/>
    <w:docVar w:name="LW_CROSSREFERENCE" w:val="&lt;UNUSED&gt;"/>
    <w:docVar w:name="LW_DocType" w:val="NORMAL"/>
    <w:docVar w:name="LW_EMISSION" w:val="4.2.2026"/>
    <w:docVar w:name="LW_EMISSION_ISODATE" w:val="2026-02-04"/>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6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exercitarea deleg\u259?rii conferite Comisiei în temeiul_x000b_articolului 31 din Regulamentul (UE) 2015/2283 privind alimentele noi _x000b_"/>
    <w:docVar w:name="LW_TYPE.DOC.CP" w:val="RAPORT AL COMISIEI C\u258?TRE PARLAMENTUL EUROPEAN \u536?I CONSILIU"/>
    <w:docVar w:name="LwApiVersions" w:val="LW4CoDe 1.24.5.0; LW 9.2, Build 20251112"/>
  </w:docVars>
  <w:rsids>
    <w:rsidRoot w:val="00237E99"/>
    <w:rsid w:val="00000257"/>
    <w:rsid w:val="000008D2"/>
    <w:rsid w:val="00002023"/>
    <w:rsid w:val="000028E1"/>
    <w:rsid w:val="00007C79"/>
    <w:rsid w:val="00012E7B"/>
    <w:rsid w:val="00014099"/>
    <w:rsid w:val="00014A68"/>
    <w:rsid w:val="00014DB3"/>
    <w:rsid w:val="0001654C"/>
    <w:rsid w:val="00016E3C"/>
    <w:rsid w:val="00020EDA"/>
    <w:rsid w:val="000231C3"/>
    <w:rsid w:val="00023D65"/>
    <w:rsid w:val="00025BC2"/>
    <w:rsid w:val="00026DF9"/>
    <w:rsid w:val="00026EAB"/>
    <w:rsid w:val="000275BD"/>
    <w:rsid w:val="00035D4D"/>
    <w:rsid w:val="00035DB8"/>
    <w:rsid w:val="000367BB"/>
    <w:rsid w:val="000375B3"/>
    <w:rsid w:val="00037B6C"/>
    <w:rsid w:val="000419BF"/>
    <w:rsid w:val="00043973"/>
    <w:rsid w:val="00045556"/>
    <w:rsid w:val="00045BB2"/>
    <w:rsid w:val="0005197F"/>
    <w:rsid w:val="00053325"/>
    <w:rsid w:val="000534B5"/>
    <w:rsid w:val="00055DB7"/>
    <w:rsid w:val="00056CCF"/>
    <w:rsid w:val="000612D7"/>
    <w:rsid w:val="0006131B"/>
    <w:rsid w:val="00061A60"/>
    <w:rsid w:val="00065D50"/>
    <w:rsid w:val="00066C5B"/>
    <w:rsid w:val="000674B2"/>
    <w:rsid w:val="00070241"/>
    <w:rsid w:val="00070DB3"/>
    <w:rsid w:val="00070E5D"/>
    <w:rsid w:val="000722B8"/>
    <w:rsid w:val="00072342"/>
    <w:rsid w:val="00074020"/>
    <w:rsid w:val="00076A87"/>
    <w:rsid w:val="00077009"/>
    <w:rsid w:val="00080FC9"/>
    <w:rsid w:val="000810AC"/>
    <w:rsid w:val="000859FA"/>
    <w:rsid w:val="000862C6"/>
    <w:rsid w:val="0008699A"/>
    <w:rsid w:val="0008738A"/>
    <w:rsid w:val="00087C55"/>
    <w:rsid w:val="00090B0E"/>
    <w:rsid w:val="00093574"/>
    <w:rsid w:val="00094651"/>
    <w:rsid w:val="00095559"/>
    <w:rsid w:val="00097138"/>
    <w:rsid w:val="000A000C"/>
    <w:rsid w:val="000A24EC"/>
    <w:rsid w:val="000A3569"/>
    <w:rsid w:val="000A5CD4"/>
    <w:rsid w:val="000A6FAF"/>
    <w:rsid w:val="000B0A31"/>
    <w:rsid w:val="000B1402"/>
    <w:rsid w:val="000B1AF3"/>
    <w:rsid w:val="000B3315"/>
    <w:rsid w:val="000B3880"/>
    <w:rsid w:val="000B3D07"/>
    <w:rsid w:val="000B4394"/>
    <w:rsid w:val="000B6D65"/>
    <w:rsid w:val="000C0719"/>
    <w:rsid w:val="000C0D4F"/>
    <w:rsid w:val="000C1477"/>
    <w:rsid w:val="000C2580"/>
    <w:rsid w:val="000C3F53"/>
    <w:rsid w:val="000C7718"/>
    <w:rsid w:val="000D1A21"/>
    <w:rsid w:val="000D4D3B"/>
    <w:rsid w:val="000D57F2"/>
    <w:rsid w:val="000E1769"/>
    <w:rsid w:val="000E462E"/>
    <w:rsid w:val="000E4A38"/>
    <w:rsid w:val="000E7416"/>
    <w:rsid w:val="000E74C0"/>
    <w:rsid w:val="000E794A"/>
    <w:rsid w:val="000F0AD2"/>
    <w:rsid w:val="000F116D"/>
    <w:rsid w:val="000F20CD"/>
    <w:rsid w:val="000F2541"/>
    <w:rsid w:val="000F353F"/>
    <w:rsid w:val="000F5746"/>
    <w:rsid w:val="000F5DCE"/>
    <w:rsid w:val="000F78BD"/>
    <w:rsid w:val="00100023"/>
    <w:rsid w:val="0010011E"/>
    <w:rsid w:val="001031EF"/>
    <w:rsid w:val="0010473C"/>
    <w:rsid w:val="00104A8D"/>
    <w:rsid w:val="00105D5E"/>
    <w:rsid w:val="0010742A"/>
    <w:rsid w:val="001117D7"/>
    <w:rsid w:val="001118FC"/>
    <w:rsid w:val="00111C81"/>
    <w:rsid w:val="00112095"/>
    <w:rsid w:val="00113A8A"/>
    <w:rsid w:val="00117869"/>
    <w:rsid w:val="00120061"/>
    <w:rsid w:val="00120643"/>
    <w:rsid w:val="001216EB"/>
    <w:rsid w:val="00121E46"/>
    <w:rsid w:val="001235E1"/>
    <w:rsid w:val="00123B96"/>
    <w:rsid w:val="00124C93"/>
    <w:rsid w:val="00125C55"/>
    <w:rsid w:val="00126581"/>
    <w:rsid w:val="00126B23"/>
    <w:rsid w:val="001270C9"/>
    <w:rsid w:val="001308A4"/>
    <w:rsid w:val="00130C20"/>
    <w:rsid w:val="0013154E"/>
    <w:rsid w:val="001320D5"/>
    <w:rsid w:val="0013264E"/>
    <w:rsid w:val="00135794"/>
    <w:rsid w:val="001363A2"/>
    <w:rsid w:val="001412E3"/>
    <w:rsid w:val="0014178D"/>
    <w:rsid w:val="00144929"/>
    <w:rsid w:val="00145FAE"/>
    <w:rsid w:val="0014606E"/>
    <w:rsid w:val="00151071"/>
    <w:rsid w:val="00153C08"/>
    <w:rsid w:val="00154C84"/>
    <w:rsid w:val="00156090"/>
    <w:rsid w:val="00161BB2"/>
    <w:rsid w:val="00167191"/>
    <w:rsid w:val="001708DE"/>
    <w:rsid w:val="0017230D"/>
    <w:rsid w:val="00174B40"/>
    <w:rsid w:val="001778A5"/>
    <w:rsid w:val="00177B63"/>
    <w:rsid w:val="00181AFE"/>
    <w:rsid w:val="00183564"/>
    <w:rsid w:val="001844AA"/>
    <w:rsid w:val="00184ECF"/>
    <w:rsid w:val="00185054"/>
    <w:rsid w:val="00185C0C"/>
    <w:rsid w:val="00186A2D"/>
    <w:rsid w:val="00187B0E"/>
    <w:rsid w:val="00187D86"/>
    <w:rsid w:val="001928D5"/>
    <w:rsid w:val="001943A1"/>
    <w:rsid w:val="00194D5E"/>
    <w:rsid w:val="00196D0C"/>
    <w:rsid w:val="00197B37"/>
    <w:rsid w:val="001A28EE"/>
    <w:rsid w:val="001A40B0"/>
    <w:rsid w:val="001B29E6"/>
    <w:rsid w:val="001B356B"/>
    <w:rsid w:val="001B4306"/>
    <w:rsid w:val="001B4939"/>
    <w:rsid w:val="001B56DF"/>
    <w:rsid w:val="001B56FE"/>
    <w:rsid w:val="001B5D79"/>
    <w:rsid w:val="001B7B6D"/>
    <w:rsid w:val="001B7D14"/>
    <w:rsid w:val="001B7DF2"/>
    <w:rsid w:val="001B7F3F"/>
    <w:rsid w:val="001C0A50"/>
    <w:rsid w:val="001C1C85"/>
    <w:rsid w:val="001C3FC8"/>
    <w:rsid w:val="001C4F73"/>
    <w:rsid w:val="001C7150"/>
    <w:rsid w:val="001D0B0D"/>
    <w:rsid w:val="001D45BA"/>
    <w:rsid w:val="001D5291"/>
    <w:rsid w:val="001D6DB9"/>
    <w:rsid w:val="001E0150"/>
    <w:rsid w:val="001E2B9C"/>
    <w:rsid w:val="001E3C23"/>
    <w:rsid w:val="001E3DEE"/>
    <w:rsid w:val="001E431F"/>
    <w:rsid w:val="001E4865"/>
    <w:rsid w:val="001E5062"/>
    <w:rsid w:val="001E6A07"/>
    <w:rsid w:val="001E7372"/>
    <w:rsid w:val="001E785F"/>
    <w:rsid w:val="001E7A31"/>
    <w:rsid w:val="001F1124"/>
    <w:rsid w:val="001F19D7"/>
    <w:rsid w:val="001F2552"/>
    <w:rsid w:val="001F2F81"/>
    <w:rsid w:val="001F42C6"/>
    <w:rsid w:val="001F4968"/>
    <w:rsid w:val="001F55A4"/>
    <w:rsid w:val="001F62ED"/>
    <w:rsid w:val="00200527"/>
    <w:rsid w:val="0020132E"/>
    <w:rsid w:val="00201869"/>
    <w:rsid w:val="00201E99"/>
    <w:rsid w:val="00203C62"/>
    <w:rsid w:val="0020766C"/>
    <w:rsid w:val="00213328"/>
    <w:rsid w:val="0021476F"/>
    <w:rsid w:val="0021518F"/>
    <w:rsid w:val="00216A47"/>
    <w:rsid w:val="00220960"/>
    <w:rsid w:val="00221708"/>
    <w:rsid w:val="00222A43"/>
    <w:rsid w:val="0022390A"/>
    <w:rsid w:val="0022497F"/>
    <w:rsid w:val="00224AD6"/>
    <w:rsid w:val="00225FFC"/>
    <w:rsid w:val="00230CC0"/>
    <w:rsid w:val="00231BA0"/>
    <w:rsid w:val="00232E82"/>
    <w:rsid w:val="00234226"/>
    <w:rsid w:val="00237E99"/>
    <w:rsid w:val="0024295C"/>
    <w:rsid w:val="00243099"/>
    <w:rsid w:val="00244530"/>
    <w:rsid w:val="0024522E"/>
    <w:rsid w:val="002452E4"/>
    <w:rsid w:val="002463F1"/>
    <w:rsid w:val="0025082E"/>
    <w:rsid w:val="00250C18"/>
    <w:rsid w:val="00257143"/>
    <w:rsid w:val="00260B34"/>
    <w:rsid w:val="002611D0"/>
    <w:rsid w:val="002634BF"/>
    <w:rsid w:val="00264B02"/>
    <w:rsid w:val="0026536B"/>
    <w:rsid w:val="00265A39"/>
    <w:rsid w:val="0026727B"/>
    <w:rsid w:val="002702BA"/>
    <w:rsid w:val="002709AF"/>
    <w:rsid w:val="00274C57"/>
    <w:rsid w:val="002767DE"/>
    <w:rsid w:val="00284F51"/>
    <w:rsid w:val="002854CC"/>
    <w:rsid w:val="00286556"/>
    <w:rsid w:val="0029135B"/>
    <w:rsid w:val="00293515"/>
    <w:rsid w:val="002935F5"/>
    <w:rsid w:val="00293BD9"/>
    <w:rsid w:val="002969BA"/>
    <w:rsid w:val="002A0AE7"/>
    <w:rsid w:val="002A33C6"/>
    <w:rsid w:val="002A4B10"/>
    <w:rsid w:val="002B2533"/>
    <w:rsid w:val="002B26D8"/>
    <w:rsid w:val="002B52E2"/>
    <w:rsid w:val="002B5C23"/>
    <w:rsid w:val="002B6E5A"/>
    <w:rsid w:val="002C269D"/>
    <w:rsid w:val="002C2B5F"/>
    <w:rsid w:val="002C396C"/>
    <w:rsid w:val="002C4C8C"/>
    <w:rsid w:val="002C503E"/>
    <w:rsid w:val="002C5B7F"/>
    <w:rsid w:val="002C6EEE"/>
    <w:rsid w:val="002C7405"/>
    <w:rsid w:val="002D0B34"/>
    <w:rsid w:val="002D0C21"/>
    <w:rsid w:val="002D2C61"/>
    <w:rsid w:val="002D33D3"/>
    <w:rsid w:val="002E0D3A"/>
    <w:rsid w:val="002E1D38"/>
    <w:rsid w:val="002E2F97"/>
    <w:rsid w:val="002E330E"/>
    <w:rsid w:val="002E43BE"/>
    <w:rsid w:val="002F1F80"/>
    <w:rsid w:val="002F321C"/>
    <w:rsid w:val="002F343C"/>
    <w:rsid w:val="002F4C57"/>
    <w:rsid w:val="002F4F76"/>
    <w:rsid w:val="00301888"/>
    <w:rsid w:val="00304583"/>
    <w:rsid w:val="00306107"/>
    <w:rsid w:val="00310882"/>
    <w:rsid w:val="003108AE"/>
    <w:rsid w:val="00312917"/>
    <w:rsid w:val="00312EA1"/>
    <w:rsid w:val="00314A6A"/>
    <w:rsid w:val="003159D9"/>
    <w:rsid w:val="00316E51"/>
    <w:rsid w:val="00317832"/>
    <w:rsid w:val="00320D41"/>
    <w:rsid w:val="003273E6"/>
    <w:rsid w:val="0032745A"/>
    <w:rsid w:val="00327DE2"/>
    <w:rsid w:val="00331C9F"/>
    <w:rsid w:val="003323A6"/>
    <w:rsid w:val="0033374E"/>
    <w:rsid w:val="00334AFE"/>
    <w:rsid w:val="00334C7F"/>
    <w:rsid w:val="00335FD6"/>
    <w:rsid w:val="00336292"/>
    <w:rsid w:val="0034092E"/>
    <w:rsid w:val="00340DF0"/>
    <w:rsid w:val="003428C9"/>
    <w:rsid w:val="00343ED3"/>
    <w:rsid w:val="00344F06"/>
    <w:rsid w:val="00345798"/>
    <w:rsid w:val="0034698E"/>
    <w:rsid w:val="00353DA6"/>
    <w:rsid w:val="00355ED3"/>
    <w:rsid w:val="003602B1"/>
    <w:rsid w:val="00361D92"/>
    <w:rsid w:val="00363F86"/>
    <w:rsid w:val="00364AF2"/>
    <w:rsid w:val="00370BDA"/>
    <w:rsid w:val="00372454"/>
    <w:rsid w:val="00372AB9"/>
    <w:rsid w:val="003739EF"/>
    <w:rsid w:val="0038137B"/>
    <w:rsid w:val="003819E0"/>
    <w:rsid w:val="0038729B"/>
    <w:rsid w:val="00392BA5"/>
    <w:rsid w:val="00393868"/>
    <w:rsid w:val="00393C5D"/>
    <w:rsid w:val="0039646E"/>
    <w:rsid w:val="00396699"/>
    <w:rsid w:val="00396B83"/>
    <w:rsid w:val="003A13CF"/>
    <w:rsid w:val="003A16F6"/>
    <w:rsid w:val="003A191D"/>
    <w:rsid w:val="003A3809"/>
    <w:rsid w:val="003B1FE0"/>
    <w:rsid w:val="003B2C77"/>
    <w:rsid w:val="003B3539"/>
    <w:rsid w:val="003B3A21"/>
    <w:rsid w:val="003B4447"/>
    <w:rsid w:val="003B4964"/>
    <w:rsid w:val="003B54F7"/>
    <w:rsid w:val="003C0BAB"/>
    <w:rsid w:val="003C1BE2"/>
    <w:rsid w:val="003C1D30"/>
    <w:rsid w:val="003C3825"/>
    <w:rsid w:val="003C5D6A"/>
    <w:rsid w:val="003C5EF2"/>
    <w:rsid w:val="003D0F97"/>
    <w:rsid w:val="003D14D7"/>
    <w:rsid w:val="003D4898"/>
    <w:rsid w:val="003D624E"/>
    <w:rsid w:val="003D77E3"/>
    <w:rsid w:val="003E017F"/>
    <w:rsid w:val="003E01D7"/>
    <w:rsid w:val="003E1CCD"/>
    <w:rsid w:val="003E1EB8"/>
    <w:rsid w:val="003E33AE"/>
    <w:rsid w:val="003E4B72"/>
    <w:rsid w:val="003E5F27"/>
    <w:rsid w:val="003E6CF5"/>
    <w:rsid w:val="003E6FB4"/>
    <w:rsid w:val="003F0064"/>
    <w:rsid w:val="003F132A"/>
    <w:rsid w:val="003F1378"/>
    <w:rsid w:val="003F1722"/>
    <w:rsid w:val="003F1C24"/>
    <w:rsid w:val="003F4779"/>
    <w:rsid w:val="003F4D89"/>
    <w:rsid w:val="003F4E91"/>
    <w:rsid w:val="003F5AFA"/>
    <w:rsid w:val="003F6669"/>
    <w:rsid w:val="0040349F"/>
    <w:rsid w:val="00404C7F"/>
    <w:rsid w:val="0040660B"/>
    <w:rsid w:val="00407639"/>
    <w:rsid w:val="004124CA"/>
    <w:rsid w:val="004128FD"/>
    <w:rsid w:val="00412E7C"/>
    <w:rsid w:val="004146E7"/>
    <w:rsid w:val="00417907"/>
    <w:rsid w:val="00422A52"/>
    <w:rsid w:val="00426D1A"/>
    <w:rsid w:val="00431646"/>
    <w:rsid w:val="00432584"/>
    <w:rsid w:val="00432A87"/>
    <w:rsid w:val="00433FFD"/>
    <w:rsid w:val="004357EF"/>
    <w:rsid w:val="00435B21"/>
    <w:rsid w:val="00436535"/>
    <w:rsid w:val="00437D29"/>
    <w:rsid w:val="004407DE"/>
    <w:rsid w:val="00440C65"/>
    <w:rsid w:val="0044617E"/>
    <w:rsid w:val="004514B1"/>
    <w:rsid w:val="0045262E"/>
    <w:rsid w:val="00454027"/>
    <w:rsid w:val="0045596C"/>
    <w:rsid w:val="00456B99"/>
    <w:rsid w:val="00457CCE"/>
    <w:rsid w:val="00462354"/>
    <w:rsid w:val="004629CB"/>
    <w:rsid w:val="00466E36"/>
    <w:rsid w:val="00467369"/>
    <w:rsid w:val="00467776"/>
    <w:rsid w:val="00467944"/>
    <w:rsid w:val="00467ADF"/>
    <w:rsid w:val="004703EF"/>
    <w:rsid w:val="00470CB9"/>
    <w:rsid w:val="00470F85"/>
    <w:rsid w:val="004711F2"/>
    <w:rsid w:val="00471BF5"/>
    <w:rsid w:val="004735ED"/>
    <w:rsid w:val="00475279"/>
    <w:rsid w:val="004771ED"/>
    <w:rsid w:val="004808C2"/>
    <w:rsid w:val="00480F48"/>
    <w:rsid w:val="004810BD"/>
    <w:rsid w:val="00481D2A"/>
    <w:rsid w:val="00481F97"/>
    <w:rsid w:val="00485100"/>
    <w:rsid w:val="00485C80"/>
    <w:rsid w:val="00491EC1"/>
    <w:rsid w:val="00492342"/>
    <w:rsid w:val="0049296C"/>
    <w:rsid w:val="00493615"/>
    <w:rsid w:val="00493AB4"/>
    <w:rsid w:val="00495182"/>
    <w:rsid w:val="004A0C0D"/>
    <w:rsid w:val="004A0EAD"/>
    <w:rsid w:val="004A2841"/>
    <w:rsid w:val="004B0494"/>
    <w:rsid w:val="004B11CE"/>
    <w:rsid w:val="004B1DE2"/>
    <w:rsid w:val="004C139A"/>
    <w:rsid w:val="004C1F14"/>
    <w:rsid w:val="004C2499"/>
    <w:rsid w:val="004C2878"/>
    <w:rsid w:val="004C2A7C"/>
    <w:rsid w:val="004C334B"/>
    <w:rsid w:val="004C3DF1"/>
    <w:rsid w:val="004C7C0C"/>
    <w:rsid w:val="004C7E7D"/>
    <w:rsid w:val="004D4142"/>
    <w:rsid w:val="004D48E9"/>
    <w:rsid w:val="004D734D"/>
    <w:rsid w:val="004E1C95"/>
    <w:rsid w:val="004E26EC"/>
    <w:rsid w:val="004E276A"/>
    <w:rsid w:val="004E2779"/>
    <w:rsid w:val="004E4767"/>
    <w:rsid w:val="004E537B"/>
    <w:rsid w:val="004E75A3"/>
    <w:rsid w:val="004F0E0E"/>
    <w:rsid w:val="004F19EF"/>
    <w:rsid w:val="004F2481"/>
    <w:rsid w:val="004F66A4"/>
    <w:rsid w:val="004F7904"/>
    <w:rsid w:val="004F7A3B"/>
    <w:rsid w:val="00500D7C"/>
    <w:rsid w:val="00502B5E"/>
    <w:rsid w:val="005038D9"/>
    <w:rsid w:val="00504DC3"/>
    <w:rsid w:val="005112C3"/>
    <w:rsid w:val="00511A5E"/>
    <w:rsid w:val="005123E3"/>
    <w:rsid w:val="00512F9A"/>
    <w:rsid w:val="0052261E"/>
    <w:rsid w:val="00523AE2"/>
    <w:rsid w:val="0052407C"/>
    <w:rsid w:val="00525E0A"/>
    <w:rsid w:val="00526726"/>
    <w:rsid w:val="005268E6"/>
    <w:rsid w:val="00526D75"/>
    <w:rsid w:val="00531DBE"/>
    <w:rsid w:val="00534133"/>
    <w:rsid w:val="00537E8F"/>
    <w:rsid w:val="00540358"/>
    <w:rsid w:val="00540361"/>
    <w:rsid w:val="00540A11"/>
    <w:rsid w:val="005460DB"/>
    <w:rsid w:val="00546D46"/>
    <w:rsid w:val="0055031F"/>
    <w:rsid w:val="005578C7"/>
    <w:rsid w:val="00557DCC"/>
    <w:rsid w:val="00560057"/>
    <w:rsid w:val="0056406D"/>
    <w:rsid w:val="00564281"/>
    <w:rsid w:val="00566570"/>
    <w:rsid w:val="00571B90"/>
    <w:rsid w:val="00572449"/>
    <w:rsid w:val="00572DCF"/>
    <w:rsid w:val="00573144"/>
    <w:rsid w:val="0057369F"/>
    <w:rsid w:val="00576F4A"/>
    <w:rsid w:val="005827CF"/>
    <w:rsid w:val="00582FA2"/>
    <w:rsid w:val="005840A7"/>
    <w:rsid w:val="00586BE6"/>
    <w:rsid w:val="00587E46"/>
    <w:rsid w:val="00593136"/>
    <w:rsid w:val="0059508B"/>
    <w:rsid w:val="0059646B"/>
    <w:rsid w:val="005969D1"/>
    <w:rsid w:val="005A3001"/>
    <w:rsid w:val="005A71A8"/>
    <w:rsid w:val="005B0C8D"/>
    <w:rsid w:val="005B2CC9"/>
    <w:rsid w:val="005B3EDA"/>
    <w:rsid w:val="005B3EEE"/>
    <w:rsid w:val="005C1421"/>
    <w:rsid w:val="005C1776"/>
    <w:rsid w:val="005C208B"/>
    <w:rsid w:val="005C2426"/>
    <w:rsid w:val="005C44B0"/>
    <w:rsid w:val="005C46C8"/>
    <w:rsid w:val="005C56E2"/>
    <w:rsid w:val="005C5F67"/>
    <w:rsid w:val="005C7385"/>
    <w:rsid w:val="005D123D"/>
    <w:rsid w:val="005D1853"/>
    <w:rsid w:val="005D3CBB"/>
    <w:rsid w:val="005D46C5"/>
    <w:rsid w:val="005D5F3C"/>
    <w:rsid w:val="005E49CC"/>
    <w:rsid w:val="005E5DCF"/>
    <w:rsid w:val="005F404C"/>
    <w:rsid w:val="006006BF"/>
    <w:rsid w:val="00600BDC"/>
    <w:rsid w:val="00600CAD"/>
    <w:rsid w:val="00605198"/>
    <w:rsid w:val="0060603A"/>
    <w:rsid w:val="00612A38"/>
    <w:rsid w:val="00613CB0"/>
    <w:rsid w:val="00616E53"/>
    <w:rsid w:val="006255BE"/>
    <w:rsid w:val="006270F2"/>
    <w:rsid w:val="006309F4"/>
    <w:rsid w:val="006314AF"/>
    <w:rsid w:val="00632216"/>
    <w:rsid w:val="006353B0"/>
    <w:rsid w:val="00636F42"/>
    <w:rsid w:val="00640EE3"/>
    <w:rsid w:val="006412C5"/>
    <w:rsid w:val="0064712B"/>
    <w:rsid w:val="0064758A"/>
    <w:rsid w:val="0065149B"/>
    <w:rsid w:val="0065544D"/>
    <w:rsid w:val="006554E4"/>
    <w:rsid w:val="00655FE4"/>
    <w:rsid w:val="0065644D"/>
    <w:rsid w:val="00656A1F"/>
    <w:rsid w:val="00656A89"/>
    <w:rsid w:val="00657152"/>
    <w:rsid w:val="0066723D"/>
    <w:rsid w:val="0066728C"/>
    <w:rsid w:val="00667409"/>
    <w:rsid w:val="00670F79"/>
    <w:rsid w:val="00672F53"/>
    <w:rsid w:val="00675B6B"/>
    <w:rsid w:val="00680115"/>
    <w:rsid w:val="006803D7"/>
    <w:rsid w:val="00680480"/>
    <w:rsid w:val="00680D3C"/>
    <w:rsid w:val="00681388"/>
    <w:rsid w:val="00681838"/>
    <w:rsid w:val="00682FD2"/>
    <w:rsid w:val="00685935"/>
    <w:rsid w:val="00686430"/>
    <w:rsid w:val="006877BA"/>
    <w:rsid w:val="00687974"/>
    <w:rsid w:val="00691F4B"/>
    <w:rsid w:val="0069250C"/>
    <w:rsid w:val="00692C97"/>
    <w:rsid w:val="0069348F"/>
    <w:rsid w:val="006945C7"/>
    <w:rsid w:val="00694DB6"/>
    <w:rsid w:val="0069523D"/>
    <w:rsid w:val="006A0F22"/>
    <w:rsid w:val="006A2765"/>
    <w:rsid w:val="006A4E98"/>
    <w:rsid w:val="006A67D1"/>
    <w:rsid w:val="006A6CE0"/>
    <w:rsid w:val="006A76E5"/>
    <w:rsid w:val="006B1C5D"/>
    <w:rsid w:val="006B214E"/>
    <w:rsid w:val="006B23A2"/>
    <w:rsid w:val="006B32BF"/>
    <w:rsid w:val="006B3CC7"/>
    <w:rsid w:val="006B57A3"/>
    <w:rsid w:val="006B5C07"/>
    <w:rsid w:val="006C1B82"/>
    <w:rsid w:val="006C2779"/>
    <w:rsid w:val="006C2E98"/>
    <w:rsid w:val="006C4593"/>
    <w:rsid w:val="006C6818"/>
    <w:rsid w:val="006D19EC"/>
    <w:rsid w:val="006D4490"/>
    <w:rsid w:val="006D5548"/>
    <w:rsid w:val="006D782A"/>
    <w:rsid w:val="006E063A"/>
    <w:rsid w:val="006E181D"/>
    <w:rsid w:val="006E5EF0"/>
    <w:rsid w:val="006F1684"/>
    <w:rsid w:val="006F1CC8"/>
    <w:rsid w:val="006F460A"/>
    <w:rsid w:val="006F5774"/>
    <w:rsid w:val="006F6728"/>
    <w:rsid w:val="00700764"/>
    <w:rsid w:val="007008C6"/>
    <w:rsid w:val="00702077"/>
    <w:rsid w:val="00706E93"/>
    <w:rsid w:val="0071182D"/>
    <w:rsid w:val="00713828"/>
    <w:rsid w:val="00717447"/>
    <w:rsid w:val="007175AA"/>
    <w:rsid w:val="00717F92"/>
    <w:rsid w:val="0072103D"/>
    <w:rsid w:val="00723962"/>
    <w:rsid w:val="0072422C"/>
    <w:rsid w:val="007262DB"/>
    <w:rsid w:val="00727048"/>
    <w:rsid w:val="00727B3C"/>
    <w:rsid w:val="00731FFF"/>
    <w:rsid w:val="0073233E"/>
    <w:rsid w:val="0073527F"/>
    <w:rsid w:val="00735F00"/>
    <w:rsid w:val="00737341"/>
    <w:rsid w:val="00737BF6"/>
    <w:rsid w:val="0074211B"/>
    <w:rsid w:val="0074223C"/>
    <w:rsid w:val="00743DC3"/>
    <w:rsid w:val="0074455E"/>
    <w:rsid w:val="00745293"/>
    <w:rsid w:val="007465C9"/>
    <w:rsid w:val="00746B2A"/>
    <w:rsid w:val="00747E72"/>
    <w:rsid w:val="00751E41"/>
    <w:rsid w:val="007561FC"/>
    <w:rsid w:val="00756413"/>
    <w:rsid w:val="00756841"/>
    <w:rsid w:val="00756C23"/>
    <w:rsid w:val="007609A3"/>
    <w:rsid w:val="0076104E"/>
    <w:rsid w:val="0076438F"/>
    <w:rsid w:val="0076444B"/>
    <w:rsid w:val="00765C3A"/>
    <w:rsid w:val="00766E63"/>
    <w:rsid w:val="0077024E"/>
    <w:rsid w:val="007717EC"/>
    <w:rsid w:val="00772D74"/>
    <w:rsid w:val="00777CE2"/>
    <w:rsid w:val="00781892"/>
    <w:rsid w:val="007823D1"/>
    <w:rsid w:val="00784037"/>
    <w:rsid w:val="007858CC"/>
    <w:rsid w:val="00785911"/>
    <w:rsid w:val="007859D3"/>
    <w:rsid w:val="0078649C"/>
    <w:rsid w:val="00791B33"/>
    <w:rsid w:val="00792315"/>
    <w:rsid w:val="00792800"/>
    <w:rsid w:val="007946DE"/>
    <w:rsid w:val="007966F0"/>
    <w:rsid w:val="007A0DCB"/>
    <w:rsid w:val="007A452C"/>
    <w:rsid w:val="007A500C"/>
    <w:rsid w:val="007A5679"/>
    <w:rsid w:val="007A5A59"/>
    <w:rsid w:val="007A654B"/>
    <w:rsid w:val="007A72F6"/>
    <w:rsid w:val="007A7CE5"/>
    <w:rsid w:val="007B2655"/>
    <w:rsid w:val="007B2D63"/>
    <w:rsid w:val="007B3E49"/>
    <w:rsid w:val="007B662B"/>
    <w:rsid w:val="007C16C7"/>
    <w:rsid w:val="007C42CC"/>
    <w:rsid w:val="007C4700"/>
    <w:rsid w:val="007D1176"/>
    <w:rsid w:val="007D2E57"/>
    <w:rsid w:val="007D3339"/>
    <w:rsid w:val="007D3C74"/>
    <w:rsid w:val="007D4541"/>
    <w:rsid w:val="007D4BCA"/>
    <w:rsid w:val="007D4F91"/>
    <w:rsid w:val="007D6856"/>
    <w:rsid w:val="007D77C4"/>
    <w:rsid w:val="007D7D4C"/>
    <w:rsid w:val="007E2E97"/>
    <w:rsid w:val="007E5ED3"/>
    <w:rsid w:val="007E668C"/>
    <w:rsid w:val="007F0EFB"/>
    <w:rsid w:val="007F7FA4"/>
    <w:rsid w:val="008028CC"/>
    <w:rsid w:val="00803BCC"/>
    <w:rsid w:val="0080520A"/>
    <w:rsid w:val="00806160"/>
    <w:rsid w:val="00810781"/>
    <w:rsid w:val="008108E7"/>
    <w:rsid w:val="00810A81"/>
    <w:rsid w:val="00810F81"/>
    <w:rsid w:val="00811FFB"/>
    <w:rsid w:val="00812072"/>
    <w:rsid w:val="008144F3"/>
    <w:rsid w:val="008145F2"/>
    <w:rsid w:val="00817236"/>
    <w:rsid w:val="00817FD6"/>
    <w:rsid w:val="00821301"/>
    <w:rsid w:val="00822A7C"/>
    <w:rsid w:val="00823C4E"/>
    <w:rsid w:val="00824A3F"/>
    <w:rsid w:val="008264CA"/>
    <w:rsid w:val="0083105E"/>
    <w:rsid w:val="0083131E"/>
    <w:rsid w:val="0083360F"/>
    <w:rsid w:val="00833723"/>
    <w:rsid w:val="00834BFD"/>
    <w:rsid w:val="00837F7E"/>
    <w:rsid w:val="0084269A"/>
    <w:rsid w:val="00842891"/>
    <w:rsid w:val="00845027"/>
    <w:rsid w:val="00845281"/>
    <w:rsid w:val="00847C1E"/>
    <w:rsid w:val="00854BE6"/>
    <w:rsid w:val="00854D2B"/>
    <w:rsid w:val="008615B1"/>
    <w:rsid w:val="008627D6"/>
    <w:rsid w:val="008632D9"/>
    <w:rsid w:val="0087039F"/>
    <w:rsid w:val="00870C1E"/>
    <w:rsid w:val="00873546"/>
    <w:rsid w:val="00877A2F"/>
    <w:rsid w:val="0088158A"/>
    <w:rsid w:val="00891EAE"/>
    <w:rsid w:val="00891FC7"/>
    <w:rsid w:val="00893815"/>
    <w:rsid w:val="00895CC2"/>
    <w:rsid w:val="00897CD3"/>
    <w:rsid w:val="008A0D9F"/>
    <w:rsid w:val="008A2DC5"/>
    <w:rsid w:val="008A2E1A"/>
    <w:rsid w:val="008A2E4D"/>
    <w:rsid w:val="008A44CE"/>
    <w:rsid w:val="008A4520"/>
    <w:rsid w:val="008A6433"/>
    <w:rsid w:val="008A7E07"/>
    <w:rsid w:val="008B05A1"/>
    <w:rsid w:val="008B0FB0"/>
    <w:rsid w:val="008B251C"/>
    <w:rsid w:val="008B288B"/>
    <w:rsid w:val="008B2C91"/>
    <w:rsid w:val="008B2F12"/>
    <w:rsid w:val="008B37C3"/>
    <w:rsid w:val="008B400C"/>
    <w:rsid w:val="008B4BF3"/>
    <w:rsid w:val="008B641C"/>
    <w:rsid w:val="008B797E"/>
    <w:rsid w:val="008C0487"/>
    <w:rsid w:val="008C0750"/>
    <w:rsid w:val="008C1BB8"/>
    <w:rsid w:val="008C3B04"/>
    <w:rsid w:val="008C403E"/>
    <w:rsid w:val="008C51C3"/>
    <w:rsid w:val="008C6018"/>
    <w:rsid w:val="008D3F23"/>
    <w:rsid w:val="008D45E6"/>
    <w:rsid w:val="008D4F52"/>
    <w:rsid w:val="008D5252"/>
    <w:rsid w:val="008D63D9"/>
    <w:rsid w:val="008E2190"/>
    <w:rsid w:val="008E4ECE"/>
    <w:rsid w:val="008E507C"/>
    <w:rsid w:val="008E6448"/>
    <w:rsid w:val="008E644A"/>
    <w:rsid w:val="008E7181"/>
    <w:rsid w:val="008E7E0A"/>
    <w:rsid w:val="008F1429"/>
    <w:rsid w:val="008F464A"/>
    <w:rsid w:val="008F7BBC"/>
    <w:rsid w:val="009030EB"/>
    <w:rsid w:val="009042E1"/>
    <w:rsid w:val="00906A3C"/>
    <w:rsid w:val="00906DF5"/>
    <w:rsid w:val="00910FD1"/>
    <w:rsid w:val="009148D7"/>
    <w:rsid w:val="00920808"/>
    <w:rsid w:val="00920B34"/>
    <w:rsid w:val="00920E5C"/>
    <w:rsid w:val="009215AA"/>
    <w:rsid w:val="0092198D"/>
    <w:rsid w:val="009224C9"/>
    <w:rsid w:val="00922A4C"/>
    <w:rsid w:val="009233AD"/>
    <w:rsid w:val="0092550C"/>
    <w:rsid w:val="00926109"/>
    <w:rsid w:val="00926E4D"/>
    <w:rsid w:val="009272F7"/>
    <w:rsid w:val="009336E6"/>
    <w:rsid w:val="00933FB6"/>
    <w:rsid w:val="0093545F"/>
    <w:rsid w:val="00935732"/>
    <w:rsid w:val="009357FA"/>
    <w:rsid w:val="00936556"/>
    <w:rsid w:val="00937BCF"/>
    <w:rsid w:val="00937D62"/>
    <w:rsid w:val="0094143D"/>
    <w:rsid w:val="00942E25"/>
    <w:rsid w:val="00942F01"/>
    <w:rsid w:val="00946439"/>
    <w:rsid w:val="009467F0"/>
    <w:rsid w:val="009479A9"/>
    <w:rsid w:val="00952425"/>
    <w:rsid w:val="009545F5"/>
    <w:rsid w:val="00956480"/>
    <w:rsid w:val="00963BDB"/>
    <w:rsid w:val="00964405"/>
    <w:rsid w:val="009646D7"/>
    <w:rsid w:val="00965474"/>
    <w:rsid w:val="00966AFC"/>
    <w:rsid w:val="00970F8E"/>
    <w:rsid w:val="0097152C"/>
    <w:rsid w:val="00973834"/>
    <w:rsid w:val="0097454D"/>
    <w:rsid w:val="009770FB"/>
    <w:rsid w:val="009778FE"/>
    <w:rsid w:val="00983D8A"/>
    <w:rsid w:val="00985466"/>
    <w:rsid w:val="009866D6"/>
    <w:rsid w:val="00990806"/>
    <w:rsid w:val="00992403"/>
    <w:rsid w:val="00993936"/>
    <w:rsid w:val="00993CB1"/>
    <w:rsid w:val="00995501"/>
    <w:rsid w:val="00996CC5"/>
    <w:rsid w:val="00996D08"/>
    <w:rsid w:val="0099704B"/>
    <w:rsid w:val="0099706A"/>
    <w:rsid w:val="009A0768"/>
    <w:rsid w:val="009A0D29"/>
    <w:rsid w:val="009A2A24"/>
    <w:rsid w:val="009A2E53"/>
    <w:rsid w:val="009A4432"/>
    <w:rsid w:val="009A6694"/>
    <w:rsid w:val="009A6E1C"/>
    <w:rsid w:val="009B02E2"/>
    <w:rsid w:val="009B05C4"/>
    <w:rsid w:val="009B2320"/>
    <w:rsid w:val="009B24AE"/>
    <w:rsid w:val="009B340B"/>
    <w:rsid w:val="009B62BE"/>
    <w:rsid w:val="009C1ABF"/>
    <w:rsid w:val="009C3CFB"/>
    <w:rsid w:val="009C4A8F"/>
    <w:rsid w:val="009C5A16"/>
    <w:rsid w:val="009C6DB0"/>
    <w:rsid w:val="009C6FB2"/>
    <w:rsid w:val="009D3944"/>
    <w:rsid w:val="009D3B06"/>
    <w:rsid w:val="009D3F29"/>
    <w:rsid w:val="009D436F"/>
    <w:rsid w:val="009E0C86"/>
    <w:rsid w:val="009E2A6A"/>
    <w:rsid w:val="009E4676"/>
    <w:rsid w:val="009E4E78"/>
    <w:rsid w:val="009E7116"/>
    <w:rsid w:val="009E7D94"/>
    <w:rsid w:val="009F2C7A"/>
    <w:rsid w:val="009F2CC3"/>
    <w:rsid w:val="009F3D1B"/>
    <w:rsid w:val="009F6E54"/>
    <w:rsid w:val="00A01BF5"/>
    <w:rsid w:val="00A0355B"/>
    <w:rsid w:val="00A03A75"/>
    <w:rsid w:val="00A03C1B"/>
    <w:rsid w:val="00A0749E"/>
    <w:rsid w:val="00A07827"/>
    <w:rsid w:val="00A10EEA"/>
    <w:rsid w:val="00A10F31"/>
    <w:rsid w:val="00A11DA9"/>
    <w:rsid w:val="00A11E77"/>
    <w:rsid w:val="00A16554"/>
    <w:rsid w:val="00A17C5A"/>
    <w:rsid w:val="00A20108"/>
    <w:rsid w:val="00A20B98"/>
    <w:rsid w:val="00A21C48"/>
    <w:rsid w:val="00A21F74"/>
    <w:rsid w:val="00A23587"/>
    <w:rsid w:val="00A23B95"/>
    <w:rsid w:val="00A23EC0"/>
    <w:rsid w:val="00A2420D"/>
    <w:rsid w:val="00A24A90"/>
    <w:rsid w:val="00A24CAA"/>
    <w:rsid w:val="00A2648D"/>
    <w:rsid w:val="00A26931"/>
    <w:rsid w:val="00A269F2"/>
    <w:rsid w:val="00A27D0C"/>
    <w:rsid w:val="00A31D30"/>
    <w:rsid w:val="00A34FF8"/>
    <w:rsid w:val="00A3640B"/>
    <w:rsid w:val="00A36AD7"/>
    <w:rsid w:val="00A3796E"/>
    <w:rsid w:val="00A4088A"/>
    <w:rsid w:val="00A42031"/>
    <w:rsid w:val="00A43C10"/>
    <w:rsid w:val="00A46B8E"/>
    <w:rsid w:val="00A46C8D"/>
    <w:rsid w:val="00A46D3E"/>
    <w:rsid w:val="00A46E0E"/>
    <w:rsid w:val="00A47CAD"/>
    <w:rsid w:val="00A50CE0"/>
    <w:rsid w:val="00A5217B"/>
    <w:rsid w:val="00A52BB2"/>
    <w:rsid w:val="00A55DEA"/>
    <w:rsid w:val="00A570E6"/>
    <w:rsid w:val="00A6157A"/>
    <w:rsid w:val="00A61813"/>
    <w:rsid w:val="00A61997"/>
    <w:rsid w:val="00A61F16"/>
    <w:rsid w:val="00A66148"/>
    <w:rsid w:val="00A67A8F"/>
    <w:rsid w:val="00A70DA9"/>
    <w:rsid w:val="00A722A9"/>
    <w:rsid w:val="00A74996"/>
    <w:rsid w:val="00A74F2A"/>
    <w:rsid w:val="00A75078"/>
    <w:rsid w:val="00A75319"/>
    <w:rsid w:val="00A75771"/>
    <w:rsid w:val="00A8041D"/>
    <w:rsid w:val="00A809E1"/>
    <w:rsid w:val="00A836F1"/>
    <w:rsid w:val="00A837DD"/>
    <w:rsid w:val="00A85F19"/>
    <w:rsid w:val="00A8644C"/>
    <w:rsid w:val="00A865A4"/>
    <w:rsid w:val="00A94216"/>
    <w:rsid w:val="00A9432B"/>
    <w:rsid w:val="00A95B68"/>
    <w:rsid w:val="00A95F22"/>
    <w:rsid w:val="00AA0103"/>
    <w:rsid w:val="00AA109B"/>
    <w:rsid w:val="00AA32CE"/>
    <w:rsid w:val="00AA3E92"/>
    <w:rsid w:val="00AB06B0"/>
    <w:rsid w:val="00AB3166"/>
    <w:rsid w:val="00AB3507"/>
    <w:rsid w:val="00AB3516"/>
    <w:rsid w:val="00AB3F6B"/>
    <w:rsid w:val="00AB675C"/>
    <w:rsid w:val="00AC14E1"/>
    <w:rsid w:val="00AC1AFD"/>
    <w:rsid w:val="00AC2A65"/>
    <w:rsid w:val="00AC2CB2"/>
    <w:rsid w:val="00AC7F47"/>
    <w:rsid w:val="00AD4004"/>
    <w:rsid w:val="00AD63E9"/>
    <w:rsid w:val="00AD75DE"/>
    <w:rsid w:val="00AD7DA6"/>
    <w:rsid w:val="00AE4474"/>
    <w:rsid w:val="00AE44EF"/>
    <w:rsid w:val="00AE6054"/>
    <w:rsid w:val="00AF096F"/>
    <w:rsid w:val="00AF0C11"/>
    <w:rsid w:val="00AF36B6"/>
    <w:rsid w:val="00AF69CC"/>
    <w:rsid w:val="00AF6EF0"/>
    <w:rsid w:val="00B00093"/>
    <w:rsid w:val="00B007E4"/>
    <w:rsid w:val="00B00A76"/>
    <w:rsid w:val="00B01E30"/>
    <w:rsid w:val="00B026DD"/>
    <w:rsid w:val="00B03196"/>
    <w:rsid w:val="00B033F0"/>
    <w:rsid w:val="00B038A8"/>
    <w:rsid w:val="00B055A9"/>
    <w:rsid w:val="00B05F58"/>
    <w:rsid w:val="00B0638E"/>
    <w:rsid w:val="00B07697"/>
    <w:rsid w:val="00B1005D"/>
    <w:rsid w:val="00B102B2"/>
    <w:rsid w:val="00B16435"/>
    <w:rsid w:val="00B1758E"/>
    <w:rsid w:val="00B23167"/>
    <w:rsid w:val="00B255FC"/>
    <w:rsid w:val="00B25831"/>
    <w:rsid w:val="00B25F09"/>
    <w:rsid w:val="00B25F86"/>
    <w:rsid w:val="00B26BE7"/>
    <w:rsid w:val="00B26C9B"/>
    <w:rsid w:val="00B3098F"/>
    <w:rsid w:val="00B33896"/>
    <w:rsid w:val="00B34141"/>
    <w:rsid w:val="00B35CC2"/>
    <w:rsid w:val="00B422AD"/>
    <w:rsid w:val="00B45D91"/>
    <w:rsid w:val="00B50472"/>
    <w:rsid w:val="00B50CA2"/>
    <w:rsid w:val="00B5112A"/>
    <w:rsid w:val="00B53B36"/>
    <w:rsid w:val="00B54112"/>
    <w:rsid w:val="00B54192"/>
    <w:rsid w:val="00B63E41"/>
    <w:rsid w:val="00B64299"/>
    <w:rsid w:val="00B664AB"/>
    <w:rsid w:val="00B672C6"/>
    <w:rsid w:val="00B70544"/>
    <w:rsid w:val="00B711C1"/>
    <w:rsid w:val="00B71995"/>
    <w:rsid w:val="00B72237"/>
    <w:rsid w:val="00B72502"/>
    <w:rsid w:val="00B73D0C"/>
    <w:rsid w:val="00B743CA"/>
    <w:rsid w:val="00B761E0"/>
    <w:rsid w:val="00B76503"/>
    <w:rsid w:val="00B768A0"/>
    <w:rsid w:val="00B77A96"/>
    <w:rsid w:val="00B77E01"/>
    <w:rsid w:val="00B80E72"/>
    <w:rsid w:val="00B81A3D"/>
    <w:rsid w:val="00B82A9E"/>
    <w:rsid w:val="00B830BA"/>
    <w:rsid w:val="00B85AB7"/>
    <w:rsid w:val="00B86318"/>
    <w:rsid w:val="00B935A2"/>
    <w:rsid w:val="00B93F72"/>
    <w:rsid w:val="00BA0117"/>
    <w:rsid w:val="00BA068C"/>
    <w:rsid w:val="00BA1179"/>
    <w:rsid w:val="00BA332A"/>
    <w:rsid w:val="00BA3BB6"/>
    <w:rsid w:val="00BA5EDE"/>
    <w:rsid w:val="00BA6EDF"/>
    <w:rsid w:val="00BA7BF4"/>
    <w:rsid w:val="00BA7DAF"/>
    <w:rsid w:val="00BB2056"/>
    <w:rsid w:val="00BB2621"/>
    <w:rsid w:val="00BB3D00"/>
    <w:rsid w:val="00BB3DC3"/>
    <w:rsid w:val="00BB43A9"/>
    <w:rsid w:val="00BB56AA"/>
    <w:rsid w:val="00BB7B8B"/>
    <w:rsid w:val="00BB7ECD"/>
    <w:rsid w:val="00BC063D"/>
    <w:rsid w:val="00BC087C"/>
    <w:rsid w:val="00BC6760"/>
    <w:rsid w:val="00BC6828"/>
    <w:rsid w:val="00BC68D2"/>
    <w:rsid w:val="00BD3971"/>
    <w:rsid w:val="00BD5338"/>
    <w:rsid w:val="00BE257D"/>
    <w:rsid w:val="00BE2588"/>
    <w:rsid w:val="00BE3A72"/>
    <w:rsid w:val="00BE69C0"/>
    <w:rsid w:val="00BF03A9"/>
    <w:rsid w:val="00BF4531"/>
    <w:rsid w:val="00C00FAF"/>
    <w:rsid w:val="00C0319A"/>
    <w:rsid w:val="00C04762"/>
    <w:rsid w:val="00C06113"/>
    <w:rsid w:val="00C06880"/>
    <w:rsid w:val="00C10C64"/>
    <w:rsid w:val="00C113DC"/>
    <w:rsid w:val="00C122B6"/>
    <w:rsid w:val="00C13012"/>
    <w:rsid w:val="00C1360D"/>
    <w:rsid w:val="00C15820"/>
    <w:rsid w:val="00C167F8"/>
    <w:rsid w:val="00C16B04"/>
    <w:rsid w:val="00C239BE"/>
    <w:rsid w:val="00C23F7D"/>
    <w:rsid w:val="00C25B22"/>
    <w:rsid w:val="00C30E79"/>
    <w:rsid w:val="00C30FFD"/>
    <w:rsid w:val="00C33A48"/>
    <w:rsid w:val="00C347D6"/>
    <w:rsid w:val="00C3631A"/>
    <w:rsid w:val="00C37943"/>
    <w:rsid w:val="00C379A2"/>
    <w:rsid w:val="00C37BB3"/>
    <w:rsid w:val="00C4200A"/>
    <w:rsid w:val="00C4396A"/>
    <w:rsid w:val="00C4534E"/>
    <w:rsid w:val="00C4565F"/>
    <w:rsid w:val="00C46CDC"/>
    <w:rsid w:val="00C50564"/>
    <w:rsid w:val="00C50CE7"/>
    <w:rsid w:val="00C51CDE"/>
    <w:rsid w:val="00C53D13"/>
    <w:rsid w:val="00C55173"/>
    <w:rsid w:val="00C56AAE"/>
    <w:rsid w:val="00C61952"/>
    <w:rsid w:val="00C63B8C"/>
    <w:rsid w:val="00C63ED7"/>
    <w:rsid w:val="00C64A6F"/>
    <w:rsid w:val="00C64FF9"/>
    <w:rsid w:val="00C6558D"/>
    <w:rsid w:val="00C718B1"/>
    <w:rsid w:val="00C74153"/>
    <w:rsid w:val="00C74723"/>
    <w:rsid w:val="00C75B6E"/>
    <w:rsid w:val="00C80475"/>
    <w:rsid w:val="00C80DB6"/>
    <w:rsid w:val="00C847CF"/>
    <w:rsid w:val="00C84E9B"/>
    <w:rsid w:val="00C85339"/>
    <w:rsid w:val="00C877B7"/>
    <w:rsid w:val="00C903C3"/>
    <w:rsid w:val="00C9216C"/>
    <w:rsid w:val="00C9246C"/>
    <w:rsid w:val="00C92705"/>
    <w:rsid w:val="00C92E3B"/>
    <w:rsid w:val="00C9573A"/>
    <w:rsid w:val="00C96332"/>
    <w:rsid w:val="00C97BC7"/>
    <w:rsid w:val="00CA01F1"/>
    <w:rsid w:val="00CA29EC"/>
    <w:rsid w:val="00CA2B26"/>
    <w:rsid w:val="00CA503F"/>
    <w:rsid w:val="00CB18C8"/>
    <w:rsid w:val="00CB5CFF"/>
    <w:rsid w:val="00CB704D"/>
    <w:rsid w:val="00CC034D"/>
    <w:rsid w:val="00CC1F62"/>
    <w:rsid w:val="00CC3F74"/>
    <w:rsid w:val="00CD4405"/>
    <w:rsid w:val="00CD56F5"/>
    <w:rsid w:val="00CD7BFB"/>
    <w:rsid w:val="00CE2351"/>
    <w:rsid w:val="00CE320E"/>
    <w:rsid w:val="00CE45E7"/>
    <w:rsid w:val="00CE5530"/>
    <w:rsid w:val="00CE5BFD"/>
    <w:rsid w:val="00CF0896"/>
    <w:rsid w:val="00CF4B38"/>
    <w:rsid w:val="00CF4B7E"/>
    <w:rsid w:val="00D039D5"/>
    <w:rsid w:val="00D04325"/>
    <w:rsid w:val="00D0736B"/>
    <w:rsid w:val="00D204B6"/>
    <w:rsid w:val="00D2150C"/>
    <w:rsid w:val="00D2400F"/>
    <w:rsid w:val="00D24B33"/>
    <w:rsid w:val="00D24EFE"/>
    <w:rsid w:val="00D2537C"/>
    <w:rsid w:val="00D27129"/>
    <w:rsid w:val="00D27630"/>
    <w:rsid w:val="00D319BF"/>
    <w:rsid w:val="00D322CC"/>
    <w:rsid w:val="00D3378D"/>
    <w:rsid w:val="00D33D72"/>
    <w:rsid w:val="00D34743"/>
    <w:rsid w:val="00D34922"/>
    <w:rsid w:val="00D35943"/>
    <w:rsid w:val="00D35BD0"/>
    <w:rsid w:val="00D36A5B"/>
    <w:rsid w:val="00D404D9"/>
    <w:rsid w:val="00D432EB"/>
    <w:rsid w:val="00D43E2B"/>
    <w:rsid w:val="00D471BE"/>
    <w:rsid w:val="00D518F3"/>
    <w:rsid w:val="00D52F0D"/>
    <w:rsid w:val="00D53C7C"/>
    <w:rsid w:val="00D53CD6"/>
    <w:rsid w:val="00D564BF"/>
    <w:rsid w:val="00D61B70"/>
    <w:rsid w:val="00D62433"/>
    <w:rsid w:val="00D6254A"/>
    <w:rsid w:val="00D63EDF"/>
    <w:rsid w:val="00D6743B"/>
    <w:rsid w:val="00D70681"/>
    <w:rsid w:val="00D70AD5"/>
    <w:rsid w:val="00D721BD"/>
    <w:rsid w:val="00D738E3"/>
    <w:rsid w:val="00D76A2C"/>
    <w:rsid w:val="00D81A68"/>
    <w:rsid w:val="00D81F08"/>
    <w:rsid w:val="00D82CBC"/>
    <w:rsid w:val="00D84A88"/>
    <w:rsid w:val="00D84BC8"/>
    <w:rsid w:val="00D8543F"/>
    <w:rsid w:val="00D87C5A"/>
    <w:rsid w:val="00D92880"/>
    <w:rsid w:val="00D92A49"/>
    <w:rsid w:val="00D92D09"/>
    <w:rsid w:val="00D93494"/>
    <w:rsid w:val="00D96574"/>
    <w:rsid w:val="00D96976"/>
    <w:rsid w:val="00D97E6C"/>
    <w:rsid w:val="00DA1D08"/>
    <w:rsid w:val="00DA2481"/>
    <w:rsid w:val="00DA3A7F"/>
    <w:rsid w:val="00DA6B05"/>
    <w:rsid w:val="00DB00B3"/>
    <w:rsid w:val="00DB23EA"/>
    <w:rsid w:val="00DB3C0E"/>
    <w:rsid w:val="00DB3E71"/>
    <w:rsid w:val="00DB6731"/>
    <w:rsid w:val="00DC2812"/>
    <w:rsid w:val="00DC3886"/>
    <w:rsid w:val="00DC42D4"/>
    <w:rsid w:val="00DC6100"/>
    <w:rsid w:val="00DC784B"/>
    <w:rsid w:val="00DC7B3A"/>
    <w:rsid w:val="00DD1F70"/>
    <w:rsid w:val="00DD34C9"/>
    <w:rsid w:val="00DD3F1A"/>
    <w:rsid w:val="00DD411A"/>
    <w:rsid w:val="00DD4672"/>
    <w:rsid w:val="00DD4AA0"/>
    <w:rsid w:val="00DE050C"/>
    <w:rsid w:val="00DE293D"/>
    <w:rsid w:val="00DE37F3"/>
    <w:rsid w:val="00DE5858"/>
    <w:rsid w:val="00DE6E00"/>
    <w:rsid w:val="00DF341E"/>
    <w:rsid w:val="00DF405B"/>
    <w:rsid w:val="00DF4947"/>
    <w:rsid w:val="00DF6AC2"/>
    <w:rsid w:val="00DF6D5E"/>
    <w:rsid w:val="00E004B8"/>
    <w:rsid w:val="00E009EA"/>
    <w:rsid w:val="00E01332"/>
    <w:rsid w:val="00E01E6E"/>
    <w:rsid w:val="00E02D46"/>
    <w:rsid w:val="00E102AA"/>
    <w:rsid w:val="00E11BE4"/>
    <w:rsid w:val="00E1327F"/>
    <w:rsid w:val="00E13D34"/>
    <w:rsid w:val="00E14A6E"/>
    <w:rsid w:val="00E15D60"/>
    <w:rsid w:val="00E1638C"/>
    <w:rsid w:val="00E1641E"/>
    <w:rsid w:val="00E25101"/>
    <w:rsid w:val="00E25582"/>
    <w:rsid w:val="00E2571B"/>
    <w:rsid w:val="00E268D8"/>
    <w:rsid w:val="00E31C72"/>
    <w:rsid w:val="00E320F7"/>
    <w:rsid w:val="00E32213"/>
    <w:rsid w:val="00E325F0"/>
    <w:rsid w:val="00E36A29"/>
    <w:rsid w:val="00E375CD"/>
    <w:rsid w:val="00E40478"/>
    <w:rsid w:val="00E4519E"/>
    <w:rsid w:val="00E4560B"/>
    <w:rsid w:val="00E4670C"/>
    <w:rsid w:val="00E47348"/>
    <w:rsid w:val="00E51629"/>
    <w:rsid w:val="00E539EA"/>
    <w:rsid w:val="00E53AE6"/>
    <w:rsid w:val="00E53D13"/>
    <w:rsid w:val="00E553E0"/>
    <w:rsid w:val="00E556F7"/>
    <w:rsid w:val="00E60351"/>
    <w:rsid w:val="00E61589"/>
    <w:rsid w:val="00E61A2E"/>
    <w:rsid w:val="00E62C8B"/>
    <w:rsid w:val="00E63CCD"/>
    <w:rsid w:val="00E63DED"/>
    <w:rsid w:val="00E64044"/>
    <w:rsid w:val="00E643D3"/>
    <w:rsid w:val="00E64F2F"/>
    <w:rsid w:val="00E6548C"/>
    <w:rsid w:val="00E67F89"/>
    <w:rsid w:val="00E70401"/>
    <w:rsid w:val="00E75F75"/>
    <w:rsid w:val="00E766EF"/>
    <w:rsid w:val="00E7768E"/>
    <w:rsid w:val="00E803A4"/>
    <w:rsid w:val="00E8049D"/>
    <w:rsid w:val="00E80531"/>
    <w:rsid w:val="00E81087"/>
    <w:rsid w:val="00E84A31"/>
    <w:rsid w:val="00E8509B"/>
    <w:rsid w:val="00E855A2"/>
    <w:rsid w:val="00E90037"/>
    <w:rsid w:val="00E90FDF"/>
    <w:rsid w:val="00E91007"/>
    <w:rsid w:val="00E937D7"/>
    <w:rsid w:val="00E938ED"/>
    <w:rsid w:val="00E93FC9"/>
    <w:rsid w:val="00E94E68"/>
    <w:rsid w:val="00E975E5"/>
    <w:rsid w:val="00EA0C5B"/>
    <w:rsid w:val="00EA5BA1"/>
    <w:rsid w:val="00EB1162"/>
    <w:rsid w:val="00EB20C5"/>
    <w:rsid w:val="00EB33F4"/>
    <w:rsid w:val="00EB6375"/>
    <w:rsid w:val="00EB6C30"/>
    <w:rsid w:val="00EB7DC9"/>
    <w:rsid w:val="00EC07C5"/>
    <w:rsid w:val="00EC1353"/>
    <w:rsid w:val="00EC3F60"/>
    <w:rsid w:val="00EC6191"/>
    <w:rsid w:val="00EC62A9"/>
    <w:rsid w:val="00EC64D6"/>
    <w:rsid w:val="00EC6523"/>
    <w:rsid w:val="00EC673A"/>
    <w:rsid w:val="00ED2807"/>
    <w:rsid w:val="00ED328F"/>
    <w:rsid w:val="00ED4EB5"/>
    <w:rsid w:val="00ED4F27"/>
    <w:rsid w:val="00ED65EF"/>
    <w:rsid w:val="00ED67F3"/>
    <w:rsid w:val="00ED6F97"/>
    <w:rsid w:val="00ED786A"/>
    <w:rsid w:val="00EE01F2"/>
    <w:rsid w:val="00EE143E"/>
    <w:rsid w:val="00EE1EC3"/>
    <w:rsid w:val="00EE5A02"/>
    <w:rsid w:val="00EE5A98"/>
    <w:rsid w:val="00EE731A"/>
    <w:rsid w:val="00EF0178"/>
    <w:rsid w:val="00EF0665"/>
    <w:rsid w:val="00EF233A"/>
    <w:rsid w:val="00EF27FD"/>
    <w:rsid w:val="00EF2D93"/>
    <w:rsid w:val="00EF4F7C"/>
    <w:rsid w:val="00EF73C3"/>
    <w:rsid w:val="00EF76C7"/>
    <w:rsid w:val="00F01316"/>
    <w:rsid w:val="00F0445E"/>
    <w:rsid w:val="00F068B9"/>
    <w:rsid w:val="00F0778D"/>
    <w:rsid w:val="00F10985"/>
    <w:rsid w:val="00F153FD"/>
    <w:rsid w:val="00F15539"/>
    <w:rsid w:val="00F15AD4"/>
    <w:rsid w:val="00F170C5"/>
    <w:rsid w:val="00F1730E"/>
    <w:rsid w:val="00F175CE"/>
    <w:rsid w:val="00F2393A"/>
    <w:rsid w:val="00F23AD6"/>
    <w:rsid w:val="00F27517"/>
    <w:rsid w:val="00F276EF"/>
    <w:rsid w:val="00F309C9"/>
    <w:rsid w:val="00F31ED6"/>
    <w:rsid w:val="00F32AF0"/>
    <w:rsid w:val="00F3666A"/>
    <w:rsid w:val="00F37D31"/>
    <w:rsid w:val="00F40533"/>
    <w:rsid w:val="00F41313"/>
    <w:rsid w:val="00F4241C"/>
    <w:rsid w:val="00F44751"/>
    <w:rsid w:val="00F46C16"/>
    <w:rsid w:val="00F47812"/>
    <w:rsid w:val="00F47CA3"/>
    <w:rsid w:val="00F47D38"/>
    <w:rsid w:val="00F50EF5"/>
    <w:rsid w:val="00F544C4"/>
    <w:rsid w:val="00F56B5E"/>
    <w:rsid w:val="00F62F91"/>
    <w:rsid w:val="00F64C97"/>
    <w:rsid w:val="00F658B1"/>
    <w:rsid w:val="00F65BDC"/>
    <w:rsid w:val="00F667A6"/>
    <w:rsid w:val="00F674E2"/>
    <w:rsid w:val="00F71052"/>
    <w:rsid w:val="00F71539"/>
    <w:rsid w:val="00F75417"/>
    <w:rsid w:val="00F7652C"/>
    <w:rsid w:val="00F76F44"/>
    <w:rsid w:val="00F77737"/>
    <w:rsid w:val="00F81CB0"/>
    <w:rsid w:val="00F8275D"/>
    <w:rsid w:val="00F84EC2"/>
    <w:rsid w:val="00F85CA5"/>
    <w:rsid w:val="00F86858"/>
    <w:rsid w:val="00F8691A"/>
    <w:rsid w:val="00F912BF"/>
    <w:rsid w:val="00F92BB2"/>
    <w:rsid w:val="00F938A9"/>
    <w:rsid w:val="00F95169"/>
    <w:rsid w:val="00F9574C"/>
    <w:rsid w:val="00F96D33"/>
    <w:rsid w:val="00FA61B1"/>
    <w:rsid w:val="00FA6D85"/>
    <w:rsid w:val="00FA7287"/>
    <w:rsid w:val="00FB0789"/>
    <w:rsid w:val="00FB29AE"/>
    <w:rsid w:val="00FB3DA2"/>
    <w:rsid w:val="00FB4774"/>
    <w:rsid w:val="00FB4CDA"/>
    <w:rsid w:val="00FB5C94"/>
    <w:rsid w:val="00FB617D"/>
    <w:rsid w:val="00FB7524"/>
    <w:rsid w:val="00FC0299"/>
    <w:rsid w:val="00FC16CD"/>
    <w:rsid w:val="00FC2CF3"/>
    <w:rsid w:val="00FC5F82"/>
    <w:rsid w:val="00FC7F00"/>
    <w:rsid w:val="00FD2463"/>
    <w:rsid w:val="00FD2999"/>
    <w:rsid w:val="00FD3E8E"/>
    <w:rsid w:val="00FD4D2F"/>
    <w:rsid w:val="00FD642C"/>
    <w:rsid w:val="00FE2AED"/>
    <w:rsid w:val="00FE3CBE"/>
    <w:rsid w:val="00FE46D4"/>
    <w:rsid w:val="00FF0A7B"/>
    <w:rsid w:val="00FF0EE8"/>
    <w:rsid w:val="00FF1B55"/>
    <w:rsid w:val="00FF1E0E"/>
    <w:rsid w:val="00FF400A"/>
    <w:rsid w:val="00FF67DC"/>
    <w:rsid w:val="00FF720B"/>
    <w:rsid w:val="022F8E5E"/>
    <w:rsid w:val="02E62217"/>
    <w:rsid w:val="0AE03861"/>
    <w:rsid w:val="0B054926"/>
    <w:rsid w:val="0DC779A8"/>
    <w:rsid w:val="0DF9B6D6"/>
    <w:rsid w:val="0EDE2B69"/>
    <w:rsid w:val="0F5A0630"/>
    <w:rsid w:val="10351C4C"/>
    <w:rsid w:val="10A1EA89"/>
    <w:rsid w:val="12A647DF"/>
    <w:rsid w:val="1302DCEB"/>
    <w:rsid w:val="144CCF78"/>
    <w:rsid w:val="17805659"/>
    <w:rsid w:val="1CCE58B8"/>
    <w:rsid w:val="1DFF2782"/>
    <w:rsid w:val="1E5A0E1B"/>
    <w:rsid w:val="1F06CAD4"/>
    <w:rsid w:val="1F418639"/>
    <w:rsid w:val="1F869E73"/>
    <w:rsid w:val="229D9B70"/>
    <w:rsid w:val="22F36904"/>
    <w:rsid w:val="23026090"/>
    <w:rsid w:val="23A33F05"/>
    <w:rsid w:val="23DCBB1B"/>
    <w:rsid w:val="23EC8E35"/>
    <w:rsid w:val="25D08DB8"/>
    <w:rsid w:val="26C05F15"/>
    <w:rsid w:val="26E4C6F7"/>
    <w:rsid w:val="2799AC47"/>
    <w:rsid w:val="28530952"/>
    <w:rsid w:val="29535DC0"/>
    <w:rsid w:val="2A2ED7DA"/>
    <w:rsid w:val="2A5FED86"/>
    <w:rsid w:val="2ED4B3E7"/>
    <w:rsid w:val="2F185C85"/>
    <w:rsid w:val="304F655C"/>
    <w:rsid w:val="308B0006"/>
    <w:rsid w:val="31CF5161"/>
    <w:rsid w:val="335FB345"/>
    <w:rsid w:val="340B895A"/>
    <w:rsid w:val="3466490E"/>
    <w:rsid w:val="34F79FDC"/>
    <w:rsid w:val="36D5B585"/>
    <w:rsid w:val="396126C1"/>
    <w:rsid w:val="3998CF63"/>
    <w:rsid w:val="3A8BC0A3"/>
    <w:rsid w:val="3B19E731"/>
    <w:rsid w:val="3C54DCE8"/>
    <w:rsid w:val="3D6D9394"/>
    <w:rsid w:val="3D8661B1"/>
    <w:rsid w:val="415F7826"/>
    <w:rsid w:val="42200653"/>
    <w:rsid w:val="43D955C9"/>
    <w:rsid w:val="44218F84"/>
    <w:rsid w:val="443C1A84"/>
    <w:rsid w:val="453ED261"/>
    <w:rsid w:val="477E7EAF"/>
    <w:rsid w:val="48A054B4"/>
    <w:rsid w:val="48D264E6"/>
    <w:rsid w:val="49EE97B1"/>
    <w:rsid w:val="4A6165BA"/>
    <w:rsid w:val="4AD93C92"/>
    <w:rsid w:val="4BB491A0"/>
    <w:rsid w:val="4BBC5130"/>
    <w:rsid w:val="50AE669C"/>
    <w:rsid w:val="512F7E49"/>
    <w:rsid w:val="532E5A4B"/>
    <w:rsid w:val="53D21662"/>
    <w:rsid w:val="5A6244D6"/>
    <w:rsid w:val="5B0796B5"/>
    <w:rsid w:val="5B64CD27"/>
    <w:rsid w:val="5BA110BA"/>
    <w:rsid w:val="5C82A830"/>
    <w:rsid w:val="5E33E48A"/>
    <w:rsid w:val="61B90E7A"/>
    <w:rsid w:val="61F52AF8"/>
    <w:rsid w:val="63EBB3C9"/>
    <w:rsid w:val="67F3FAA9"/>
    <w:rsid w:val="688292ED"/>
    <w:rsid w:val="6A4F5452"/>
    <w:rsid w:val="6A97B69C"/>
    <w:rsid w:val="6AB0C1DE"/>
    <w:rsid w:val="6B072267"/>
    <w:rsid w:val="6BE355A5"/>
    <w:rsid w:val="6C588532"/>
    <w:rsid w:val="70246146"/>
    <w:rsid w:val="71F6E64D"/>
    <w:rsid w:val="72163F17"/>
    <w:rsid w:val="724C7230"/>
    <w:rsid w:val="74B19864"/>
    <w:rsid w:val="75BE0539"/>
    <w:rsid w:val="75F164E1"/>
    <w:rsid w:val="760CB443"/>
    <w:rsid w:val="7656E140"/>
    <w:rsid w:val="7733FC25"/>
    <w:rsid w:val="7753C775"/>
    <w:rsid w:val="7ABA2783"/>
    <w:rsid w:val="7B50BDD3"/>
    <w:rsid w:val="7DA8E19E"/>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7213283"/>
  <w15:chartTrackingRefBased/>
  <w15:docId w15:val="{B754A72B-7D25-42D9-A759-5E47697B0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0768"/>
  </w:style>
  <w:style w:type="paragraph" w:styleId="Heading1">
    <w:name w:val="heading 1"/>
    <w:basedOn w:val="Normal"/>
    <w:next w:val="Normal"/>
    <w:link w:val="Heading1Char"/>
    <w:uiPriority w:val="9"/>
    <w:qFormat/>
    <w:rsid w:val="0059313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93136"/>
    <w:pPr>
      <w:keepNext/>
      <w:spacing w:after="200" w:line="276" w:lineRule="auto"/>
      <w:ind w:left="567"/>
      <w:jc w:val="both"/>
      <w:outlineLvl w:val="1"/>
    </w:pPr>
    <w:rPr>
      <w:rFonts w:ascii="Times New Roman" w:hAnsi="Times New Roman" w:cs="Times New Roman"/>
      <w:b/>
      <w:sz w:val="20"/>
      <w:szCs w:val="20"/>
    </w:rPr>
  </w:style>
  <w:style w:type="paragraph" w:styleId="Heading3">
    <w:name w:val="heading 3"/>
    <w:basedOn w:val="Normal"/>
    <w:next w:val="Normal"/>
    <w:link w:val="Heading3Char"/>
    <w:uiPriority w:val="9"/>
    <w:unhideWhenUsed/>
    <w:qFormat/>
    <w:rsid w:val="00593136"/>
    <w:pPr>
      <w:keepNext/>
      <w:spacing w:after="0" w:line="276" w:lineRule="auto"/>
      <w:ind w:left="567"/>
      <w:jc w:val="both"/>
      <w:outlineLvl w:val="2"/>
    </w:pPr>
    <w:rPr>
      <w:rFonts w:ascii="Times New Roman" w:hAnsi="Times New Roman" w:cs="Times New Roman"/>
      <w:b/>
      <w:sz w:val="24"/>
      <w:szCs w:val="24"/>
    </w:rPr>
  </w:style>
  <w:style w:type="paragraph" w:styleId="Heading4">
    <w:name w:val="heading 4"/>
    <w:basedOn w:val="Normal"/>
    <w:next w:val="Normal"/>
    <w:link w:val="Heading4Char"/>
    <w:uiPriority w:val="9"/>
    <w:unhideWhenUsed/>
    <w:qFormat/>
    <w:rsid w:val="00225FFC"/>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237E99"/>
    <w:rPr>
      <w:color w:val="0000FF"/>
      <w:shd w:val="clear" w:color="auto" w:fill="auto"/>
    </w:rPr>
  </w:style>
  <w:style w:type="paragraph" w:styleId="Header">
    <w:name w:val="header"/>
    <w:basedOn w:val="Normal"/>
    <w:link w:val="HeaderChar"/>
    <w:uiPriority w:val="99"/>
    <w:unhideWhenUsed/>
    <w:rsid w:val="00237E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7E99"/>
  </w:style>
  <w:style w:type="paragraph" w:styleId="Footer">
    <w:name w:val="footer"/>
    <w:basedOn w:val="Normal"/>
    <w:link w:val="FooterChar"/>
    <w:uiPriority w:val="99"/>
    <w:unhideWhenUsed/>
    <w:rsid w:val="00237E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7E99"/>
  </w:style>
  <w:style w:type="paragraph" w:customStyle="1" w:styleId="Pagedecouverture">
    <w:name w:val="Page de couverture"/>
    <w:basedOn w:val="Normal"/>
    <w:next w:val="Normal"/>
    <w:rsid w:val="00237E99"/>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237E99"/>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237E99"/>
    <w:rPr>
      <w:rFonts w:ascii="Times New Roman" w:hAnsi="Times New Roman" w:cs="Times New Roman"/>
      <w:sz w:val="24"/>
    </w:rPr>
  </w:style>
  <w:style w:type="paragraph" w:customStyle="1" w:styleId="FooterSensitivity">
    <w:name w:val="Footer Sensitivity"/>
    <w:basedOn w:val="Normal"/>
    <w:link w:val="FooterSensitivityChar"/>
    <w:rsid w:val="00237E99"/>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237E99"/>
    <w:rPr>
      <w:rFonts w:ascii="Times New Roman" w:hAnsi="Times New Roman" w:cs="Times New Roman"/>
      <w:b/>
      <w:sz w:val="32"/>
    </w:rPr>
  </w:style>
  <w:style w:type="paragraph" w:customStyle="1" w:styleId="HeaderCoverPage">
    <w:name w:val="Header Cover Page"/>
    <w:basedOn w:val="Normal"/>
    <w:link w:val="HeaderCoverPageChar"/>
    <w:rsid w:val="00237E99"/>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237E99"/>
    <w:rPr>
      <w:rFonts w:ascii="Times New Roman" w:hAnsi="Times New Roman" w:cs="Times New Roman"/>
      <w:sz w:val="24"/>
    </w:rPr>
  </w:style>
  <w:style w:type="paragraph" w:customStyle="1" w:styleId="HeaderSensitivity">
    <w:name w:val="Header Sensitivity"/>
    <w:basedOn w:val="Normal"/>
    <w:link w:val="HeaderSensitivityChar"/>
    <w:rsid w:val="00237E99"/>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237E99"/>
    <w:rPr>
      <w:rFonts w:ascii="Times New Roman" w:hAnsi="Times New Roman" w:cs="Times New Roman"/>
      <w:b/>
      <w:sz w:val="32"/>
    </w:rPr>
  </w:style>
  <w:style w:type="paragraph" w:customStyle="1" w:styleId="HeaderSensitivityRight">
    <w:name w:val="Header Sensitivity Right"/>
    <w:basedOn w:val="Normal"/>
    <w:link w:val="HeaderSensitivityRightChar"/>
    <w:rsid w:val="00237E99"/>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237E99"/>
    <w:rPr>
      <w:rFonts w:ascii="Times New Roman" w:hAnsi="Times New Roman" w:cs="Times New Roman"/>
      <w:sz w:val="28"/>
    </w:rPr>
  </w:style>
  <w:style w:type="character" w:customStyle="1" w:styleId="Heading1Char">
    <w:name w:val="Heading 1 Char"/>
    <w:basedOn w:val="DefaultParagraphFont"/>
    <w:link w:val="Heading1"/>
    <w:uiPriority w:val="9"/>
    <w:rsid w:val="00593136"/>
    <w:rPr>
      <w:rFonts w:asciiTheme="majorHAnsi" w:eastAsiaTheme="majorEastAsia" w:hAnsiTheme="majorHAnsi" w:cstheme="majorBidi"/>
      <w:color w:val="2E74B5" w:themeColor="accent1" w:themeShade="BF"/>
      <w:sz w:val="32"/>
      <w:szCs w:val="32"/>
      <w:lang w:val="ro-RO"/>
    </w:rPr>
  </w:style>
  <w:style w:type="character" w:customStyle="1" w:styleId="Heading2Char">
    <w:name w:val="Heading 2 Char"/>
    <w:basedOn w:val="DefaultParagraphFont"/>
    <w:link w:val="Heading2"/>
    <w:uiPriority w:val="9"/>
    <w:rsid w:val="00593136"/>
    <w:rPr>
      <w:rFonts w:ascii="Times New Roman" w:hAnsi="Times New Roman" w:cs="Times New Roman"/>
      <w:b/>
      <w:sz w:val="20"/>
      <w:szCs w:val="20"/>
      <w:lang w:val="ro-RO"/>
    </w:rPr>
  </w:style>
  <w:style w:type="character" w:customStyle="1" w:styleId="Heading3Char">
    <w:name w:val="Heading 3 Char"/>
    <w:basedOn w:val="DefaultParagraphFont"/>
    <w:link w:val="Heading3"/>
    <w:uiPriority w:val="9"/>
    <w:rsid w:val="00593136"/>
    <w:rPr>
      <w:rFonts w:ascii="Times New Roman" w:hAnsi="Times New Roman" w:cs="Times New Roman"/>
      <w:b/>
      <w:sz w:val="24"/>
      <w:szCs w:val="24"/>
      <w:lang w:val="ro-RO"/>
    </w:rPr>
  </w:style>
  <w:style w:type="paragraph" w:styleId="ListParagraph">
    <w:name w:val="List Paragraph"/>
    <w:aliases w:val="Numb_Para,titulo 5,List Paragraph1,VIÑETAS,TITULO A,En tête 1,Report Para,WinDForce-Letter,Paragraphe,Paragraphe de liste (sdt),RMSI bulle Style,Bullet  Paragraph,Lettre d'introduction,1st level - Bullet List Paragraph,Celula"/>
    <w:basedOn w:val="Normal"/>
    <w:link w:val="ListParagraphChar"/>
    <w:uiPriority w:val="34"/>
    <w:qFormat/>
    <w:rsid w:val="00593136"/>
    <w:pPr>
      <w:spacing w:after="200" w:line="276" w:lineRule="auto"/>
      <w:ind w:left="720"/>
      <w:contextualSpacing/>
    </w:pPr>
  </w:style>
  <w:style w:type="paragraph" w:styleId="FootnoteText">
    <w:name w:val="footnote text"/>
    <w:aliases w:val="Fußnote,Footnote text,Footnote Text Char Char Char Char,Footnote Text Char Char,Footnote Text Char Char Char Char Char Char Char Char,f t,ft,f,f ,fn,Fotnotstext1,Schriftart: 9 pt,Schriftart: 10 pt,Schriftart: 8 pt,WB-Fußnotentext,FoodNote"/>
    <w:basedOn w:val="Normal"/>
    <w:link w:val="FootnoteTextChar"/>
    <w:uiPriority w:val="99"/>
    <w:unhideWhenUsed/>
    <w:qFormat/>
    <w:rsid w:val="00593136"/>
    <w:pPr>
      <w:keepLines/>
      <w:spacing w:after="0" w:line="240" w:lineRule="auto"/>
    </w:pPr>
    <w:rPr>
      <w:sz w:val="20"/>
      <w:szCs w:val="20"/>
    </w:rPr>
  </w:style>
  <w:style w:type="character" w:customStyle="1" w:styleId="FootnoteTextChar">
    <w:name w:val="Footnote Text Char"/>
    <w:aliases w:val="Fußnote Char,Footnote text Char,Footnote Text Char Char Char Char Char,Footnote Text Char Char Char,Footnote Text Char Char Char Char Char Char Char Char Char,f t Char,ft Char,f Char,f  Char,fn Char,Fotnotstext1 Char,FoodNote Char"/>
    <w:basedOn w:val="DefaultParagraphFont"/>
    <w:link w:val="FootnoteText"/>
    <w:uiPriority w:val="99"/>
    <w:rsid w:val="00593136"/>
    <w:rPr>
      <w:sz w:val="20"/>
      <w:szCs w:val="20"/>
      <w:lang w:val="ro-RO"/>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SUPE"/>
    <w:basedOn w:val="DefaultParagraphFont"/>
    <w:link w:val="CharCharChar"/>
    <w:uiPriority w:val="99"/>
    <w:unhideWhenUsed/>
    <w:qFormat/>
    <w:rsid w:val="00593136"/>
    <w:rPr>
      <w:vertAlign w:val="superscript"/>
    </w:rPr>
  </w:style>
  <w:style w:type="character" w:styleId="Hyperlink">
    <w:name w:val="Hyperlink"/>
    <w:basedOn w:val="DefaultParagraphFont"/>
    <w:uiPriority w:val="99"/>
    <w:unhideWhenUsed/>
    <w:rsid w:val="00593136"/>
    <w:rPr>
      <w:color w:val="0563C1" w:themeColor="hyperlink"/>
      <w:u w:val="single"/>
    </w:rPr>
  </w:style>
  <w:style w:type="paragraph" w:styleId="BodyTextIndent">
    <w:name w:val="Body Text Indent"/>
    <w:basedOn w:val="Normal"/>
    <w:link w:val="BodyTextIndentChar"/>
    <w:uiPriority w:val="99"/>
    <w:unhideWhenUsed/>
    <w:rsid w:val="00593136"/>
    <w:pPr>
      <w:spacing w:after="200" w:line="276" w:lineRule="auto"/>
      <w:ind w:left="567"/>
      <w:jc w:val="both"/>
    </w:pPr>
    <w:rPr>
      <w:rFonts w:ascii="Times New Roman" w:hAnsi="Times New Roman" w:cs="Times New Roman"/>
      <w:sz w:val="24"/>
      <w:szCs w:val="24"/>
    </w:rPr>
  </w:style>
  <w:style w:type="character" w:customStyle="1" w:styleId="BodyTextIndentChar">
    <w:name w:val="Body Text Indent Char"/>
    <w:basedOn w:val="DefaultParagraphFont"/>
    <w:link w:val="BodyTextIndent"/>
    <w:uiPriority w:val="99"/>
    <w:rsid w:val="00593136"/>
    <w:rPr>
      <w:rFonts w:ascii="Times New Roman" w:hAnsi="Times New Roman" w:cs="Times New Roman"/>
      <w:sz w:val="24"/>
      <w:szCs w:val="24"/>
      <w:lang w:val="ro-RO"/>
    </w:rPr>
  </w:style>
  <w:style w:type="character" w:styleId="CommentReference">
    <w:name w:val="annotation reference"/>
    <w:basedOn w:val="DefaultParagraphFont"/>
    <w:uiPriority w:val="99"/>
    <w:semiHidden/>
    <w:unhideWhenUsed/>
    <w:rsid w:val="00593136"/>
    <w:rPr>
      <w:sz w:val="16"/>
      <w:szCs w:val="16"/>
    </w:rPr>
  </w:style>
  <w:style w:type="paragraph" w:styleId="CommentText">
    <w:name w:val="annotation text"/>
    <w:basedOn w:val="Normal"/>
    <w:link w:val="CommentTextChar"/>
    <w:uiPriority w:val="99"/>
    <w:unhideWhenUsed/>
    <w:rsid w:val="00593136"/>
    <w:pPr>
      <w:spacing w:after="200" w:line="240" w:lineRule="auto"/>
    </w:pPr>
    <w:rPr>
      <w:sz w:val="20"/>
      <w:szCs w:val="20"/>
    </w:rPr>
  </w:style>
  <w:style w:type="character" w:customStyle="1" w:styleId="CommentTextChar">
    <w:name w:val="Comment Text Char"/>
    <w:basedOn w:val="DefaultParagraphFont"/>
    <w:link w:val="CommentText"/>
    <w:uiPriority w:val="99"/>
    <w:rsid w:val="00593136"/>
    <w:rPr>
      <w:sz w:val="20"/>
      <w:szCs w:val="20"/>
      <w:lang w:val="ro-RO"/>
    </w:rPr>
  </w:style>
  <w:style w:type="paragraph" w:styleId="CommentSubject">
    <w:name w:val="annotation subject"/>
    <w:basedOn w:val="CommentText"/>
    <w:next w:val="CommentText"/>
    <w:link w:val="CommentSubjectChar"/>
    <w:uiPriority w:val="99"/>
    <w:semiHidden/>
    <w:unhideWhenUsed/>
    <w:rsid w:val="00593136"/>
    <w:rPr>
      <w:b/>
      <w:bCs/>
    </w:rPr>
  </w:style>
  <w:style w:type="character" w:customStyle="1" w:styleId="CommentSubjectChar">
    <w:name w:val="Comment Subject Char"/>
    <w:basedOn w:val="CommentTextChar"/>
    <w:link w:val="CommentSubject"/>
    <w:uiPriority w:val="99"/>
    <w:semiHidden/>
    <w:rsid w:val="00593136"/>
    <w:rPr>
      <w:b/>
      <w:bCs/>
      <w:sz w:val="20"/>
      <w:szCs w:val="20"/>
      <w:lang w:val="ro-RO"/>
    </w:rPr>
  </w:style>
  <w:style w:type="paragraph" w:styleId="BalloonText">
    <w:name w:val="Balloon Text"/>
    <w:basedOn w:val="Normal"/>
    <w:link w:val="BalloonTextChar"/>
    <w:uiPriority w:val="99"/>
    <w:semiHidden/>
    <w:unhideWhenUsed/>
    <w:rsid w:val="005931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3136"/>
    <w:rPr>
      <w:rFonts w:ascii="Segoe UI" w:hAnsi="Segoe UI" w:cs="Segoe UI"/>
      <w:sz w:val="18"/>
      <w:szCs w:val="18"/>
      <w:lang w:val="ro-RO"/>
    </w:rPr>
  </w:style>
  <w:style w:type="paragraph" w:customStyle="1" w:styleId="NormalNoSpace">
    <w:name w:val="NormalNoSpace"/>
    <w:aliases w:val="Body TextNoSpace"/>
    <w:basedOn w:val="Normal"/>
    <w:uiPriority w:val="1"/>
    <w:qFormat/>
    <w:rsid w:val="00593136"/>
    <w:pPr>
      <w:spacing w:after="0" w:line="240" w:lineRule="auto"/>
    </w:pPr>
    <w:rPr>
      <w:rFonts w:ascii="Verdana" w:hAnsi="Verdana"/>
      <w:color w:val="000000" w:themeColor="text1"/>
      <w:sz w:val="20"/>
    </w:rPr>
  </w:style>
  <w:style w:type="numbering" w:customStyle="1" w:styleId="Bullets">
    <w:name w:val="Bullets"/>
    <w:aliases w:val="NumbLstBTBullet,NumbLstBullet"/>
    <w:uiPriority w:val="99"/>
    <w:rsid w:val="00593136"/>
    <w:pPr>
      <w:numPr>
        <w:numId w:val="6"/>
      </w:numPr>
    </w:pPr>
  </w:style>
  <w:style w:type="paragraph" w:customStyle="1" w:styleId="Bullet10">
    <w:name w:val="Bullet 1"/>
    <w:aliases w:val="Bullet1,BTBullet1,b1,bullets"/>
    <w:basedOn w:val="Normal"/>
    <w:link w:val="BTBullet1Znak"/>
    <w:uiPriority w:val="9"/>
    <w:qFormat/>
    <w:rsid w:val="00593136"/>
    <w:pPr>
      <w:numPr>
        <w:numId w:val="6"/>
      </w:numPr>
      <w:spacing w:before="120" w:after="120" w:line="240" w:lineRule="auto"/>
      <w:contextualSpacing/>
    </w:pPr>
    <w:rPr>
      <w:rFonts w:ascii="Verdana" w:hAnsi="Verdana"/>
      <w:color w:val="000000" w:themeColor="text1"/>
      <w:sz w:val="20"/>
    </w:rPr>
  </w:style>
  <w:style w:type="paragraph" w:customStyle="1" w:styleId="Bullet2">
    <w:name w:val="Bullet 2"/>
    <w:aliases w:val="Bullet2,BTBullet2"/>
    <w:basedOn w:val="Normal"/>
    <w:uiPriority w:val="10"/>
    <w:qFormat/>
    <w:rsid w:val="00593136"/>
    <w:pPr>
      <w:numPr>
        <w:ilvl w:val="1"/>
        <w:numId w:val="6"/>
      </w:numPr>
      <w:spacing w:before="120" w:after="120" w:line="240" w:lineRule="auto"/>
      <w:contextualSpacing/>
    </w:pPr>
    <w:rPr>
      <w:rFonts w:ascii="Verdana" w:hAnsi="Verdana"/>
      <w:color w:val="000000" w:themeColor="text1"/>
      <w:sz w:val="20"/>
    </w:rPr>
  </w:style>
  <w:style w:type="paragraph" w:customStyle="1" w:styleId="Bullet3">
    <w:name w:val="Bullet 3"/>
    <w:aliases w:val="Bullet3,BTBullet3"/>
    <w:basedOn w:val="Bullet2"/>
    <w:uiPriority w:val="10"/>
    <w:qFormat/>
    <w:rsid w:val="00593136"/>
    <w:pPr>
      <w:numPr>
        <w:ilvl w:val="2"/>
      </w:numPr>
    </w:pPr>
  </w:style>
  <w:style w:type="character" w:customStyle="1" w:styleId="BTBullet1Znak">
    <w:name w:val="BTBullet1 Znak"/>
    <w:link w:val="Bullet10"/>
    <w:uiPriority w:val="9"/>
    <w:locked/>
    <w:rsid w:val="00593136"/>
    <w:rPr>
      <w:rFonts w:ascii="Verdana" w:hAnsi="Verdana"/>
      <w:color w:val="000000" w:themeColor="text1"/>
      <w:sz w:val="20"/>
      <w:lang w:val="ro-RO"/>
    </w:rPr>
  </w:style>
  <w:style w:type="paragraph" w:customStyle="1" w:styleId="BodyText1">
    <w:name w:val="Body Text1"/>
    <w:basedOn w:val="Normal"/>
    <w:link w:val="BodytextChar"/>
    <w:qFormat/>
    <w:rsid w:val="00593136"/>
    <w:pPr>
      <w:spacing w:before="120" w:after="120" w:line="240" w:lineRule="auto"/>
      <w:jc w:val="both"/>
    </w:pPr>
    <w:rPr>
      <w:rFonts w:ascii="Arial" w:eastAsia="Times New Roman" w:hAnsi="Arial" w:cs="Times New Roman"/>
      <w:noProof/>
      <w:szCs w:val="20"/>
    </w:rPr>
  </w:style>
  <w:style w:type="character" w:customStyle="1" w:styleId="BodytextChar">
    <w:name w:val="Body text Char"/>
    <w:link w:val="BodyText1"/>
    <w:rsid w:val="00593136"/>
    <w:rPr>
      <w:rFonts w:ascii="Arial" w:eastAsia="Times New Roman" w:hAnsi="Arial" w:cs="Times New Roman"/>
      <w:noProof/>
      <w:szCs w:val="20"/>
      <w:lang w:val="ro-RO"/>
    </w:rPr>
  </w:style>
  <w:style w:type="paragraph" w:customStyle="1" w:styleId="bullet1">
    <w:name w:val="bullet 1"/>
    <w:basedOn w:val="BodyText1"/>
    <w:link w:val="bullet1Char"/>
    <w:qFormat/>
    <w:rsid w:val="00593136"/>
    <w:pPr>
      <w:numPr>
        <w:numId w:val="7"/>
      </w:numPr>
    </w:pPr>
    <w:rPr>
      <w:szCs w:val="24"/>
    </w:rPr>
  </w:style>
  <w:style w:type="character" w:customStyle="1" w:styleId="bullet1Char">
    <w:name w:val="bullet 1 Char"/>
    <w:basedOn w:val="BodytextChar"/>
    <w:link w:val="bullet1"/>
    <w:rsid w:val="00593136"/>
    <w:rPr>
      <w:rFonts w:ascii="Arial" w:eastAsia="Times New Roman" w:hAnsi="Arial" w:cs="Times New Roman"/>
      <w:noProof/>
      <w:szCs w:val="24"/>
      <w:lang w:val="ro-RO"/>
    </w:rPr>
  </w:style>
  <w:style w:type="paragraph" w:styleId="Revision">
    <w:name w:val="Revision"/>
    <w:hidden/>
    <w:uiPriority w:val="99"/>
    <w:semiHidden/>
    <w:rsid w:val="00593136"/>
    <w:pPr>
      <w:spacing w:after="0" w:line="240" w:lineRule="auto"/>
    </w:pPr>
  </w:style>
  <w:style w:type="character" w:styleId="FollowedHyperlink">
    <w:name w:val="FollowedHyperlink"/>
    <w:basedOn w:val="DefaultParagraphFont"/>
    <w:uiPriority w:val="99"/>
    <w:semiHidden/>
    <w:unhideWhenUsed/>
    <w:rsid w:val="00593136"/>
    <w:rPr>
      <w:color w:val="954F72" w:themeColor="followedHyperlink"/>
      <w:u w:val="single"/>
    </w:rPr>
  </w:style>
  <w:style w:type="table" w:styleId="TableGrid">
    <w:name w:val="Table Grid"/>
    <w:basedOn w:val="TableNormal"/>
    <w:uiPriority w:val="59"/>
    <w:rsid w:val="0059313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harCharChar">
    <w:name w:val="Char Char Char"/>
    <w:basedOn w:val="Normal"/>
    <w:link w:val="FootnoteReference"/>
    <w:rsid w:val="00257143"/>
    <w:pPr>
      <w:spacing w:after="0" w:line="240" w:lineRule="exact"/>
    </w:pPr>
    <w:rPr>
      <w:vertAlign w:val="superscript"/>
    </w:rPr>
  </w:style>
  <w:style w:type="character" w:customStyle="1" w:styleId="UnresolvedMention">
    <w:name w:val="Unresolved Mention"/>
    <w:basedOn w:val="DefaultParagraphFont"/>
    <w:uiPriority w:val="99"/>
    <w:semiHidden/>
    <w:unhideWhenUsed/>
    <w:rsid w:val="00D63EDF"/>
    <w:rPr>
      <w:color w:val="605E5C"/>
      <w:shd w:val="clear" w:color="auto" w:fill="E1DFDD"/>
    </w:rPr>
  </w:style>
  <w:style w:type="paragraph" w:styleId="NormalWeb">
    <w:name w:val="Normal (Web)"/>
    <w:basedOn w:val="Normal"/>
    <w:unhideWhenUsed/>
    <w:rsid w:val="008A2DC5"/>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normaltextrun">
    <w:name w:val="normaltextrun"/>
    <w:basedOn w:val="DefaultParagraphFont"/>
    <w:rsid w:val="008A2DC5"/>
  </w:style>
  <w:style w:type="character" w:customStyle="1" w:styleId="eop">
    <w:name w:val="eop"/>
    <w:basedOn w:val="DefaultParagraphFont"/>
    <w:rsid w:val="008A2DC5"/>
  </w:style>
  <w:style w:type="character" w:customStyle="1" w:styleId="contentcontrolboundarysink">
    <w:name w:val="contentcontrolboundarysink"/>
    <w:basedOn w:val="DefaultParagraphFont"/>
    <w:rsid w:val="008A2DC5"/>
  </w:style>
  <w:style w:type="character" w:customStyle="1" w:styleId="ListParagraphChar">
    <w:name w:val="List Paragraph Char"/>
    <w:aliases w:val="Numb_Para Char,titulo 5 Char,List Paragraph1 Char,VIÑETAS Char,TITULO A Char,En tête 1 Char,Report Para Char,WinDForce-Letter Char,Paragraphe Char,Paragraphe de liste (sdt) Char,RMSI bulle Style Char,Bullet  Paragraph Char"/>
    <w:link w:val="ListParagraph"/>
    <w:uiPriority w:val="34"/>
    <w:qFormat/>
    <w:locked/>
    <w:rsid w:val="00A03C1B"/>
    <w:rPr>
      <w:lang w:val="ro-RO"/>
    </w:rPr>
  </w:style>
  <w:style w:type="character" w:customStyle="1" w:styleId="Heading4Char">
    <w:name w:val="Heading 4 Char"/>
    <w:basedOn w:val="DefaultParagraphFont"/>
    <w:link w:val="Heading4"/>
    <w:uiPriority w:val="9"/>
    <w:rsid w:val="00225FFC"/>
    <w:rPr>
      <w:rFonts w:asciiTheme="majorHAnsi" w:eastAsiaTheme="majorEastAsia" w:hAnsiTheme="majorHAnsi" w:cstheme="majorBidi"/>
      <w:i/>
      <w:iCs/>
      <w:color w:val="2E74B5" w:themeColor="accent1" w:themeShade="BF"/>
    </w:rPr>
  </w:style>
  <w:style w:type="paragraph" w:customStyle="1" w:styleId="Typedudocument">
    <w:name w:val="Type du document"/>
    <w:basedOn w:val="Normal"/>
    <w:next w:val="Normal"/>
    <w:rsid w:val="000F5DCE"/>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rsid w:val="000F5DCE"/>
    <w:pPr>
      <w:spacing w:before="360" w:after="360" w:line="240" w:lineRule="auto"/>
      <w:jc w:val="center"/>
    </w:pPr>
    <w:rPr>
      <w:rFonts w:ascii="Times New Roman" w:hAnsi="Times New Roman" w:cs="Times New Roman"/>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022203">
      <w:bodyDiv w:val="1"/>
      <w:marLeft w:val="0"/>
      <w:marRight w:val="0"/>
      <w:marTop w:val="0"/>
      <w:marBottom w:val="0"/>
      <w:divBdr>
        <w:top w:val="none" w:sz="0" w:space="0" w:color="auto"/>
        <w:left w:val="none" w:sz="0" w:space="0" w:color="auto"/>
        <w:bottom w:val="none" w:sz="0" w:space="0" w:color="auto"/>
        <w:right w:val="none" w:sz="0" w:space="0" w:color="auto"/>
      </w:divBdr>
    </w:div>
    <w:div w:id="893394119">
      <w:bodyDiv w:val="1"/>
      <w:marLeft w:val="0"/>
      <w:marRight w:val="0"/>
      <w:marTop w:val="0"/>
      <w:marBottom w:val="0"/>
      <w:divBdr>
        <w:top w:val="none" w:sz="0" w:space="0" w:color="auto"/>
        <w:left w:val="none" w:sz="0" w:space="0" w:color="auto"/>
        <w:bottom w:val="none" w:sz="0" w:space="0" w:color="auto"/>
        <w:right w:val="none" w:sz="0" w:space="0" w:color="auto"/>
      </w:divBdr>
    </w:div>
    <w:div w:id="1649676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info/law/better-regulation/have-your-say/initiatives/14049-Revizuirea-definitiei-nanomaterialelor-fabricate-prezente-in-alimente_ro" TargetMode="External"/><Relationship Id="rId2" Type="http://schemas.openxmlformats.org/officeDocument/2006/relationships/hyperlink" Target="https://www.efsa.europa.eu/en/efsajournal/pub/6768" TargetMode="External"/><Relationship Id="rId1" Type="http://schemas.openxmlformats.org/officeDocument/2006/relationships/hyperlink" Target="https://ec.europa.eu/transparency/expert-groups-register/screen/expert-groups/consult?lang=en&amp;do=groupDetail.groupDetail&amp;groupID=3560&amp;Lang=EN" TargetMode="External"/><Relationship Id="rId6" Type="http://schemas.openxmlformats.org/officeDocument/2006/relationships/hyperlink" Target="https://oeil.secure.europarl.europa.eu/oeil/en/procedure-file?reference=2024/2691(DEA)" TargetMode="External"/><Relationship Id="rId5" Type="http://schemas.openxmlformats.org/officeDocument/2006/relationships/hyperlink" Target="https://www.europarl.europa.eu/doceo/document/TA-9-2024-0316_RO.pdf" TargetMode="External"/><Relationship Id="rId4" Type="http://schemas.openxmlformats.org/officeDocument/2006/relationships/hyperlink" Target="https://eur-lex.europa.eu/legal-content/RO/TXT/PDF/?uri=PI_COM:C(2024)16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E340D8-1C56-4D00-B391-50A5AA2905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1166</Words>
  <Characters>6649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7800</CharactersWithSpaces>
  <SharedDoc>false</SharedDoc>
  <HLinks>
    <vt:vector size="150" baseType="variant">
      <vt:variant>
        <vt:i4>393331</vt:i4>
      </vt:variant>
      <vt:variant>
        <vt:i4>72</vt:i4>
      </vt:variant>
      <vt:variant>
        <vt:i4>0</vt:i4>
      </vt:variant>
      <vt:variant>
        <vt:i4>5</vt:i4>
      </vt:variant>
      <vt:variant>
        <vt:lpwstr>http://data.europa.eu/eli/reg_impl/2021/403/oj</vt:lpwstr>
      </vt:variant>
      <vt:variant>
        <vt:lpwstr/>
      </vt:variant>
      <vt:variant>
        <vt:i4>1769524</vt:i4>
      </vt:variant>
      <vt:variant>
        <vt:i4>69</vt:i4>
      </vt:variant>
      <vt:variant>
        <vt:i4>0</vt:i4>
      </vt:variant>
      <vt:variant>
        <vt:i4>5</vt:i4>
      </vt:variant>
      <vt:variant>
        <vt:lpwstr>http://data.europa.eu/eli/reg_impl/2020/2235/oj</vt:lpwstr>
      </vt:variant>
      <vt:variant>
        <vt:lpwstr/>
      </vt:variant>
      <vt:variant>
        <vt:i4>6553711</vt:i4>
      </vt:variant>
      <vt:variant>
        <vt:i4>66</vt:i4>
      </vt:variant>
      <vt:variant>
        <vt:i4>0</vt:i4>
      </vt:variant>
      <vt:variant>
        <vt:i4>5</vt:i4>
      </vt:variant>
      <vt:variant>
        <vt:lpwstr>https://www.eu-parc.eu/</vt:lpwstr>
      </vt:variant>
      <vt:variant>
        <vt:lpwstr/>
      </vt:variant>
      <vt:variant>
        <vt:i4>3145757</vt:i4>
      </vt:variant>
      <vt:variant>
        <vt:i4>63</vt:i4>
      </vt:variant>
      <vt:variant>
        <vt:i4>0</vt:i4>
      </vt:variant>
      <vt:variant>
        <vt:i4>5</vt:i4>
      </vt:variant>
      <vt:variant>
        <vt:lpwstr>https://food.ec.europa.eu/document/download/c98a296f-5589-4efe-9112-e0389b59058d_en?filename=ah_vet-med_imp-reg-2019-06_ema-advice_art-115-5.pdf</vt:lpwstr>
      </vt:variant>
      <vt:variant>
        <vt:lpwstr/>
      </vt:variant>
      <vt:variant>
        <vt:i4>8126516</vt:i4>
      </vt:variant>
      <vt:variant>
        <vt:i4>60</vt:i4>
      </vt:variant>
      <vt:variant>
        <vt:i4>0</vt:i4>
      </vt:variant>
      <vt:variant>
        <vt:i4>5</vt:i4>
      </vt:variant>
      <vt:variant>
        <vt:lpwstr>https://ec.europa.eu/food/audits-analysis/audit-report/details/4250</vt:lpwstr>
      </vt:variant>
      <vt:variant>
        <vt:lpwstr/>
      </vt:variant>
      <vt:variant>
        <vt:i4>8060981</vt:i4>
      </vt:variant>
      <vt:variant>
        <vt:i4>57</vt:i4>
      </vt:variant>
      <vt:variant>
        <vt:i4>0</vt:i4>
      </vt:variant>
      <vt:variant>
        <vt:i4>5</vt:i4>
      </vt:variant>
      <vt:variant>
        <vt:lpwstr>https://ec.europa.eu/food/audits-analysis/audit-report/details/4326</vt:lpwstr>
      </vt:variant>
      <vt:variant>
        <vt:lpwstr/>
      </vt:variant>
      <vt:variant>
        <vt:i4>8257584</vt:i4>
      </vt:variant>
      <vt:variant>
        <vt:i4>54</vt:i4>
      </vt:variant>
      <vt:variant>
        <vt:i4>0</vt:i4>
      </vt:variant>
      <vt:variant>
        <vt:i4>5</vt:i4>
      </vt:variant>
      <vt:variant>
        <vt:lpwstr>https://ec.europa.eu/food/audits-analysis/audit-report/details/4673</vt:lpwstr>
      </vt:variant>
      <vt:variant>
        <vt:lpwstr/>
      </vt:variant>
      <vt:variant>
        <vt:i4>8192055</vt:i4>
      </vt:variant>
      <vt:variant>
        <vt:i4>51</vt:i4>
      </vt:variant>
      <vt:variant>
        <vt:i4>0</vt:i4>
      </vt:variant>
      <vt:variant>
        <vt:i4>5</vt:i4>
      </vt:variant>
      <vt:variant>
        <vt:lpwstr>https://ec.europa.eu/food/audits-analysis/audit-report/details/4141</vt:lpwstr>
      </vt:variant>
      <vt:variant>
        <vt:lpwstr/>
      </vt:variant>
      <vt:variant>
        <vt:i4>7864372</vt:i4>
      </vt:variant>
      <vt:variant>
        <vt:i4>48</vt:i4>
      </vt:variant>
      <vt:variant>
        <vt:i4>0</vt:i4>
      </vt:variant>
      <vt:variant>
        <vt:i4>5</vt:i4>
      </vt:variant>
      <vt:variant>
        <vt:lpwstr>https://ec.europa.eu/food/audits-analysis/audit-report/details/4210</vt:lpwstr>
      </vt:variant>
      <vt:variant>
        <vt:lpwstr/>
      </vt:variant>
      <vt:variant>
        <vt:i4>8257584</vt:i4>
      </vt:variant>
      <vt:variant>
        <vt:i4>45</vt:i4>
      </vt:variant>
      <vt:variant>
        <vt:i4>0</vt:i4>
      </vt:variant>
      <vt:variant>
        <vt:i4>5</vt:i4>
      </vt:variant>
      <vt:variant>
        <vt:lpwstr>https://ec.europa.eu/food/audits-analysis/audit-report/details/4677</vt:lpwstr>
      </vt:variant>
      <vt:variant>
        <vt:lpwstr/>
      </vt:variant>
      <vt:variant>
        <vt:i4>7340086</vt:i4>
      </vt:variant>
      <vt:variant>
        <vt:i4>42</vt:i4>
      </vt:variant>
      <vt:variant>
        <vt:i4>0</vt:i4>
      </vt:variant>
      <vt:variant>
        <vt:i4>5</vt:i4>
      </vt:variant>
      <vt:variant>
        <vt:lpwstr>https://ec.europa.eu/food/audits-analysis/audit-report/details/4094</vt:lpwstr>
      </vt:variant>
      <vt:variant>
        <vt:lpwstr/>
      </vt:variant>
      <vt:variant>
        <vt:i4>196659</vt:i4>
      </vt:variant>
      <vt:variant>
        <vt:i4>39</vt:i4>
      </vt:variant>
      <vt:variant>
        <vt:i4>0</vt:i4>
      </vt:variant>
      <vt:variant>
        <vt:i4>5</vt:i4>
      </vt:variant>
      <vt:variant>
        <vt:lpwstr>https://www.ema.europa.eu/en/news?f%5B0%5D=ema_news_responsible_body%3A100006</vt:lpwstr>
      </vt:variant>
      <vt:variant>
        <vt:lpwstr/>
      </vt:variant>
      <vt:variant>
        <vt:i4>393333</vt:i4>
      </vt:variant>
      <vt:variant>
        <vt:i4>36</vt:i4>
      </vt:variant>
      <vt:variant>
        <vt:i4>0</vt:i4>
      </vt:variant>
      <vt:variant>
        <vt:i4>5</vt:i4>
      </vt:variant>
      <vt:variant>
        <vt:lpwstr>http://data.europa.eu/eli/reg_impl/2021/405/oj</vt:lpwstr>
      </vt:variant>
      <vt:variant>
        <vt:lpwstr/>
      </vt:variant>
      <vt:variant>
        <vt:i4>393332</vt:i4>
      </vt:variant>
      <vt:variant>
        <vt:i4>33</vt:i4>
      </vt:variant>
      <vt:variant>
        <vt:i4>0</vt:i4>
      </vt:variant>
      <vt:variant>
        <vt:i4>5</vt:i4>
      </vt:variant>
      <vt:variant>
        <vt:lpwstr>http://data.europa.eu/eli/reg_impl/2021/404/oj</vt:lpwstr>
      </vt:variant>
      <vt:variant>
        <vt:lpwstr/>
      </vt:variant>
      <vt:variant>
        <vt:i4>5963876</vt:i4>
      </vt:variant>
      <vt:variant>
        <vt:i4>30</vt:i4>
      </vt:variant>
      <vt:variant>
        <vt:i4>0</vt:i4>
      </vt:variant>
      <vt:variant>
        <vt:i4>5</vt:i4>
      </vt:variant>
      <vt:variant>
        <vt:lpwstr>http://data.europa.eu/eli/reg_del/2022/2292/oj</vt:lpwstr>
      </vt:variant>
      <vt:variant>
        <vt:lpwstr/>
      </vt:variant>
      <vt:variant>
        <vt:i4>4784153</vt:i4>
      </vt:variant>
      <vt:variant>
        <vt:i4>27</vt:i4>
      </vt:variant>
      <vt:variant>
        <vt:i4>0</vt:i4>
      </vt:variant>
      <vt:variant>
        <vt:i4>5</vt:i4>
      </vt:variant>
      <vt:variant>
        <vt:lpwstr>http://data.europa.eu/eli/reg/2002/178/oj</vt:lpwstr>
      </vt:variant>
      <vt:variant>
        <vt:lpwstr/>
      </vt:variant>
      <vt:variant>
        <vt:i4>5898338</vt:i4>
      </vt:variant>
      <vt:variant>
        <vt:i4>24</vt:i4>
      </vt:variant>
      <vt:variant>
        <vt:i4>0</vt:i4>
      </vt:variant>
      <vt:variant>
        <vt:i4>5</vt:i4>
      </vt:variant>
      <vt:variant>
        <vt:lpwstr>http://data.europa.eu/eli/reg_del/2019/2035/oj</vt:lpwstr>
      </vt:variant>
      <vt:variant>
        <vt:lpwstr/>
      </vt:variant>
      <vt:variant>
        <vt:i4>8060947</vt:i4>
      </vt:variant>
      <vt:variant>
        <vt:i4>21</vt:i4>
      </vt:variant>
      <vt:variant>
        <vt:i4>0</vt:i4>
      </vt:variant>
      <vt:variant>
        <vt:i4>5</vt:i4>
      </vt:variant>
      <vt:variant>
        <vt:lpwstr>http://data.europa.eu/eli/reg_del/2021/577/oj</vt:lpwstr>
      </vt:variant>
      <vt:variant>
        <vt:lpwstr/>
      </vt:variant>
      <vt:variant>
        <vt:i4>5898338</vt:i4>
      </vt:variant>
      <vt:variant>
        <vt:i4>18</vt:i4>
      </vt:variant>
      <vt:variant>
        <vt:i4>0</vt:i4>
      </vt:variant>
      <vt:variant>
        <vt:i4>5</vt:i4>
      </vt:variant>
      <vt:variant>
        <vt:lpwstr>http://data.europa.eu/eli/reg_del/2019/2035/oj</vt:lpwstr>
      </vt:variant>
      <vt:variant>
        <vt:lpwstr/>
      </vt:variant>
      <vt:variant>
        <vt:i4>4784157</vt:i4>
      </vt:variant>
      <vt:variant>
        <vt:i4>15</vt:i4>
      </vt:variant>
      <vt:variant>
        <vt:i4>0</vt:i4>
      </vt:variant>
      <vt:variant>
        <vt:i4>5</vt:i4>
      </vt:variant>
      <vt:variant>
        <vt:lpwstr>http://data.europa.eu/eli/reg/2016/429/oj</vt:lpwstr>
      </vt:variant>
      <vt:variant>
        <vt:lpwstr/>
      </vt:variant>
      <vt:variant>
        <vt:i4>196720</vt:i4>
      </vt:variant>
      <vt:variant>
        <vt:i4>12</vt:i4>
      </vt:variant>
      <vt:variant>
        <vt:i4>0</vt:i4>
      </vt:variant>
      <vt:variant>
        <vt:i4>5</vt:i4>
      </vt:variant>
      <vt:variant>
        <vt:lpwstr>http://data.europa.eu/eli/reg_impl/2015/262/oj</vt:lpwstr>
      </vt:variant>
      <vt:variant>
        <vt:lpwstr/>
      </vt:variant>
      <vt:variant>
        <vt:i4>6946919</vt:i4>
      </vt:variant>
      <vt:variant>
        <vt:i4>9</vt:i4>
      </vt:variant>
      <vt:variant>
        <vt:i4>0</vt:i4>
      </vt:variant>
      <vt:variant>
        <vt:i4>5</vt:i4>
      </vt:variant>
      <vt:variant>
        <vt:lpwstr>http://data.europa.eu/eli/reg/2006/1950/oj</vt:lpwstr>
      </vt:variant>
      <vt:variant>
        <vt:lpwstr/>
      </vt:variant>
      <vt:variant>
        <vt:i4>5177369</vt:i4>
      </vt:variant>
      <vt:variant>
        <vt:i4>6</vt:i4>
      </vt:variant>
      <vt:variant>
        <vt:i4>0</vt:i4>
      </vt:variant>
      <vt:variant>
        <vt:i4>5</vt:i4>
      </vt:variant>
      <vt:variant>
        <vt:lpwstr>http://data.europa.eu/eli/reg/2009/470/oj</vt:lpwstr>
      </vt:variant>
      <vt:variant>
        <vt:lpwstr/>
      </vt:variant>
      <vt:variant>
        <vt:i4>5832789</vt:i4>
      </vt:variant>
      <vt:variant>
        <vt:i4>3</vt:i4>
      </vt:variant>
      <vt:variant>
        <vt:i4>0</vt:i4>
      </vt:variant>
      <vt:variant>
        <vt:i4>5</vt:i4>
      </vt:variant>
      <vt:variant>
        <vt:lpwstr>http://data.europa.eu/eli/dir/1996/22/oj</vt:lpwstr>
      </vt:variant>
      <vt:variant>
        <vt:lpwstr/>
      </vt:variant>
      <vt:variant>
        <vt:i4>126</vt:i4>
      </vt:variant>
      <vt:variant>
        <vt:i4>0</vt:i4>
      </vt:variant>
      <vt:variant>
        <vt:i4>0</vt:i4>
      </vt:variant>
      <vt:variant>
        <vt:i4>5</vt:i4>
      </vt:variant>
      <vt:variant>
        <vt:lpwstr>http://data.europa.eu/eli/reg_impl/2021/963/oj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9</cp:revision>
  <dcterms:created xsi:type="dcterms:W3CDTF">2026-01-23T17:28:00Z</dcterms:created>
  <dcterms:modified xsi:type="dcterms:W3CDTF">2026-01-28T15:22:00Z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8.1, Build 20220902</vt:lpwstr>
  </property>
  <property fmtid="{D5CDD505-2E9C-101B-9397-08002B2CF9AE}" pid="9" name="MSIP_Label_6bd9ddd1-4d20-43f6-abfa-fc3c07406f94_Enabled">
    <vt:lpwstr>true</vt:lpwstr>
  </property>
  <property fmtid="{D5CDD505-2E9C-101B-9397-08002B2CF9AE}" pid="10" name="MSIP_Label_6bd9ddd1-4d20-43f6-abfa-fc3c07406f94_SetDate">
    <vt:lpwstr>2024-08-20T11:03:04Z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d682de00-63cb-42f2-8a3f-4664e8e2f9dd</vt:lpwstr>
  </property>
  <property fmtid="{D5CDD505-2E9C-101B-9397-08002B2CF9AE}" pid="15" name="MSIP_Label_6bd9ddd1-4d20-43f6-abfa-fc3c07406f94_ContentBits">
    <vt:lpwstr>0</vt:lpwstr>
  </property>
</Properties>
</file>