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C2F191" w14:textId="0E3C5A32" w:rsidR="009D6B2D" w:rsidRPr="00B33098" w:rsidRDefault="00891625" w:rsidP="00891625">
      <w:pPr>
        <w:pStyle w:val="Pagedecouverture"/>
        <w:rPr>
          <w:noProof/>
        </w:rPr>
      </w:pPr>
      <w:bookmarkStart w:id="0" w:name="LW_BM_COVERPAGE"/>
      <w:r>
        <w:rPr>
          <w:noProof/>
        </w:rPr>
        <w:pict w14:anchorId="6B8CD5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EEE0743-A52E-4222-BE62-59E7EBBAB575" style="width:455.25pt;height:313.5pt">
            <v:imagedata r:id="rId8" o:title=""/>
          </v:shape>
        </w:pict>
      </w:r>
    </w:p>
    <w:bookmarkEnd w:id="0"/>
    <w:p w14:paraId="31992C5B" w14:textId="77777777" w:rsidR="00755D31" w:rsidRPr="00B33098" w:rsidRDefault="00755D31" w:rsidP="00755D31">
      <w:pPr>
        <w:rPr>
          <w:noProof/>
          <w:lang w:val="en-IE"/>
        </w:rPr>
        <w:sectPr w:rsidR="00755D31" w:rsidRPr="00B33098" w:rsidSect="00891625">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73D7091E" w14:textId="7467C2B7" w:rsidR="009D6B2D" w:rsidRPr="00B33098" w:rsidRDefault="009D6B2D" w:rsidP="44B4B103">
      <w:pPr>
        <w:jc w:val="center"/>
        <w:rPr>
          <w:rFonts w:ascii="Times New Roman" w:hAnsi="Times New Roman" w:cs="Times New Roman"/>
          <w:noProof/>
          <w:sz w:val="24"/>
          <w:szCs w:val="24"/>
        </w:rPr>
      </w:pPr>
      <w:bookmarkStart w:id="1" w:name="_GoBack"/>
      <w:bookmarkEnd w:id="1"/>
      <w:r>
        <w:rPr>
          <w:rFonts w:ascii="Times New Roman" w:hAnsi="Times New Roman"/>
          <w:b/>
          <w:noProof/>
          <w:sz w:val="24"/>
        </w:rPr>
        <w:lastRenderedPageBreak/>
        <w:t>COMUNICARE A COMISIEI CĂTRE PARLAMENT, CONSILIU, BANCA CENTRALĂ EUROPEANĂ, COMITETUL ECONOMIC ȘI SOCIAL EUROPEAN ȘI COMITETUL REGIUNILOR</w:t>
      </w:r>
    </w:p>
    <w:p w14:paraId="6E2318FA" w14:textId="77777777" w:rsidR="009D6B2D" w:rsidRPr="000E3801" w:rsidRDefault="009D6B2D" w:rsidP="44B4B103">
      <w:pPr>
        <w:rPr>
          <w:rFonts w:ascii="Times New Roman" w:hAnsi="Times New Roman" w:cs="Times New Roman"/>
          <w:noProof/>
          <w:sz w:val="24"/>
          <w:szCs w:val="24"/>
          <w:lang w:val="fr-FR"/>
        </w:rPr>
      </w:pPr>
    </w:p>
    <w:p w14:paraId="439AD334" w14:textId="796C4EF2" w:rsidR="009D6B2D" w:rsidRPr="00B33098" w:rsidRDefault="009D6B2D" w:rsidP="44B4B103">
      <w:pPr>
        <w:jc w:val="center"/>
        <w:rPr>
          <w:rFonts w:ascii="Times New Roman" w:hAnsi="Times New Roman" w:cs="Times New Roman"/>
          <w:b/>
          <w:noProof/>
          <w:sz w:val="24"/>
          <w:szCs w:val="24"/>
        </w:rPr>
      </w:pPr>
      <w:r>
        <w:rPr>
          <w:rFonts w:ascii="Times New Roman" w:hAnsi="Times New Roman"/>
          <w:b/>
          <w:noProof/>
          <w:sz w:val="24"/>
        </w:rPr>
        <w:t>Competitivitatea sectorului bancar și piața unică în sectorul bancar</w:t>
      </w:r>
    </w:p>
    <w:p w14:paraId="519933A1" w14:textId="77777777" w:rsidR="009D6B2D" w:rsidRPr="00B33098" w:rsidRDefault="009D6B2D" w:rsidP="44B4B103">
      <w:pPr>
        <w:rPr>
          <w:rFonts w:ascii="Times New Roman" w:hAnsi="Times New Roman" w:cs="Times New Roman"/>
          <w:noProof/>
          <w:sz w:val="24"/>
          <w:szCs w:val="24"/>
          <w:lang w:val="en-IE"/>
        </w:rPr>
      </w:pPr>
    </w:p>
    <w:p w14:paraId="77FC7680" w14:textId="77777777" w:rsidR="009D6B2D" w:rsidRPr="00B33098" w:rsidRDefault="009D6B2D" w:rsidP="44B4B103">
      <w:pPr>
        <w:rPr>
          <w:rFonts w:ascii="Times New Roman" w:hAnsi="Times New Roman" w:cs="Times New Roman"/>
          <w:noProof/>
          <w:sz w:val="24"/>
          <w:szCs w:val="24"/>
          <w:lang w:val="en-IE"/>
        </w:rPr>
      </w:pPr>
    </w:p>
    <w:p w14:paraId="3E69DEEB" w14:textId="337FD846" w:rsidR="00084FD5" w:rsidRPr="00B33098" w:rsidRDefault="00084FD5" w:rsidP="44B4B103">
      <w:pPr>
        <w:rPr>
          <w:rFonts w:ascii="Times New Roman" w:hAnsi="Times New Roman" w:cs="Times New Roman"/>
          <w:noProof/>
          <w:sz w:val="24"/>
          <w:szCs w:val="24"/>
        </w:rPr>
      </w:pPr>
      <w:r>
        <w:rPr>
          <w:noProof/>
        </w:rPr>
        <w:br w:type="page"/>
      </w:r>
    </w:p>
    <w:p w14:paraId="050E7B75" w14:textId="169E9CF7" w:rsidR="009030A6" w:rsidRPr="00B33098" w:rsidRDefault="009C4E71" w:rsidP="00C945CA">
      <w:pPr>
        <w:pStyle w:val="ListParagraph"/>
        <w:numPr>
          <w:ilvl w:val="0"/>
          <w:numId w:val="14"/>
        </w:numPr>
        <w:spacing w:line="276" w:lineRule="auto"/>
        <w:jc w:val="both"/>
        <w:rPr>
          <w:rFonts w:ascii="Times New Roman" w:hAnsi="Times New Roman" w:cs="Times New Roman"/>
          <w:noProof/>
          <w:sz w:val="32"/>
          <w:szCs w:val="32"/>
        </w:rPr>
      </w:pPr>
      <w:r>
        <w:rPr>
          <w:rFonts w:ascii="Times New Roman" w:hAnsi="Times New Roman"/>
          <w:b/>
          <w:noProof/>
          <w:sz w:val="32"/>
        </w:rPr>
        <w:lastRenderedPageBreak/>
        <w:t>Rolul sectorului bancar în economia UE</w:t>
      </w:r>
    </w:p>
    <w:p w14:paraId="5962AC0A" w14:textId="1D62798A" w:rsidR="009C4E71" w:rsidRPr="00B33098" w:rsidRDefault="2109C040" w:rsidP="009030A6">
      <w:pPr>
        <w:spacing w:line="276" w:lineRule="auto"/>
        <w:jc w:val="both"/>
        <w:rPr>
          <w:rFonts w:ascii="Times New Roman" w:hAnsi="Times New Roman" w:cs="Times New Roman"/>
          <w:noProof/>
          <w:sz w:val="24"/>
          <w:szCs w:val="24"/>
        </w:rPr>
      </w:pPr>
      <w:r>
        <w:rPr>
          <w:rFonts w:ascii="Times New Roman" w:hAnsi="Times New Roman"/>
          <w:b/>
          <w:noProof/>
          <w:sz w:val="24"/>
        </w:rPr>
        <w:t>Băncile joacă un rol esențial în economia UE, iar un sector bancar competitiv este esențial pentru finanțarea creșterii economice, a inovării și a priorităților strategice.</w:t>
      </w:r>
      <w:r>
        <w:rPr>
          <w:rFonts w:ascii="Times New Roman" w:hAnsi="Times New Roman"/>
          <w:noProof/>
          <w:sz w:val="24"/>
        </w:rPr>
        <w:t xml:space="preserve"> Competitivitatea băncilor depinde, totodată, de o economie prosperă și robustă. Băncile reprezintă principala sursă de finanțare pentru gospodăriile, întreprinderile mari și întreprinderile mici și mijlocii din UE. Dincolo de rolul lor tradițional în acordarea de împrumuturi, băncile facilitează accesul la piețele de capital, sprijinind întreprinderile să obțină finanțare prin capitaluri proprii și prin îndatorare și permițând titularilor de conturi de economii să investească. Într-un context geopolitic aflat într-o evoluție rapidă, aceste roluri diferite ale sectorului bancar sunt cu atât mai importante pentru menținerea autonomiei strategice a UE. Rolul băncilor este esențial pentru acoperirea nevoilor de finanțare tot mai mari ale întreprinderilor din UE, în special în sectoarele strategice.</w:t>
      </w:r>
    </w:p>
    <w:p w14:paraId="6E6C0574" w14:textId="3690FE2E" w:rsidR="00FC7162" w:rsidRPr="00B33098" w:rsidRDefault="00C94A4C" w:rsidP="00835196">
      <w:pPr>
        <w:spacing w:line="276" w:lineRule="auto"/>
        <w:jc w:val="both"/>
        <w:rPr>
          <w:rFonts w:ascii="Times New Roman" w:hAnsi="Times New Roman" w:cs="Times New Roman"/>
          <w:noProof/>
          <w:sz w:val="24"/>
          <w:szCs w:val="24"/>
        </w:rPr>
      </w:pPr>
      <w:r>
        <w:rPr>
          <w:rFonts w:ascii="Times New Roman" w:hAnsi="Times New Roman"/>
          <w:b/>
          <w:noProof/>
          <w:sz w:val="24"/>
        </w:rPr>
        <w:t>Strategia privind uniunea economiilor și a investițiilor (UEI)</w:t>
      </w:r>
      <w:r w:rsidRPr="00B33098">
        <w:rPr>
          <w:rStyle w:val="FootnoteReference"/>
          <w:rFonts w:ascii="Times New Roman" w:hAnsi="Times New Roman" w:cs="Times New Roman"/>
          <w:b/>
          <w:bCs/>
          <w:noProof/>
          <w:sz w:val="24"/>
          <w:szCs w:val="24"/>
          <w:lang w:val="en-IE"/>
        </w:rPr>
        <w:footnoteReference w:id="2"/>
      </w:r>
      <w:r>
        <w:rPr>
          <w:rFonts w:ascii="Times New Roman" w:hAnsi="Times New Roman"/>
          <w:b/>
          <w:noProof/>
          <w:sz w:val="24"/>
        </w:rPr>
        <w:t xml:space="preserve"> va îmbunătăți modul în care sistemul financiar al UE facilitează direcționarea economiilor către investiții productive.</w:t>
      </w:r>
      <w:r>
        <w:rPr>
          <w:rFonts w:ascii="Times New Roman" w:hAnsi="Times New Roman"/>
          <w:noProof/>
          <w:sz w:val="24"/>
        </w:rPr>
        <w:t xml:space="preserve"> Strategia prevede un sector bancar eficient și integrat, bazat pe un cadru unic de reglementare și pe o uniune bancară finalizată. Strategia și propunerile prezentate în raportul de față sunt aliniate la Busola pentru competitivitate a UE</w:t>
      </w:r>
      <w:r w:rsidRPr="00B33098">
        <w:rPr>
          <w:rStyle w:val="FootnoteReference"/>
          <w:rFonts w:ascii="Times New Roman" w:hAnsi="Times New Roman" w:cs="Times New Roman"/>
          <w:noProof/>
          <w:sz w:val="24"/>
          <w:szCs w:val="24"/>
          <w:lang w:val="en-IE"/>
        </w:rPr>
        <w:footnoteReference w:id="3"/>
      </w:r>
      <w:r>
        <w:rPr>
          <w:rFonts w:ascii="Times New Roman" w:hAnsi="Times New Roman"/>
          <w:noProof/>
          <w:sz w:val="24"/>
        </w:rPr>
        <w:t>, la recomandările din rapoartele Letta</w:t>
      </w:r>
      <w:r w:rsidRPr="00B33098">
        <w:rPr>
          <w:rStyle w:val="FootnoteReference"/>
          <w:rFonts w:ascii="Times New Roman" w:hAnsi="Times New Roman" w:cs="Times New Roman"/>
          <w:noProof/>
          <w:sz w:val="24"/>
          <w:szCs w:val="24"/>
          <w:lang w:val="en-IE"/>
        </w:rPr>
        <w:footnoteReference w:id="4"/>
      </w:r>
      <w:r>
        <w:rPr>
          <w:rFonts w:ascii="Times New Roman" w:hAnsi="Times New Roman"/>
          <w:noProof/>
          <w:sz w:val="24"/>
        </w:rPr>
        <w:t xml:space="preserve"> și Draghi</w:t>
      </w:r>
      <w:r w:rsidRPr="00B33098">
        <w:rPr>
          <w:rStyle w:val="FootnoteReference"/>
          <w:rFonts w:ascii="Times New Roman" w:hAnsi="Times New Roman" w:cs="Times New Roman"/>
          <w:noProof/>
          <w:sz w:val="24"/>
          <w:szCs w:val="24"/>
          <w:lang w:val="en-IE"/>
        </w:rPr>
        <w:footnoteReference w:id="5"/>
      </w:r>
      <w:r>
        <w:rPr>
          <w:rFonts w:ascii="Times New Roman" w:hAnsi="Times New Roman"/>
          <w:noProof/>
          <w:sz w:val="24"/>
        </w:rPr>
        <w:t>, la Strategia privind piața unică</w:t>
      </w:r>
      <w:r w:rsidRPr="00B33098">
        <w:rPr>
          <w:rStyle w:val="FootnoteReference"/>
          <w:rFonts w:ascii="Times New Roman" w:hAnsi="Times New Roman" w:cs="Times New Roman"/>
          <w:noProof/>
          <w:sz w:val="24"/>
          <w:szCs w:val="24"/>
          <w:lang w:val="en-IE"/>
        </w:rPr>
        <w:footnoteReference w:id="6"/>
      </w:r>
      <w:r>
        <w:rPr>
          <w:rFonts w:ascii="Times New Roman" w:hAnsi="Times New Roman"/>
          <w:noProof/>
          <w:sz w:val="24"/>
        </w:rPr>
        <w:t>, la foaia de parcurs „O Europă, o piață”</w:t>
      </w:r>
      <w:r w:rsidRPr="00B33098">
        <w:rPr>
          <w:rStyle w:val="FootnoteReference"/>
          <w:rFonts w:ascii="Times New Roman" w:hAnsi="Times New Roman" w:cs="Times New Roman"/>
          <w:noProof/>
          <w:sz w:val="24"/>
          <w:szCs w:val="24"/>
          <w:lang w:val="en-IE"/>
        </w:rPr>
        <w:footnoteReference w:id="7"/>
      </w:r>
      <w:r>
        <w:rPr>
          <w:rFonts w:ascii="Times New Roman" w:hAnsi="Times New Roman"/>
          <w:noProof/>
          <w:sz w:val="24"/>
        </w:rPr>
        <w:t xml:space="preserve"> și la </w:t>
      </w:r>
      <w:bookmarkStart w:id="3" w:name="_Hlk233902580"/>
      <w:r>
        <w:rPr>
          <w:rFonts w:ascii="Times New Roman" w:hAnsi="Times New Roman"/>
          <w:noProof/>
          <w:sz w:val="24"/>
        </w:rPr>
        <w:t>Planul de acțiune pentru revizuirea în profunzime a reglementărilor</w:t>
      </w:r>
      <w:r w:rsidR="00CB008D" w:rsidRPr="00B33098">
        <w:rPr>
          <w:rStyle w:val="FootnoteReference"/>
          <w:rFonts w:ascii="Times New Roman" w:hAnsi="Times New Roman" w:cs="Times New Roman"/>
          <w:noProof/>
        </w:rPr>
        <w:footnoteReference w:id="8"/>
      </w:r>
      <w:bookmarkEnd w:id="3"/>
      <w:r>
        <w:rPr>
          <w:rFonts w:ascii="Times New Roman" w:hAnsi="Times New Roman"/>
          <w:noProof/>
          <w:sz w:val="24"/>
        </w:rPr>
        <w:t>. Pentru a sprijini economia UE în sens larg, un sector bancar competitiv trebuie să aibă posibilitatea de a funcționa cu cât mai puține obstacole posibil la nivel transfrontalier, de a oferi deponenților și investitorilor o gamă mai largă de produse și de a ajunge la o dimensiune optimă, în conformitate cu cerințele prudențiale și cu normele în materie de concurență. În același timp, un sector bancar competitiv trebuie să fie suficient de flexibil, să aibă modele de afaceri diversificate, să poată stimula inovarea și să permită intrarea unor noi actori pe piață.</w:t>
      </w:r>
      <w:r w:rsidR="000E3801">
        <w:rPr>
          <w:rFonts w:ascii="Times New Roman" w:hAnsi="Times New Roman"/>
          <w:noProof/>
          <w:sz w:val="24"/>
        </w:rPr>
        <w:t xml:space="preserve"> </w:t>
      </w:r>
    </w:p>
    <w:p w14:paraId="01BEA64F" w14:textId="68BBAA5D" w:rsidR="00FC7162" w:rsidRPr="00B33098" w:rsidRDefault="009B3E9F" w:rsidP="00A57759">
      <w:pPr>
        <w:spacing w:after="120" w:line="276" w:lineRule="auto"/>
        <w:jc w:val="both"/>
        <w:rPr>
          <w:rFonts w:ascii="Times New Roman" w:hAnsi="Times New Roman" w:cs="Times New Roman"/>
          <w:noProof/>
          <w:sz w:val="24"/>
          <w:szCs w:val="24"/>
        </w:rPr>
      </w:pPr>
      <w:r>
        <w:rPr>
          <w:rFonts w:ascii="Times New Roman" w:hAnsi="Times New Roman"/>
          <w:b/>
          <w:noProof/>
          <w:sz w:val="24"/>
        </w:rPr>
        <w:t>Sectorul bancar și piețele de capital din UE sunt interdependente și ar trebui să se dezvolte în paralel.</w:t>
      </w:r>
      <w:r>
        <w:rPr>
          <w:rFonts w:ascii="Times New Roman" w:hAnsi="Times New Roman"/>
          <w:noProof/>
          <w:sz w:val="24"/>
        </w:rPr>
        <w:t xml:space="preserve"> Băncile pot contribui la promovarea dezvoltării piețelor de capital din UE, în special la nivel transfrontalier, beneficiind în același timp de fluxuri semnificative de venituri aferente serviciilor conexe de investiții și corporative. Băncile pot facilita accesul investitorilor pe piață, de exemplu prin dezvoltarea unor produse adaptate sau prin activități de subscriere. La rândul său, o piață de capital mai eficientă și mai integrată poate ajuta băncile să devină mai competitive pe plan intern și internațional. În UE, această complementaritate între sectorul bancar și piețele de capital nu numai că ar contribui la finanțarea economiei, inclusiv a priorităților sale strategice, ci ar reduce și dependența de băncile internaționale străine pentru serviciile financiare critice. </w:t>
      </w:r>
    </w:p>
    <w:p w14:paraId="14AAE46A" w14:textId="0EAF66D9" w:rsidR="0019045B" w:rsidRPr="00B33098" w:rsidRDefault="00D9603D" w:rsidP="0078595C">
      <w:pPr>
        <w:spacing w:after="120" w:line="276" w:lineRule="auto"/>
        <w:jc w:val="both"/>
        <w:rPr>
          <w:rFonts w:ascii="Times New Roman" w:hAnsi="Times New Roman" w:cs="Times New Roman"/>
          <w:noProof/>
          <w:sz w:val="24"/>
          <w:szCs w:val="24"/>
        </w:rPr>
      </w:pPr>
      <w:r>
        <w:rPr>
          <w:rFonts w:ascii="Times New Roman" w:hAnsi="Times New Roman"/>
          <w:b/>
          <w:noProof/>
          <w:sz w:val="24"/>
        </w:rPr>
        <w:t>Un sector bancar slab performant sau fragil nu își poate îndeplini rolul economic în mod eficace și nu poate sprijini nevoile tot mai mari de investiții cu care se confruntă întreprinderile din UE</w:t>
      </w:r>
      <w:r>
        <w:rPr>
          <w:rFonts w:ascii="Times New Roman" w:hAnsi="Times New Roman"/>
          <w:noProof/>
          <w:sz w:val="24"/>
        </w:rPr>
        <w:t xml:space="preserve">. În consecință, sectorul bancar din UE trebuie să fie suficient de robust și rezilient în fața șocurilor potențiale, având fundamente solide (de exemplu, profitabilitate, evaluări de piață, rentabilitatea capitalurilor proprii, structuri de costuri eficiente, guvernanță solidă), precum și niveluri de capital și de lichiditate calibrate în mod corespunzător. Într-adevăr, o asemenea reziliență poate fi considerată un aspect esențial al competitivității în sectorul bancar. </w:t>
      </w:r>
    </w:p>
    <w:p w14:paraId="4F2A9BDB" w14:textId="100560A4" w:rsidR="002645AE" w:rsidRPr="00B33098" w:rsidRDefault="009C4E71" w:rsidP="00EF0FED">
      <w:pPr>
        <w:spacing w:line="276" w:lineRule="auto"/>
        <w:jc w:val="both"/>
        <w:rPr>
          <w:rFonts w:ascii="Times New Roman" w:hAnsi="Times New Roman" w:cs="Times New Roman"/>
          <w:noProof/>
          <w:sz w:val="24"/>
          <w:szCs w:val="24"/>
        </w:rPr>
      </w:pPr>
      <w:r>
        <w:rPr>
          <w:rFonts w:ascii="Times New Roman" w:hAnsi="Times New Roman"/>
          <w:b/>
          <w:noProof/>
          <w:sz w:val="24"/>
        </w:rPr>
        <w:t>Prezenta comunicare și documentul de lucru însoțitor al serviciilor Comisiei concretizează angajamentul Comisiei de a evalua situația actuală a competitivității în sectorul bancar din UE</w:t>
      </w:r>
      <w:r>
        <w:rPr>
          <w:rFonts w:ascii="Times New Roman" w:hAnsi="Times New Roman"/>
          <w:noProof/>
          <w:sz w:val="24"/>
        </w:rPr>
        <w:t xml:space="preserve">. Următoarele secțiuni evidențiază progresele substanțiale înregistrate în ultimii 15 ani în consolidarea rezilienței și a performanței generale a sectorului, prezintă principalele probleme care rămân de soluționat și propun o cale de urmat pozitivă, orientată spre viitor. Aceasta se bazează pe consultări ample cu toate părțile interesate, pentru a se asigura că analiza, evaluarea și concluziile sunt întemeiate pe date concrete, astfel cum se arată în documentul de lucru însoțitor al serviciilor Comisiei. </w:t>
      </w:r>
    </w:p>
    <w:p w14:paraId="2B16C573" w14:textId="614EAA36" w:rsidR="00EF0FED" w:rsidRPr="00B33098" w:rsidRDefault="002645AE" w:rsidP="00EF0FED">
      <w:pPr>
        <w:spacing w:line="276" w:lineRule="auto"/>
        <w:jc w:val="both"/>
        <w:rPr>
          <w:rFonts w:ascii="Times New Roman" w:hAnsi="Times New Roman" w:cs="Times New Roman"/>
          <w:noProof/>
          <w:sz w:val="24"/>
          <w:szCs w:val="24"/>
        </w:rPr>
      </w:pPr>
      <w:r>
        <w:rPr>
          <w:rFonts w:ascii="Times New Roman" w:hAnsi="Times New Roman"/>
          <w:b/>
          <w:noProof/>
          <w:sz w:val="24"/>
        </w:rPr>
        <w:t>Atunci când se analizează competitivitatea sectorului bancar din UE, trebuie recunoscute de la bun început compromisurile inerente dintre diferitele obiective</w:t>
      </w:r>
      <w:r>
        <w:rPr>
          <w:rFonts w:ascii="Times New Roman" w:hAnsi="Times New Roman"/>
          <w:noProof/>
          <w:sz w:val="24"/>
        </w:rPr>
        <w:t xml:space="preserve">, inclusiv următoarele: </w:t>
      </w:r>
    </w:p>
    <w:p w14:paraId="23A19FA6" w14:textId="117521B3" w:rsidR="00EF0FED" w:rsidRPr="00B33098" w:rsidRDefault="00EF0FED" w:rsidP="00835196">
      <w:pPr>
        <w:pStyle w:val="ListParagraph"/>
        <w:numPr>
          <w:ilvl w:val="0"/>
          <w:numId w:val="62"/>
        </w:numPr>
        <w:spacing w:line="276" w:lineRule="auto"/>
        <w:jc w:val="both"/>
        <w:rPr>
          <w:rFonts w:ascii="Times New Roman" w:hAnsi="Times New Roman" w:cs="Times New Roman"/>
          <w:noProof/>
          <w:sz w:val="24"/>
          <w:szCs w:val="24"/>
        </w:rPr>
      </w:pPr>
      <w:r>
        <w:rPr>
          <w:rFonts w:ascii="Times New Roman" w:hAnsi="Times New Roman"/>
          <w:i/>
          <w:noProof/>
          <w:sz w:val="24"/>
        </w:rPr>
        <w:t>Promovarea inovării și a creșterii durabile trebuie realizată menținând în același timp reziliența</w:t>
      </w:r>
      <w:r>
        <w:rPr>
          <w:rFonts w:ascii="Times New Roman" w:hAnsi="Times New Roman"/>
          <w:noProof/>
          <w:sz w:val="24"/>
        </w:rPr>
        <w:t xml:space="preserve">. </w:t>
      </w:r>
      <w:bookmarkStart w:id="6" w:name="_Hlk234777876"/>
      <w:r>
        <w:rPr>
          <w:rFonts w:ascii="Times New Roman" w:hAnsi="Times New Roman"/>
          <w:noProof/>
          <w:sz w:val="24"/>
        </w:rPr>
        <w:t xml:space="preserve">Promovarea inovării și a creșterii în economia UE va necesita o schimbare de paradigmă responsabilă și o anumită reechilibrare a cadrului de reglementare aplicabil băncilor, ceea ce implică trecerea de la abordarea actuală, adesea foarte reticentă la riscuri, la o abordare deschisă asumării unor riscuri responsabile și bine evaluate. Comisia are un rol esențial în această privință, întrucât trebuie să analizeze nivelul adecvat de risc pe care îl poate suporta sistemul în ansamblu. Totuși, reziliența sectorului bancar trebuie menținută, aceasta fiind o condiție prealabilă pentru o creștere durabilă. </w:t>
      </w:r>
    </w:p>
    <w:bookmarkEnd w:id="6"/>
    <w:p w14:paraId="56483453" w14:textId="77777777" w:rsidR="00EF0FED" w:rsidRPr="000E3801" w:rsidRDefault="00EF0FED" w:rsidP="00C83CF1">
      <w:pPr>
        <w:pStyle w:val="ListParagraph"/>
        <w:spacing w:line="276" w:lineRule="auto"/>
        <w:jc w:val="both"/>
        <w:rPr>
          <w:rFonts w:ascii="Times New Roman" w:hAnsi="Times New Roman" w:cs="Times New Roman"/>
          <w:noProof/>
          <w:sz w:val="24"/>
          <w:szCs w:val="24"/>
        </w:rPr>
      </w:pPr>
    </w:p>
    <w:p w14:paraId="0A76791A" w14:textId="250B5D46" w:rsidR="00EF0FED" w:rsidRPr="00B33098" w:rsidRDefault="00A94FC0" w:rsidP="00835196">
      <w:pPr>
        <w:pStyle w:val="ListParagraph"/>
        <w:numPr>
          <w:ilvl w:val="0"/>
          <w:numId w:val="62"/>
        </w:numPr>
        <w:spacing w:line="276" w:lineRule="auto"/>
        <w:jc w:val="both"/>
        <w:rPr>
          <w:rFonts w:ascii="Times New Roman" w:hAnsi="Times New Roman" w:cs="Times New Roman"/>
          <w:noProof/>
          <w:sz w:val="24"/>
          <w:szCs w:val="24"/>
        </w:rPr>
      </w:pPr>
      <w:bookmarkStart w:id="7" w:name="_Hlk234778499"/>
      <w:r>
        <w:rPr>
          <w:rFonts w:ascii="Times New Roman" w:hAnsi="Times New Roman"/>
          <w:i/>
          <w:noProof/>
          <w:sz w:val="24"/>
        </w:rPr>
        <w:t>Armonizarea normelor la nivelul UE implică reducerea marjei de apreciere la nivel național</w:t>
      </w:r>
      <w:r>
        <w:rPr>
          <w:rFonts w:ascii="Times New Roman" w:hAnsi="Times New Roman"/>
          <w:noProof/>
          <w:sz w:val="24"/>
        </w:rPr>
        <w:t>. Pentru dezvoltarea unui sector bancar integrat în UE, va fi nevoie de un cadru de reglementare cu adevărat unic, însă acest lucru nu va fi posibil atât timp cât persistă suprareglementarea, punerea în aplicare divergentă, duplicarea cerințelor de raportare sau extinderea excesivă a competențelor naționale în ceea ce privește fuziunile.</w:t>
      </w:r>
    </w:p>
    <w:bookmarkEnd w:id="7"/>
    <w:p w14:paraId="41853A89" w14:textId="77777777" w:rsidR="00EF0FED" w:rsidRPr="000E3801" w:rsidRDefault="00EF0FED" w:rsidP="00C83CF1">
      <w:pPr>
        <w:pStyle w:val="ListParagraph"/>
        <w:rPr>
          <w:rFonts w:ascii="Times New Roman" w:hAnsi="Times New Roman" w:cs="Times New Roman"/>
          <w:noProof/>
          <w:sz w:val="24"/>
          <w:szCs w:val="24"/>
        </w:rPr>
      </w:pPr>
    </w:p>
    <w:p w14:paraId="57256A55" w14:textId="3C695FFA" w:rsidR="005E71DF" w:rsidRPr="00B33098" w:rsidRDefault="00D95AA8" w:rsidP="00835196">
      <w:pPr>
        <w:pStyle w:val="ListParagraph"/>
        <w:numPr>
          <w:ilvl w:val="0"/>
          <w:numId w:val="62"/>
        </w:numPr>
        <w:spacing w:line="276" w:lineRule="auto"/>
        <w:jc w:val="both"/>
        <w:rPr>
          <w:rFonts w:ascii="Times New Roman" w:hAnsi="Times New Roman" w:cs="Times New Roman"/>
          <w:noProof/>
          <w:sz w:val="24"/>
          <w:szCs w:val="24"/>
        </w:rPr>
      </w:pPr>
      <w:r>
        <w:rPr>
          <w:rFonts w:ascii="Times New Roman" w:hAnsi="Times New Roman"/>
          <w:i/>
          <w:noProof/>
          <w:sz w:val="24"/>
        </w:rPr>
        <w:t>Integrarea sectorului bancar din UE trebuie să fie însoțită de garanții adecvate care să răspundă preocupărilor legitime</w:t>
      </w:r>
      <w:r>
        <w:rPr>
          <w:rFonts w:ascii="Times New Roman" w:hAnsi="Times New Roman"/>
          <w:noProof/>
          <w:sz w:val="24"/>
        </w:rPr>
        <w:t xml:space="preserve">. Integrarea sectorului bancar necesită o schimbare a relației actuale dintre statul membru de origine și statul membru gazdă și va fi acceptabilă doar cu condiția protejării în mod egal a stabilității financiare în toate statele membre. </w:t>
      </w:r>
    </w:p>
    <w:p w14:paraId="06273703" w14:textId="77777777" w:rsidR="00452378" w:rsidRPr="000E3801" w:rsidRDefault="00452378" w:rsidP="00835196">
      <w:pPr>
        <w:pStyle w:val="ListParagraph"/>
        <w:spacing w:line="276" w:lineRule="auto"/>
        <w:jc w:val="both"/>
        <w:rPr>
          <w:rFonts w:ascii="Times New Roman" w:hAnsi="Times New Roman" w:cs="Times New Roman"/>
          <w:noProof/>
          <w:sz w:val="24"/>
          <w:szCs w:val="24"/>
        </w:rPr>
      </w:pPr>
    </w:p>
    <w:p w14:paraId="436EA843" w14:textId="7974AFDA" w:rsidR="00531860" w:rsidRPr="00B33098" w:rsidRDefault="00452378" w:rsidP="0000231F">
      <w:pPr>
        <w:pStyle w:val="ListParagraph"/>
        <w:numPr>
          <w:ilvl w:val="0"/>
          <w:numId w:val="62"/>
        </w:numPr>
        <w:spacing w:line="276" w:lineRule="auto"/>
        <w:jc w:val="both"/>
        <w:rPr>
          <w:rFonts w:ascii="Times New Roman" w:hAnsi="Times New Roman" w:cs="Times New Roman"/>
          <w:noProof/>
          <w:sz w:val="24"/>
          <w:szCs w:val="24"/>
        </w:rPr>
      </w:pPr>
      <w:r>
        <w:rPr>
          <w:rFonts w:ascii="Times New Roman" w:hAnsi="Times New Roman"/>
          <w:i/>
          <w:noProof/>
          <w:sz w:val="24"/>
        </w:rPr>
        <w:t xml:space="preserve">Măsurile luate pentru stimularea competitivității vor avea, după toate probabilitățile, un impact asupra nivelului cerințelor de capital aplicabile băncilor. </w:t>
      </w:r>
      <w:r>
        <w:rPr>
          <w:rFonts w:ascii="Times New Roman" w:hAnsi="Times New Roman"/>
          <w:noProof/>
          <w:sz w:val="24"/>
        </w:rPr>
        <w:t xml:space="preserve">Îmbunătățirea integrării pieței, eliminarea suprapunerilor, simplificarea cadrului de reglementare, armonizarea metodologiilor pentru anumite cerințe sau introducerea unui grad mai mare de proporționalitate vor avea un impact asupra cerințelor aplicabile unor bănci în anumite domenii de politică și vor necesita o calibrare atentă în funcție de impactul lor global. </w:t>
      </w:r>
    </w:p>
    <w:p w14:paraId="013F7A5D" w14:textId="46D398EF" w:rsidR="005E71DF" w:rsidRPr="00B33098" w:rsidRDefault="005E71DF" w:rsidP="00F67804">
      <w:pPr>
        <w:spacing w:line="276" w:lineRule="auto"/>
        <w:ind w:left="360"/>
        <w:jc w:val="both"/>
        <w:rPr>
          <w:rFonts w:ascii="Times New Roman" w:hAnsi="Times New Roman" w:cs="Times New Roman"/>
          <w:noProof/>
          <w:sz w:val="24"/>
          <w:szCs w:val="24"/>
        </w:rPr>
      </w:pPr>
      <w:r>
        <w:rPr>
          <w:rFonts w:ascii="Times New Roman" w:hAnsi="Times New Roman"/>
          <w:noProof/>
          <w:sz w:val="24"/>
        </w:rPr>
        <w:t xml:space="preserve">Pentru gestionarea acestor compromisuri de natură diferită, va fi necesară combinarea expertizei tehnice cu discernământul politic, astfel încât echilibrul dintre asumarea riscurilor și reziliență în cadrul sectorului bancar să fie ajustat cu atenție. Acest lucru se va realiza prin măsurile prezentate în prezenta comunicare și, în mod continuu, printr-o monitorizare mai fermă de către Comisie a competitivității sectorului bancar. </w:t>
      </w:r>
    </w:p>
    <w:p w14:paraId="6C02952A" w14:textId="77777777" w:rsidR="009C4E71" w:rsidRPr="000E3801" w:rsidRDefault="009C4E71" w:rsidP="0078595C">
      <w:pPr>
        <w:spacing w:after="120" w:line="276" w:lineRule="auto"/>
        <w:jc w:val="both"/>
        <w:rPr>
          <w:rFonts w:ascii="Times New Roman" w:hAnsi="Times New Roman" w:cs="Times New Roman"/>
          <w:b/>
          <w:bCs/>
          <w:noProof/>
          <w:sz w:val="32"/>
          <w:szCs w:val="32"/>
          <w:lang w:val="fr-FR"/>
        </w:rPr>
      </w:pPr>
    </w:p>
    <w:p w14:paraId="0C3CC218" w14:textId="0C8B3197" w:rsidR="00041523" w:rsidRPr="00B33098" w:rsidRDefault="00416C6B" w:rsidP="00A57759">
      <w:pPr>
        <w:pStyle w:val="ListParagraph"/>
        <w:numPr>
          <w:ilvl w:val="0"/>
          <w:numId w:val="14"/>
        </w:numPr>
        <w:spacing w:line="276" w:lineRule="auto"/>
        <w:jc w:val="both"/>
        <w:rPr>
          <w:rFonts w:ascii="Times New Roman" w:hAnsi="Times New Roman" w:cs="Times New Roman"/>
          <w:b/>
          <w:bCs/>
          <w:noProof/>
          <w:sz w:val="32"/>
          <w:szCs w:val="32"/>
        </w:rPr>
      </w:pPr>
      <w:r>
        <w:rPr>
          <w:rFonts w:ascii="Times New Roman" w:hAnsi="Times New Roman"/>
          <w:b/>
          <w:noProof/>
          <w:sz w:val="32"/>
        </w:rPr>
        <w:t xml:space="preserve">Progresele înregistrate și provocările persistente pe piața unică bancară a UE </w:t>
      </w:r>
    </w:p>
    <w:p w14:paraId="5018C8EA" w14:textId="1088B5E4" w:rsidR="001B3BED" w:rsidRPr="00B33098" w:rsidRDefault="001B3BED" w:rsidP="00271EF4">
      <w:pPr>
        <w:spacing w:after="120" w:line="276" w:lineRule="auto"/>
        <w:jc w:val="both"/>
        <w:rPr>
          <w:rFonts w:ascii="Times New Roman" w:hAnsi="Times New Roman" w:cs="Times New Roman"/>
          <w:noProof/>
          <w:sz w:val="24"/>
          <w:szCs w:val="24"/>
        </w:rPr>
      </w:pPr>
      <w:r>
        <w:rPr>
          <w:rFonts w:ascii="Times New Roman" w:hAnsi="Times New Roman"/>
          <w:b/>
          <w:noProof/>
          <w:sz w:val="24"/>
        </w:rPr>
        <w:t xml:space="preserve">Ca răspuns la criza financiară mondială (CFM), UE a elaborat un cadru unic de reglementare pentru bănci și și-a reformat cadrul de supraveghere, de rezoluție și macroprudențial. </w:t>
      </w:r>
      <w:r>
        <w:rPr>
          <w:rFonts w:ascii="Times New Roman" w:hAnsi="Times New Roman"/>
          <w:noProof/>
          <w:sz w:val="24"/>
        </w:rPr>
        <w:t>În ultimii 15 ani, aceste reforme au contribuit la îmbunătățirea rezilienței băncilor și au facilitat gestionarea eficace a crizelor atunci când acest lucru a fost necesar. În cadrul uniunii bancare, mecanismul unic de supraveghere (MUS) este responsabil de autorizarea tuturor băncilor și supraveghează în mod direct 111 bănci, care reprezintă peste 85 % din totalul activelor bancare. Pentru aceste bănci, mecanismul unic de rezoluție (MUR) este responsabil de pregătirea pentru situații de criză și de gestionarea acestora și este susținut de un fond unic de rezoluție (FUR) de peste 81 de miliarde EUR. Schemele naționale de garantare a depozitelor sunt bine finanțate și au fost consolidate astfel încât să permită rambursări rapide, sporind astfel încrederea deponenților. Autoritatea Bancară Europeană (ABE) a jucat un rol central în elaborarea cadrului unic de reglementare și în consolidarea convergenței în materie de supraveghere în întreaga UE, iar Comitetul european pentru risc sistemic (CERS) a jucat rolul de sistem de alertă timpurie și a sprijinit punerea în aplicare a măsurilor macroprudențiale naționale.</w:t>
      </w:r>
    </w:p>
    <w:p w14:paraId="59BD3F40" w14:textId="52FA16D7" w:rsidR="008B1950" w:rsidRPr="00B33098" w:rsidRDefault="00D05C8D" w:rsidP="00271EF4">
      <w:pPr>
        <w:spacing w:after="120" w:line="276" w:lineRule="auto"/>
        <w:jc w:val="both"/>
        <w:rPr>
          <w:rFonts w:ascii="Times New Roman" w:eastAsia="Times New Roman" w:hAnsi="Times New Roman" w:cs="Times New Roman"/>
          <w:noProof/>
          <w:sz w:val="24"/>
          <w:szCs w:val="24"/>
        </w:rPr>
      </w:pPr>
      <w:r>
        <w:rPr>
          <w:rFonts w:ascii="Times New Roman" w:hAnsi="Times New Roman"/>
          <w:b/>
          <w:noProof/>
          <w:sz w:val="24"/>
        </w:rPr>
        <w:t>Reformele de reglementare și instituționale au fost însoțite de o transformare profundă a sectorului bancar din UE</w:t>
      </w:r>
      <w:r>
        <w:rPr>
          <w:rFonts w:ascii="Times New Roman" w:hAnsi="Times New Roman"/>
          <w:noProof/>
          <w:sz w:val="24"/>
        </w:rPr>
        <w:t>. Spre deosebire de perioada premergătoare CFM, băncile din UE sunt reziliente și dispun de poziții solide de capital și de lichiditate. Această reziliență a fost confirmată în mod constant de exercițiile de simulare de criză desfășurate la nivelul UE de ABE și de Banca Centrală Europeană (BCE), inclusiv de cel mai recent exercițiu desfășurat în 2025</w:t>
      </w:r>
      <w:r w:rsidR="00AC611B" w:rsidRPr="00B33098">
        <w:rPr>
          <w:rStyle w:val="FootnoteReference"/>
          <w:rFonts w:ascii="Times New Roman" w:eastAsia="Times New Roman" w:hAnsi="Times New Roman" w:cs="Times New Roman"/>
          <w:noProof/>
          <w:sz w:val="24"/>
          <w:szCs w:val="24"/>
          <w:lang w:val="en-IE"/>
        </w:rPr>
        <w:footnoteReference w:id="9"/>
      </w:r>
      <w:r>
        <w:rPr>
          <w:rFonts w:ascii="Times New Roman" w:hAnsi="Times New Roman"/>
          <w:noProof/>
          <w:sz w:val="24"/>
        </w:rPr>
        <w:t>. Un aspect și mai important este că reziliența sectorului bancar din UE și-a dovedit eficacitatea în condiții reale în timpul pandemiei de COVID-19, al șocului energetic care a urmat invadării pe scară largă a Ucrainei de către Rusia și al turbulențelor bancare din Statele Unite și Elveția din primăvara anului 2023. Băncile au acționat mai degrabă ca amortizoare ale șocurilor decât ca amplificatoare ale tensiunilor economice. Începând din 2023, băncile din UE au revenit și la o profitabilitate susținută, atingând nivelurile de rentabilitate a capitalurilor proprii dinainte de criză, ceea ce arată că reziliența și profitabilitatea pot merge mână în mână.</w:t>
      </w:r>
    </w:p>
    <w:p w14:paraId="29035218" w14:textId="091C7C04" w:rsidR="00212AA8" w:rsidRPr="00B33098" w:rsidRDefault="00D05C8D" w:rsidP="001C15D2">
      <w:pPr>
        <w:spacing w:after="120" w:line="276" w:lineRule="auto"/>
        <w:jc w:val="both"/>
        <w:rPr>
          <w:rFonts w:ascii="Times New Roman" w:hAnsi="Times New Roman" w:cs="Times New Roman"/>
          <w:noProof/>
          <w:sz w:val="24"/>
          <w:szCs w:val="24"/>
        </w:rPr>
      </w:pPr>
      <w:r>
        <w:rPr>
          <w:rFonts w:ascii="Times New Roman" w:hAnsi="Times New Roman"/>
          <w:b/>
          <w:noProof/>
          <w:sz w:val="24"/>
        </w:rPr>
        <w:t>Sectorul bancar din UE este rezilient și profitabil, dar rămâne extrem de fragmentat de-a lungul frontierelor naționale și se confruntă cu o serie de provocări legate de cadrul de reglementare și de punerea sa în aplicare</w:t>
      </w:r>
      <w:r>
        <w:rPr>
          <w:rFonts w:ascii="Times New Roman" w:hAnsi="Times New Roman"/>
          <w:noProof/>
          <w:sz w:val="24"/>
        </w:rPr>
        <w:t>. Trebuie găsite soluții la aceste provocări pentru a permite o implicare mai amplă a băncilor în acoperirea nevoilor semnificative de investiții, estimate în raportul Draghi la 1 200 de miliarde EUR pe an, necesare pentru menținerea competitivității, realizarea de progrese în cadrul dublei tranziții, consolidarea securității și a rezilienței și păstrarea suveranității tehnologice, în special în sectoare strategice precum tehnologiile profunde, tehnologiile curate, apărarea, inteligența artificială și biotehnologia.</w:t>
      </w:r>
    </w:p>
    <w:p w14:paraId="26974923" w14:textId="7E3B2D70" w:rsidR="002F346A" w:rsidRPr="00B33098" w:rsidRDefault="006F2A68" w:rsidP="001C15D2">
      <w:pPr>
        <w:spacing w:after="120" w:line="276" w:lineRule="auto"/>
        <w:jc w:val="both"/>
        <w:rPr>
          <w:rFonts w:ascii="Times New Roman" w:hAnsi="Times New Roman" w:cs="Times New Roman"/>
          <w:noProof/>
          <w:sz w:val="24"/>
          <w:szCs w:val="24"/>
        </w:rPr>
      </w:pPr>
      <w:r>
        <w:rPr>
          <w:rFonts w:ascii="Times New Roman" w:hAnsi="Times New Roman"/>
          <w:noProof/>
          <w:sz w:val="24"/>
        </w:rPr>
        <w:t xml:space="preserve">Comisia a identificat </w:t>
      </w:r>
      <w:r>
        <w:rPr>
          <w:rFonts w:ascii="Times New Roman" w:hAnsi="Times New Roman"/>
          <w:b/>
          <w:noProof/>
          <w:sz w:val="24"/>
        </w:rPr>
        <w:t>trei provocări principale care limitează potențialul sectorului bancar de a sprijini în mod eficace economia UE</w:t>
      </w:r>
      <w:r>
        <w:rPr>
          <w:rFonts w:ascii="Times New Roman" w:hAnsi="Times New Roman"/>
          <w:noProof/>
          <w:sz w:val="24"/>
        </w:rPr>
        <w:t xml:space="preserve">. În primul rând, sectorul este prea fragmentat, împiedicând extinderea, creșterea eficienței, utilizarea productivă a resurselor și diversificarea geografică dincolo de frontierele naționale. În al doilea rând, transpunerea standardelor internaționale în cadrul de reglementare al UE ar putea lua mai bine în considerare particularitățile UE și ar putea fi mai proporțională. În al treilea rând, anumite aspecte ale cadrului de reglementare al UE sunt nejustificat de complexe și împovărătoare și ar trebui simplificate. Abordarea tuturor acestor trei provocări este esențială pentru a construi un sector bancar care nu este doar rezilient, ci și sprijină mai bine economia UE prin finanțarea creșterii durabile, a inovării, a securității și a prosperității pe termen lung. </w:t>
      </w:r>
    </w:p>
    <w:p w14:paraId="4A578B30" w14:textId="77777777" w:rsidR="009B740A" w:rsidRPr="000E3801" w:rsidRDefault="009B740A" w:rsidP="00984707">
      <w:pPr>
        <w:spacing w:line="276" w:lineRule="auto"/>
        <w:jc w:val="both"/>
        <w:rPr>
          <w:rFonts w:ascii="Times New Roman" w:hAnsi="Times New Roman" w:cs="Times New Roman"/>
          <w:bCs/>
          <w:i/>
          <w:noProof/>
          <w:sz w:val="28"/>
          <w:szCs w:val="28"/>
        </w:rPr>
      </w:pPr>
    </w:p>
    <w:p w14:paraId="21DE77AC" w14:textId="389E463E" w:rsidR="000D4FBF" w:rsidRPr="00B33098" w:rsidRDefault="00641F6B" w:rsidP="00835196">
      <w:pPr>
        <w:spacing w:line="276" w:lineRule="auto"/>
        <w:jc w:val="both"/>
        <w:rPr>
          <w:rFonts w:ascii="Times New Roman" w:hAnsi="Times New Roman" w:cs="Times New Roman"/>
          <w:b/>
          <w:bCs/>
          <w:noProof/>
          <w:sz w:val="28"/>
          <w:szCs w:val="28"/>
        </w:rPr>
      </w:pPr>
      <w:r>
        <w:rPr>
          <w:rFonts w:ascii="Times New Roman" w:hAnsi="Times New Roman"/>
          <w:b/>
          <w:i/>
          <w:noProof/>
          <w:sz w:val="28"/>
        </w:rPr>
        <w:t>2.1</w:t>
      </w:r>
      <w:r>
        <w:rPr>
          <w:rFonts w:ascii="Times New Roman" w:hAnsi="Times New Roman"/>
          <w:b/>
          <w:i/>
          <w:noProof/>
          <w:sz w:val="28"/>
        </w:rPr>
        <w:tab/>
        <w:t>Fragmentarea de-a lungul frontierelor naționale</w:t>
      </w:r>
    </w:p>
    <w:p w14:paraId="0367DE06" w14:textId="5F4B1DA8" w:rsidR="00641F6B" w:rsidRPr="00B33098" w:rsidRDefault="00FD09FC" w:rsidP="57DCB12C">
      <w:pPr>
        <w:spacing w:line="276" w:lineRule="auto"/>
        <w:jc w:val="both"/>
        <w:rPr>
          <w:rFonts w:ascii="Times New Roman" w:hAnsi="Times New Roman" w:cs="Times New Roman"/>
          <w:noProof/>
          <w:sz w:val="24"/>
          <w:szCs w:val="24"/>
        </w:rPr>
      </w:pPr>
      <w:r>
        <w:rPr>
          <w:rFonts w:ascii="Times New Roman" w:hAnsi="Times New Roman"/>
          <w:b/>
          <w:noProof/>
          <w:sz w:val="24"/>
        </w:rPr>
        <w:t xml:space="preserve">Integrarea transfrontalieră a sectorului bancar din UE s-a îmbunătățit în ultimii ani, dar rămâne la niveluri nesatisfăcătoare. </w:t>
      </w:r>
      <w:r>
        <w:rPr>
          <w:rFonts w:ascii="Times New Roman" w:hAnsi="Times New Roman"/>
          <w:noProof/>
          <w:sz w:val="24"/>
        </w:rPr>
        <w:t>Integrarea este limitată în cea mai mare parte la piața interbancară, celelalte activități transfrontaliere rămânând foarte restrânse. De exemplu, creditarea transfrontalieră a întreprinderilor în zona euro reprezintă doar aproximativ 16 % din totalul creditării întreprinderilor</w:t>
      </w:r>
      <w:r w:rsidR="00F63D16" w:rsidRPr="00B33098">
        <w:rPr>
          <w:rStyle w:val="FootnoteReference"/>
          <w:rFonts w:ascii="Times New Roman" w:hAnsi="Times New Roman" w:cs="Times New Roman"/>
          <w:noProof/>
          <w:sz w:val="24"/>
          <w:szCs w:val="24"/>
          <w:lang w:val="en-IE"/>
        </w:rPr>
        <w:footnoteReference w:id="10"/>
      </w:r>
      <w:r>
        <w:rPr>
          <w:rFonts w:ascii="Times New Roman" w:hAnsi="Times New Roman"/>
          <w:noProof/>
          <w:sz w:val="24"/>
        </w:rPr>
        <w:t xml:space="preserve">. Acest lucru se datorează în principal dificultăților întâmpinate pentru a ajunge la clienții din alte state membre fără o prezență fizică bancară sau pentru a extinde ori a institui o prezență bancară pe piețe noi, fie în mod organic, fie prin consolidare transfrontalieră. De la CFM, consolidarea sectorului bancar din UE a avut loc aproape exclusiv pe plan intern, întrucât fuziunile și achizițiile transfrontaliere la nivelul UE au scăzut semnificativ, deși au cunoscut o creștere în 2025. În consecință, multe grupuri bancare din UE sunt mari în raport cu dimensiunea economiei lor de origine, dar nu și în raport cu dimensiunea economiei UE, a economiei uniunii bancare sau a concurenților internaționali. </w:t>
      </w:r>
    </w:p>
    <w:p w14:paraId="565441E7" w14:textId="748F8DF5" w:rsidR="00F37727" w:rsidRPr="00B33098" w:rsidRDefault="00F37727" w:rsidP="00F37727">
      <w:pPr>
        <w:spacing w:line="276" w:lineRule="auto"/>
        <w:jc w:val="both"/>
        <w:rPr>
          <w:rFonts w:ascii="Times New Roman" w:hAnsi="Times New Roman" w:cs="Times New Roman"/>
          <w:noProof/>
          <w:sz w:val="24"/>
          <w:szCs w:val="24"/>
        </w:rPr>
      </w:pPr>
      <w:r>
        <w:rPr>
          <w:rFonts w:ascii="Times New Roman" w:hAnsi="Times New Roman"/>
          <w:b/>
          <w:noProof/>
          <w:sz w:val="24"/>
        </w:rPr>
        <w:t>Fragmentarea din sectorul bancar reflectă o dimensiune națională foarte pronunțată a cadrului de reglementare al UE.</w:t>
      </w:r>
      <w:r>
        <w:rPr>
          <w:rFonts w:ascii="Times New Roman" w:hAnsi="Times New Roman"/>
          <w:noProof/>
          <w:sz w:val="24"/>
        </w:rPr>
        <w:t xml:space="preserve"> </w:t>
      </w:r>
    </w:p>
    <w:p w14:paraId="371E761D" w14:textId="753E409F" w:rsidR="008E371B" w:rsidRPr="00B33098" w:rsidRDefault="00FD09FC" w:rsidP="00835196">
      <w:pPr>
        <w:pStyle w:val="ListParagraph"/>
        <w:numPr>
          <w:ilvl w:val="0"/>
          <w:numId w:val="61"/>
        </w:numPr>
        <w:spacing w:line="276" w:lineRule="auto"/>
        <w:jc w:val="both"/>
        <w:rPr>
          <w:noProof/>
        </w:rPr>
      </w:pPr>
      <w:r>
        <w:rPr>
          <w:rFonts w:ascii="Times New Roman" w:hAnsi="Times New Roman"/>
          <w:b/>
          <w:noProof/>
          <w:sz w:val="24"/>
        </w:rPr>
        <w:t>Spre deosebire de alte jurisdicții, cadrul de reglementare al UE impune grupurilor bancare transfrontaliere să respecte cerințele de capital și de lichiditate atât la nivel consolidat, cât și la nivelul filialelor.</w:t>
      </w:r>
      <w:r>
        <w:rPr>
          <w:rFonts w:ascii="Times New Roman" w:hAnsi="Times New Roman"/>
          <w:noProof/>
          <w:sz w:val="24"/>
        </w:rPr>
        <w:t xml:space="preserve"> Această caracteristică împiedică aceste grupuri să gestioneze în mai mare măsură aceste resurse la nivel central, la nivel de grup, limitând astfel eficiența. În plus, aceasta limitează eficiența grupurilor bancare transfrontaliere, acționând ca o barieră de facto în calea fuziunilor transfrontaliere. S-a estimat că eliminarea constrângerilor asupra lichidității deținute în filialele transfrontaliere ale grupurilor bancare din UE ar elibera aproximativ 230 de miliarde EUR sub formă de active lichide de înaltă calitate</w:t>
      </w:r>
      <w:r w:rsidR="003E5927" w:rsidRPr="00B33098">
        <w:rPr>
          <w:rStyle w:val="FootnoteReference"/>
          <w:rFonts w:ascii="Times New Roman" w:hAnsi="Times New Roman" w:cs="Times New Roman"/>
          <w:noProof/>
          <w:sz w:val="24"/>
          <w:szCs w:val="24"/>
          <w:lang w:val="en-IE"/>
        </w:rPr>
        <w:footnoteReference w:id="11"/>
      </w:r>
      <w:r>
        <w:rPr>
          <w:rFonts w:ascii="Times New Roman" w:hAnsi="Times New Roman"/>
          <w:noProof/>
          <w:sz w:val="24"/>
        </w:rPr>
        <w:t>. Această dimensiune națională pronunțată a reglementării prudențiale reflectă preocupările cu privire la impactul potențial al intrării în dificultate a unei bănci asupra economiilor statelor membre care găzduiesc filiale transfrontaliere. Aceste preocupări persistă, în pofida punerii în aplicare a cadrului unic de reglementare, a nivelurilor semnificative de reziliență atinse de bănci și a progreselor înregistrate în dezvoltarea uniunii bancare (care rămâne însă incompletă, în special în absența unui mecanism de asigurare a depozitelor la nivelul întregii uniuni bancare). Alți factori prudențiali care contribuie la fragmentarea persistentă sunt tratamentul divergent al expunerilor intragrup naționale și transfrontaliere, eterogenitatea și lipsa de previzibilitate în stabilirea cerințelor prudențiale, precum și coordonarea insuficientă între autoritățile de supraveghere, de rezoluție și macroprudențiale.</w:t>
      </w:r>
    </w:p>
    <w:p w14:paraId="36DFCC81" w14:textId="77777777" w:rsidR="00F37727" w:rsidRPr="000E3801" w:rsidRDefault="00F37727" w:rsidP="00835196">
      <w:pPr>
        <w:pStyle w:val="ListParagraph"/>
        <w:spacing w:line="276" w:lineRule="auto"/>
        <w:jc w:val="both"/>
        <w:rPr>
          <w:noProof/>
        </w:rPr>
      </w:pPr>
    </w:p>
    <w:p w14:paraId="5294AC3D" w14:textId="23401FA3" w:rsidR="00D14CC1" w:rsidRPr="00B33098" w:rsidRDefault="35CACD35" w:rsidP="00835196">
      <w:pPr>
        <w:pStyle w:val="ListParagraph"/>
        <w:numPr>
          <w:ilvl w:val="0"/>
          <w:numId w:val="61"/>
        </w:numPr>
        <w:spacing w:line="276" w:lineRule="auto"/>
        <w:jc w:val="both"/>
        <w:rPr>
          <w:rFonts w:ascii="Times New Roman" w:eastAsia="Times New Roman" w:hAnsi="Times New Roman" w:cs="Times New Roman"/>
          <w:b/>
          <w:noProof/>
          <w:sz w:val="24"/>
          <w:szCs w:val="24"/>
        </w:rPr>
      </w:pPr>
      <w:r>
        <w:rPr>
          <w:rFonts w:ascii="Times New Roman" w:hAnsi="Times New Roman"/>
          <w:b/>
          <w:noProof/>
          <w:sz w:val="24"/>
        </w:rPr>
        <w:t xml:space="preserve">Suprareglementarea la nivel național și diferențele în ceea ce privește transpunerea normelor UE reprezintă o altă sursă de fragmentare. </w:t>
      </w:r>
      <w:r>
        <w:rPr>
          <w:rFonts w:ascii="Times New Roman" w:hAnsi="Times New Roman"/>
          <w:noProof/>
          <w:sz w:val="24"/>
        </w:rPr>
        <w:t xml:space="preserve">Aceste elemente subminează eficacitatea cadrului unic de reglementare, îngreunând și scumpind activitatea transfrontalieră a grupurilor bancare. În același timp, recurgerea tot mai frecventă la instrumente juridice neobligatorii („soft law”) în cadrul de reglementare – interpretate adesea drept constrângeri obligatorii de către autoritățile competente de la nivelul UE și de la nivel național, precum și de către responsabilii cu conformitatea ai băncilor și de către auditorii externi – poate amplifica acest efect. </w:t>
      </w:r>
    </w:p>
    <w:p w14:paraId="74D8BF5B" w14:textId="77777777" w:rsidR="00F37727" w:rsidRPr="000E3801" w:rsidRDefault="00F37727" w:rsidP="00835196">
      <w:pPr>
        <w:pStyle w:val="ListParagraph"/>
        <w:spacing w:line="276" w:lineRule="auto"/>
        <w:jc w:val="both"/>
        <w:rPr>
          <w:rFonts w:ascii="Times New Roman" w:eastAsia="Times New Roman" w:hAnsi="Times New Roman" w:cs="Times New Roman"/>
          <w:b/>
          <w:noProof/>
          <w:sz w:val="24"/>
          <w:szCs w:val="24"/>
          <w:lang w:val="fr-FR"/>
        </w:rPr>
      </w:pPr>
    </w:p>
    <w:p w14:paraId="2EB8D222" w14:textId="60007532" w:rsidR="00D57D0E" w:rsidRPr="00B33098" w:rsidRDefault="2B465153" w:rsidP="00835196">
      <w:pPr>
        <w:pStyle w:val="ListParagraph"/>
        <w:numPr>
          <w:ilvl w:val="0"/>
          <w:numId w:val="61"/>
        </w:numPr>
        <w:spacing w:line="276" w:lineRule="auto"/>
        <w:jc w:val="both"/>
        <w:rPr>
          <w:rFonts w:ascii="Times New Roman" w:hAnsi="Times New Roman" w:cs="Times New Roman"/>
          <w:noProof/>
          <w:sz w:val="24"/>
          <w:szCs w:val="24"/>
        </w:rPr>
      </w:pPr>
      <w:r>
        <w:rPr>
          <w:rFonts w:ascii="Times New Roman" w:hAnsi="Times New Roman"/>
          <w:b/>
          <w:noProof/>
          <w:sz w:val="24"/>
        </w:rPr>
        <w:t xml:space="preserve">Intervențiile naționale în fuziunile bancare împiedică băncile să atingă o dimensiune adecvată la nivelul UE. </w:t>
      </w:r>
      <w:r>
        <w:rPr>
          <w:rFonts w:ascii="Times New Roman" w:hAnsi="Times New Roman"/>
          <w:noProof/>
          <w:sz w:val="24"/>
        </w:rPr>
        <w:t>Intervențiile nejustificate la nivel național afectează prea des capacitatea băncilor din UE de a se consolida. Prin urmare, acestor bănci le este limitată capacitatea de extindere la nivelul UE</w:t>
      </w:r>
      <w:r w:rsidR="00E17096" w:rsidRPr="00B33098">
        <w:rPr>
          <w:rStyle w:val="FootnoteReference"/>
          <w:rFonts w:ascii="Times New Roman" w:hAnsi="Times New Roman" w:cs="Times New Roman"/>
          <w:noProof/>
          <w:sz w:val="24"/>
          <w:szCs w:val="24"/>
          <w:lang w:val="en-IE"/>
        </w:rPr>
        <w:footnoteReference w:id="12"/>
      </w:r>
      <w:r>
        <w:rPr>
          <w:rFonts w:ascii="Times New Roman" w:hAnsi="Times New Roman"/>
          <w:noProof/>
          <w:sz w:val="24"/>
        </w:rPr>
        <w:t xml:space="preserve">, inclusiv prin fuziuni transfrontaliere. Acest lucru le afectează evaluările și posibilitatea de a obține câștiguri de eficiență, le limitează capacitatea de a oferi servicii financiare critice gospodăriilor și întreprinderilor și le reduce competitivitatea pe piețele financiare mondiale în domeniul activităților bancare corporative și de investiții. </w:t>
      </w:r>
    </w:p>
    <w:p w14:paraId="34C8F727" w14:textId="77777777" w:rsidR="00F37727" w:rsidRPr="00B33098" w:rsidRDefault="00F37727" w:rsidP="00835196">
      <w:pPr>
        <w:pStyle w:val="ListParagraph"/>
        <w:rPr>
          <w:rFonts w:ascii="Times New Roman" w:hAnsi="Times New Roman" w:cs="Times New Roman"/>
          <w:noProof/>
          <w:sz w:val="24"/>
          <w:szCs w:val="24"/>
        </w:rPr>
      </w:pPr>
    </w:p>
    <w:p w14:paraId="3B298EFF" w14:textId="7864853A" w:rsidR="00BD6FAF" w:rsidRPr="00B33098" w:rsidRDefault="00BD6FAF" w:rsidP="00C07C37">
      <w:pPr>
        <w:pStyle w:val="ListParagraph"/>
        <w:numPr>
          <w:ilvl w:val="0"/>
          <w:numId w:val="61"/>
        </w:numPr>
        <w:jc w:val="both"/>
        <w:rPr>
          <w:rFonts w:ascii="Times New Roman" w:hAnsi="Times New Roman" w:cs="Times New Roman"/>
          <w:noProof/>
          <w:sz w:val="24"/>
          <w:szCs w:val="24"/>
        </w:rPr>
      </w:pPr>
      <w:r>
        <w:rPr>
          <w:rFonts w:ascii="Times New Roman" w:hAnsi="Times New Roman"/>
          <w:b/>
          <w:noProof/>
          <w:sz w:val="24"/>
        </w:rPr>
        <w:t>Normele naționale sau diferențele în transpunerea normelor UE în domenii din afara sferei prudențiale limitează activitățile bancare transfrontaliere</w:t>
      </w:r>
      <w:r>
        <w:rPr>
          <w:rFonts w:ascii="Times New Roman" w:hAnsi="Times New Roman"/>
          <w:noProof/>
          <w:sz w:val="24"/>
        </w:rPr>
        <w:t>. Aceste bariere neprudențiale includ controalele în materie de combatere a spălării banilor, dreptul civil, protecția datelor, fiscalitatea</w:t>
      </w:r>
      <w:r w:rsidR="00D07046" w:rsidRPr="00B33098">
        <w:rPr>
          <w:rStyle w:val="FootnoteReference"/>
          <w:rFonts w:ascii="Times New Roman" w:hAnsi="Times New Roman" w:cs="Times New Roman"/>
          <w:noProof/>
          <w:sz w:val="24"/>
          <w:szCs w:val="24"/>
          <w:lang w:val="en-IE"/>
        </w:rPr>
        <w:footnoteReference w:id="13"/>
      </w:r>
      <w:r>
        <w:rPr>
          <w:rFonts w:ascii="Times New Roman" w:hAnsi="Times New Roman"/>
          <w:noProof/>
          <w:sz w:val="24"/>
        </w:rPr>
        <w:t xml:space="preserve">, dreptul insolvenței și normele privind executarea silită, precum și anumite norme în materie de protecție a consumatorilor care, deși armonizate într-o anumită măsură la nivelul UE, nu sunt aplicate în mod uniform în toate statele membre. Aplicarea unor norme naționale diferite poate descuraja băncile să furnizeze servicii la nivel transfrontalier, în special pe segmentul de retail bancar. În contextul actual, caracterizat de un grad tot mai ridicat de digitalizare, o limitare importantă o reprezintă platformele informatice dezvoltate de bănci pentru a răspunde nevoilor unei piețe naționale, care nu pot fi replicate cu ușurință la nivelul întregii UE. Acest lucru afectează modelul de afaceri al serviciilor bancare transfrontaliere, limitează concurența dintre bănci, reduce opțiunile disponibile pentru clienți și conduce la creșterea prețurilor. </w:t>
      </w:r>
    </w:p>
    <w:p w14:paraId="491FEF8C" w14:textId="77777777" w:rsidR="00D57D0E" w:rsidRPr="000E3801" w:rsidRDefault="00D57D0E" w:rsidP="009A4805">
      <w:pPr>
        <w:spacing w:line="276" w:lineRule="auto"/>
        <w:jc w:val="both"/>
        <w:rPr>
          <w:rFonts w:ascii="Times New Roman" w:hAnsi="Times New Roman" w:cs="Times New Roman"/>
          <w:b/>
          <w:bCs/>
          <w:i/>
          <w:iCs/>
          <w:noProof/>
          <w:sz w:val="24"/>
          <w:szCs w:val="24"/>
        </w:rPr>
      </w:pPr>
    </w:p>
    <w:p w14:paraId="3ADB99CA" w14:textId="2E661516" w:rsidR="0095119F" w:rsidRPr="00B33098" w:rsidDel="001948C9" w:rsidRDefault="00F37727" w:rsidP="00835196">
      <w:pPr>
        <w:spacing w:line="276" w:lineRule="auto"/>
        <w:ind w:left="360"/>
        <w:jc w:val="both"/>
        <w:rPr>
          <w:rFonts w:ascii="Times New Roman" w:hAnsi="Times New Roman" w:cs="Times New Roman"/>
          <w:b/>
          <w:bCs/>
          <w:i/>
          <w:iCs/>
          <w:noProof/>
          <w:sz w:val="28"/>
          <w:szCs w:val="28"/>
        </w:rPr>
      </w:pPr>
      <w:r>
        <w:rPr>
          <w:rFonts w:ascii="Times New Roman" w:hAnsi="Times New Roman"/>
          <w:b/>
          <w:i/>
          <w:noProof/>
          <w:sz w:val="28"/>
        </w:rPr>
        <w:t xml:space="preserve">2.2 </w:t>
      </w:r>
      <w:r>
        <w:rPr>
          <w:noProof/>
        </w:rPr>
        <w:tab/>
      </w:r>
      <w:r>
        <w:rPr>
          <w:rFonts w:ascii="Times New Roman" w:hAnsi="Times New Roman"/>
          <w:b/>
          <w:i/>
          <w:noProof/>
          <w:sz w:val="28"/>
        </w:rPr>
        <w:t>Punerea în aplicare a standardelor internaționale ținând seama de particularitățile UE</w:t>
      </w:r>
    </w:p>
    <w:p w14:paraId="0C8B7E59" w14:textId="41B7A886" w:rsidR="001C0D5B" w:rsidRPr="00B33098" w:rsidRDefault="00E84C90" w:rsidP="0095119F">
      <w:pPr>
        <w:spacing w:line="276" w:lineRule="auto"/>
        <w:jc w:val="both"/>
        <w:rPr>
          <w:rFonts w:ascii="Times New Roman" w:eastAsia="Times New Roman" w:hAnsi="Times New Roman" w:cs="Times New Roman"/>
          <w:b/>
          <w:bCs/>
          <w:noProof/>
          <w:sz w:val="24"/>
          <w:szCs w:val="24"/>
        </w:rPr>
      </w:pPr>
      <w:r>
        <w:rPr>
          <w:rFonts w:ascii="Times New Roman" w:hAnsi="Times New Roman"/>
          <w:b/>
          <w:noProof/>
          <w:sz w:val="24"/>
        </w:rPr>
        <w:t>UE se angajează să respecte standardele internaționale stabilite de Comitetul de la Basel pentru supraveghere bancară și recomandările Consiliului pentru Stabilitate Financiară.</w:t>
      </w:r>
      <w:r>
        <w:rPr>
          <w:rFonts w:ascii="Times New Roman" w:hAnsi="Times New Roman"/>
          <w:noProof/>
          <w:sz w:val="24"/>
        </w:rPr>
        <w:t xml:space="preserve"> Punerea în aplicare a standardelor internaționale este esențială pentru protejarea stabilității financiare și menținerea unor condiții de concurență echitabile.</w:t>
      </w:r>
      <w:r>
        <w:rPr>
          <w:rFonts w:ascii="Times New Roman" w:hAnsi="Times New Roman"/>
          <w:b/>
          <w:noProof/>
          <w:sz w:val="24"/>
        </w:rPr>
        <w:t xml:space="preserve"> </w:t>
      </w:r>
      <w:r>
        <w:rPr>
          <w:rFonts w:ascii="Times New Roman" w:hAnsi="Times New Roman"/>
          <w:noProof/>
          <w:sz w:val="24"/>
        </w:rPr>
        <w:t>În UE, spre deosebire de alte jurisdicții, standardele internaționale se aplică tuturor băncilor pentru a menține integritatea pieței unice. Cele peste 4 500 de bănci și aproximativ 650 de grupuri bancare din UE alcătuiesc un ecosistem bancar divers, care finanțează economia Uniunii. Sectorul bancar cuprinde atât bănci complexe de importanță sistemică globală, care își desfășoară activitatea la nivel mondial, cât și bănci mai mici, cu un model de afaceri mai tradițional sau mai puțin complex, care sprijină finanțarea IMM-urilor locale, inclusiv în regiunile mai puțin dezvoltate. Având în vedere rolul băncilor în finanțarea economiei UE, cadrul de reglementare ar trebui să le permită să finanțeze numeroase tipuri de întreprinderi, de la întreprinderi consacrate la întreprinderi digitale cu creștere rapidă, inclusiv start-upuri și întreprinderi în curs de extindere. În plus, piața europeană se bazează pe creditarea bancară pentru finanțarea investițiilor strategice pe termen lung esențiale. În pofida eforturilor de a reflecta această diversitate în cadrul de reglementare, multe norme continuă să se aplice indiferent de dimensiunea băncilor sau de modelele lor de afaceri, ceea ce duce la o complexitate și o sarcină administrativă inutile pentru bănci.</w:t>
      </w:r>
    </w:p>
    <w:p w14:paraId="1AB453D9" w14:textId="469C33CE" w:rsidR="008609F2" w:rsidRPr="00B33098" w:rsidRDefault="00984720" w:rsidP="0095119F">
      <w:pPr>
        <w:spacing w:line="276" w:lineRule="auto"/>
        <w:jc w:val="both"/>
        <w:rPr>
          <w:rFonts w:ascii="Times New Roman" w:eastAsia="Times New Roman" w:hAnsi="Times New Roman" w:cs="Times New Roman"/>
          <w:noProof/>
          <w:sz w:val="24"/>
          <w:szCs w:val="24"/>
        </w:rPr>
      </w:pPr>
      <w:r>
        <w:rPr>
          <w:rFonts w:ascii="Times New Roman" w:hAnsi="Times New Roman"/>
          <w:b/>
          <w:noProof/>
          <w:sz w:val="24"/>
        </w:rPr>
        <w:t xml:space="preserve">Băncile mari din UE concurează la nivel mondial și trebuie să își desfășoare activitatea într-un mediu în care punerea în aplicare a standardelor internaționale diferă de la o jurisdicție la alta. </w:t>
      </w:r>
      <w:r>
        <w:rPr>
          <w:rFonts w:ascii="Times New Roman" w:hAnsi="Times New Roman"/>
          <w:noProof/>
          <w:sz w:val="24"/>
        </w:rPr>
        <w:t>Abaterile și întârzierile în punerea în aplicare a standardelor internaționale convenite în unele jurisdicții majore au sporit preocupările cu privire la competitivitatea băncilor din UE pe piețele mondiale. Pentru a remedia dezechilibrele concurențiale grave generate de nerespectarea standardelor internaționale de către jurisdicții din țări terțe, Comisia va continua să monitorizeze îndeaproape situația internațională și să utilizeze instrumentele de reglementare disponibile, asigurând totodată protejarea stabilității financiare.</w:t>
      </w:r>
    </w:p>
    <w:p w14:paraId="0B8D3A99" w14:textId="2216C400" w:rsidR="2319B056" w:rsidRPr="00B33098" w:rsidRDefault="00E92693" w:rsidP="66DF1F37">
      <w:pPr>
        <w:spacing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În plus, cadrul de reglementare al UE și modul în care acesta este aplicat, prin implicarea a numeroase autorități diferite, adaugă straturi de cerințe care depășesc standardele internaționale. În această privință, UE diferă substanțial de alte jurisdicții majore. Luate împreună, caracteristicile sistemului bancar european și particularitățile cadrului de reglementare și de supraveghere al UE impun analizarea atentă a punerii în aplicare a standardelor internaționale. </w:t>
      </w:r>
    </w:p>
    <w:p w14:paraId="606DBAE3" w14:textId="3DEB3501" w:rsidR="007F7A01" w:rsidRPr="00B33098" w:rsidDel="00895E3A" w:rsidRDefault="00AD718E" w:rsidP="00835196">
      <w:pPr>
        <w:spacing w:line="276" w:lineRule="auto"/>
        <w:ind w:left="720" w:hanging="720"/>
        <w:jc w:val="both"/>
        <w:rPr>
          <w:rFonts w:ascii="Times New Roman" w:hAnsi="Times New Roman" w:cs="Times New Roman"/>
          <w:b/>
          <w:bCs/>
          <w:i/>
          <w:iCs/>
          <w:noProof/>
          <w:sz w:val="28"/>
          <w:szCs w:val="28"/>
        </w:rPr>
      </w:pPr>
      <w:r>
        <w:rPr>
          <w:rFonts w:ascii="Times New Roman" w:hAnsi="Times New Roman"/>
          <w:b/>
          <w:i/>
          <w:noProof/>
          <w:sz w:val="28"/>
        </w:rPr>
        <w:t>2.3</w:t>
      </w:r>
      <w:r>
        <w:rPr>
          <w:rFonts w:ascii="Times New Roman" w:hAnsi="Times New Roman"/>
          <w:b/>
          <w:i/>
          <w:noProof/>
          <w:sz w:val="28"/>
        </w:rPr>
        <w:tab/>
        <w:t>Complexitatea nejustificată a cadrului de reglementare</w:t>
      </w:r>
    </w:p>
    <w:p w14:paraId="31BAA9CA" w14:textId="5E69E826" w:rsidR="00C14A85" w:rsidRPr="00B33098" w:rsidRDefault="00AD718E" w:rsidP="00C17230">
      <w:pPr>
        <w:spacing w:line="276" w:lineRule="auto"/>
        <w:jc w:val="both"/>
        <w:rPr>
          <w:rFonts w:ascii="Times New Roman" w:hAnsi="Times New Roman" w:cs="Times New Roman"/>
          <w:b/>
          <w:bCs/>
          <w:noProof/>
          <w:sz w:val="24"/>
          <w:szCs w:val="24"/>
        </w:rPr>
      </w:pPr>
      <w:r>
        <w:rPr>
          <w:rFonts w:ascii="Times New Roman" w:hAnsi="Times New Roman"/>
          <w:b/>
          <w:noProof/>
          <w:sz w:val="24"/>
        </w:rPr>
        <w:t xml:space="preserve">Deși reformele ulterioare CFM au îmbunătățit în mod semnificativ reziliența sectorului bancar din UE, cadrul de reglementare a devenit nejustificat de complex. </w:t>
      </w:r>
    </w:p>
    <w:p w14:paraId="157BAF7D" w14:textId="23BCFB87" w:rsidR="001C0D5B" w:rsidRPr="00B33098" w:rsidRDefault="00C14A85" w:rsidP="001C0D5B">
      <w:pPr>
        <w:pStyle w:val="ListParagraph"/>
        <w:numPr>
          <w:ilvl w:val="0"/>
          <w:numId w:val="42"/>
        </w:numPr>
        <w:spacing w:line="276" w:lineRule="auto"/>
        <w:jc w:val="both"/>
        <w:rPr>
          <w:rFonts w:ascii="Times New Roman" w:eastAsia="Times New Roman" w:hAnsi="Times New Roman" w:cs="Times New Roman"/>
          <w:noProof/>
          <w:sz w:val="24"/>
          <w:szCs w:val="24"/>
        </w:rPr>
      </w:pPr>
      <w:r>
        <w:rPr>
          <w:rFonts w:ascii="Times New Roman" w:hAnsi="Times New Roman"/>
          <w:b/>
          <w:noProof/>
          <w:sz w:val="24"/>
        </w:rPr>
        <w:t>Complexitatea rezultă parțial din caracterul detaliat și structura pe mai multe niveluri a cadrului de reglementare</w:t>
      </w:r>
      <w:r>
        <w:rPr>
          <w:rFonts w:ascii="Times New Roman" w:hAnsi="Times New Roman"/>
          <w:noProof/>
          <w:sz w:val="24"/>
        </w:rPr>
        <w:t>. Cadrul se bazează pe două niveluri distincte de legislație</w:t>
      </w:r>
      <w:r w:rsidR="00314607" w:rsidRPr="00B33098">
        <w:rPr>
          <w:rStyle w:val="FootnoteReference"/>
          <w:rFonts w:ascii="Times New Roman" w:eastAsia="Times New Roman" w:hAnsi="Times New Roman" w:cs="Times New Roman"/>
          <w:noProof/>
          <w:sz w:val="24"/>
          <w:szCs w:val="24"/>
          <w:lang w:val="en-IE"/>
        </w:rPr>
        <w:footnoteReference w:id="14"/>
      </w:r>
      <w:r>
        <w:rPr>
          <w:rFonts w:ascii="Times New Roman" w:hAnsi="Times New Roman"/>
          <w:noProof/>
          <w:sz w:val="24"/>
        </w:rPr>
        <w:t xml:space="preserve"> și pe orientări suplimentare în materie de supraveghere</w:t>
      </w:r>
      <w:r w:rsidR="00314607" w:rsidRPr="00B33098">
        <w:rPr>
          <w:rStyle w:val="FootnoteReference"/>
          <w:rFonts w:ascii="Times New Roman" w:eastAsia="Times New Roman" w:hAnsi="Times New Roman" w:cs="Times New Roman"/>
          <w:noProof/>
          <w:sz w:val="24"/>
          <w:szCs w:val="24"/>
          <w:lang w:val="en-IE"/>
        </w:rPr>
        <w:footnoteReference w:id="15"/>
      </w:r>
      <w:r>
        <w:rPr>
          <w:rFonts w:ascii="Times New Roman" w:hAnsi="Times New Roman"/>
          <w:noProof/>
          <w:sz w:val="24"/>
        </w:rPr>
        <w:t>, care coexistă, în multe cazuri, cu norme naționale suplimentare. Deși aceste niveluri multiple permit modificări mai rapide și adaptate ori de câte ori este necesar, fără a se recurge la un proces îndelungat de modificare legislativă, ele sunt uneori excesiv de detaliate, ceea ce le face dificil de pus în aplicare, în special pentru băncile mai mici. Creșterea gradului de detaliere a cadrului UE reflectă, de asemenea, un efort de standardizare a modului în care normele UE sunt aplicate la nivel național. De asemenea, băncile însele creează adesea un grad inutil de complexitate și de detaliere prin interpretarea excesivă a reglementărilor sau prin solicitarea de orientări în materie de reglementare și supraveghere pentru a reduce la minimum riscurile de conformitate.</w:t>
      </w:r>
      <w:r>
        <w:rPr>
          <w:rFonts w:ascii="Times New Roman" w:hAnsi="Times New Roman"/>
          <w:b/>
          <w:noProof/>
          <w:sz w:val="24"/>
        </w:rPr>
        <w:t xml:space="preserve"> </w:t>
      </w:r>
    </w:p>
    <w:p w14:paraId="5CE70BC9" w14:textId="77777777" w:rsidR="001C0D5B" w:rsidRPr="000E3801" w:rsidRDefault="001C0D5B" w:rsidP="00835196">
      <w:pPr>
        <w:pStyle w:val="ListParagraph"/>
        <w:spacing w:line="276" w:lineRule="auto"/>
        <w:jc w:val="both"/>
        <w:rPr>
          <w:rFonts w:ascii="Times New Roman" w:eastAsia="Times New Roman" w:hAnsi="Times New Roman" w:cs="Times New Roman"/>
          <w:noProof/>
          <w:sz w:val="24"/>
          <w:szCs w:val="24"/>
          <w:lang w:val="fr-FR"/>
        </w:rPr>
      </w:pPr>
    </w:p>
    <w:p w14:paraId="52468AA9" w14:textId="351DD1D7" w:rsidR="001C0D5B" w:rsidRPr="00B33098" w:rsidRDefault="001C0D5B" w:rsidP="001C0D5B">
      <w:pPr>
        <w:pStyle w:val="ListParagraph"/>
        <w:numPr>
          <w:ilvl w:val="0"/>
          <w:numId w:val="42"/>
        </w:numPr>
        <w:spacing w:line="276" w:lineRule="auto"/>
        <w:jc w:val="both"/>
        <w:rPr>
          <w:rFonts w:ascii="Times New Roman" w:eastAsia="Times New Roman" w:hAnsi="Times New Roman" w:cs="Times New Roman"/>
          <w:noProof/>
          <w:sz w:val="24"/>
          <w:szCs w:val="24"/>
        </w:rPr>
      </w:pPr>
      <w:r>
        <w:rPr>
          <w:rFonts w:ascii="Times New Roman" w:hAnsi="Times New Roman"/>
          <w:b/>
          <w:noProof/>
          <w:sz w:val="24"/>
        </w:rPr>
        <w:t>Cerințele de raportare și de publicare pot constitui, la rândul lor, o sursă de complexitate</w:t>
      </w:r>
      <w:r>
        <w:rPr>
          <w:rFonts w:ascii="Times New Roman" w:hAnsi="Times New Roman"/>
          <w:noProof/>
          <w:sz w:val="24"/>
        </w:rPr>
        <w:t>. Deși datele raportate de bănci sunt necesare pentru supravegherea acestora și pentru promovarea integrității pieței, cerințele de raportare și de publicare au devenit, în multe cazuri, împovărătoare, costisitoare și redundante.</w:t>
      </w:r>
    </w:p>
    <w:p w14:paraId="3E023E24" w14:textId="77777777" w:rsidR="00C14A85" w:rsidRPr="000E3801" w:rsidDel="001948C9" w:rsidRDefault="00C14A85" w:rsidP="00835196">
      <w:pPr>
        <w:pStyle w:val="ListParagraph"/>
        <w:spacing w:line="276" w:lineRule="auto"/>
        <w:jc w:val="both"/>
        <w:rPr>
          <w:rFonts w:ascii="Times New Roman" w:eastAsia="Times New Roman" w:hAnsi="Times New Roman" w:cs="Times New Roman"/>
          <w:noProof/>
          <w:sz w:val="24"/>
          <w:szCs w:val="24"/>
        </w:rPr>
      </w:pPr>
    </w:p>
    <w:p w14:paraId="1B026373" w14:textId="7C0C1F0E" w:rsidR="00C14A85" w:rsidRPr="00B33098" w:rsidRDefault="0083797A" w:rsidP="00C14A85">
      <w:pPr>
        <w:pStyle w:val="ListParagraph"/>
        <w:numPr>
          <w:ilvl w:val="0"/>
          <w:numId w:val="42"/>
        </w:numPr>
        <w:spacing w:line="276" w:lineRule="auto"/>
        <w:jc w:val="both"/>
        <w:rPr>
          <w:rFonts w:ascii="Times New Roman" w:eastAsia="Times New Roman" w:hAnsi="Times New Roman" w:cs="Times New Roman"/>
          <w:noProof/>
          <w:sz w:val="24"/>
          <w:szCs w:val="24"/>
        </w:rPr>
      </w:pPr>
      <w:r>
        <w:rPr>
          <w:rFonts w:ascii="Times New Roman" w:hAnsi="Times New Roman"/>
          <w:b/>
          <w:noProof/>
          <w:sz w:val="24"/>
        </w:rPr>
        <w:t>Complexitatea este amplificată și mai mult de normele paralele sau, în unele cazuri, suprapuse privind aspectele microprudențiale, macroprudențiale și de rezoluție.</w:t>
      </w:r>
      <w:r>
        <w:rPr>
          <w:rFonts w:ascii="Times New Roman" w:hAnsi="Times New Roman"/>
          <w:noProof/>
          <w:sz w:val="24"/>
        </w:rPr>
        <w:t xml:space="preserve"> Explicația constă în faptul că anumite componente ale cadrului bancar au fost reformate în mai multe etape și, adesea, în mod izolat. În plus, colegiuitorii au, de-a lungul timpului, transpus în legislația UE sau menținut în cadrul acesteia o mare parte dintre particularitățile naționale. Suprapunerea diferitelor cerințe pe care băncile trebuie să le îndeplinească simultan poate conduce la duplicarea acestora și poate limita utilizabilitatea amortizoarelor (problema pachetului de capital)</w:t>
      </w:r>
      <w:r w:rsidR="00C8769E" w:rsidRPr="00B33098">
        <w:rPr>
          <w:rStyle w:val="FootnoteReference"/>
          <w:rFonts w:ascii="Times New Roman" w:eastAsia="Times New Roman" w:hAnsi="Times New Roman" w:cs="Times New Roman"/>
          <w:noProof/>
          <w:sz w:val="24"/>
          <w:szCs w:val="24"/>
        </w:rPr>
        <w:footnoteReference w:id="16"/>
      </w:r>
      <w:r>
        <w:rPr>
          <w:rFonts w:ascii="Times New Roman" w:hAnsi="Times New Roman"/>
          <w:noProof/>
          <w:sz w:val="24"/>
        </w:rPr>
        <w:t>. Totodată, interacțiunea normelor în cele trei domenii prudențiale separate, dar interconectate, este adesea sub nivelul optim.</w:t>
      </w:r>
      <w:r w:rsidR="000E3801">
        <w:rPr>
          <w:rFonts w:ascii="Times New Roman" w:hAnsi="Times New Roman"/>
          <w:noProof/>
          <w:sz w:val="24"/>
        </w:rPr>
        <w:t xml:space="preserve"> </w:t>
      </w:r>
    </w:p>
    <w:p w14:paraId="018C9F0B" w14:textId="7D657115" w:rsidR="00A33A65" w:rsidRPr="00B33098" w:rsidDel="001948C9" w:rsidRDefault="00A33A65" w:rsidP="00835196">
      <w:pPr>
        <w:pStyle w:val="ListParagraph"/>
        <w:spacing w:line="276" w:lineRule="auto"/>
        <w:jc w:val="both"/>
        <w:rPr>
          <w:rFonts w:ascii="Times New Roman" w:eastAsia="Times New Roman" w:hAnsi="Times New Roman" w:cs="Times New Roman"/>
          <w:noProof/>
          <w:sz w:val="24"/>
          <w:szCs w:val="24"/>
        </w:rPr>
      </w:pPr>
    </w:p>
    <w:p w14:paraId="6999A241" w14:textId="1DB9A15B" w:rsidR="00416C6B" w:rsidRPr="00B33098" w:rsidRDefault="00C14A85" w:rsidP="00F67804">
      <w:pPr>
        <w:pStyle w:val="ListParagraph"/>
        <w:numPr>
          <w:ilvl w:val="0"/>
          <w:numId w:val="42"/>
        </w:numPr>
        <w:spacing w:line="276" w:lineRule="auto"/>
        <w:jc w:val="both"/>
        <w:rPr>
          <w:rFonts w:ascii="Times New Roman" w:eastAsia="Times New Roman" w:hAnsi="Times New Roman" w:cs="Times New Roman"/>
          <w:noProof/>
          <w:sz w:val="24"/>
          <w:szCs w:val="24"/>
        </w:rPr>
      </w:pPr>
      <w:r>
        <w:rPr>
          <w:rFonts w:ascii="Times New Roman" w:hAnsi="Times New Roman"/>
          <w:b/>
          <w:noProof/>
          <w:sz w:val="24"/>
        </w:rPr>
        <w:t>Punerea în aplicare a cadrului de reglementare este lipsită de o imagine de ansamblu holistică din cauza numeroșilor actori implicați.</w:t>
      </w:r>
      <w:r>
        <w:rPr>
          <w:rFonts w:ascii="Times New Roman" w:hAnsi="Times New Roman"/>
          <w:noProof/>
          <w:sz w:val="24"/>
        </w:rPr>
        <w:t xml:space="preserve"> Autoritățile naționale de supraveghere, autoritățile macroprudențiale, autoritățile naționale de rezoluție, Banca Centrală Europeană (BCE), Comitetul Unic de Rezoluție (SRB), Comitetul european pentru risc sistemic (CERS) și Autoritatea Bancară Europeană (ABE) sunt toate implicate în punerea în aplicare a cadrului de reglementare, ceea ce creează provocări semnificative în materie de coordonare. Deși uniunea bancară a îmbunătățit situația prin asigurarea unei supravegheri și rezoluții unice pentru băncile mai mari care intră în domeniul său de aplicare, nu se analizează suficient modul în care interacționează cerințele stabilite de diferite autorități, impactul lor combinat și măsura în care ineficiențele rezultate sunt transferate gospodăriilor și întreprinderilor din UE. </w:t>
      </w:r>
    </w:p>
    <w:p w14:paraId="197F2606" w14:textId="77777777" w:rsidR="00BD21C3" w:rsidRPr="000E3801" w:rsidRDefault="00BD21C3" w:rsidP="00835196">
      <w:pPr>
        <w:pStyle w:val="ListParagraph"/>
        <w:spacing w:line="276" w:lineRule="auto"/>
        <w:jc w:val="both"/>
        <w:rPr>
          <w:rFonts w:ascii="Times New Roman" w:eastAsia="Times New Roman" w:hAnsi="Times New Roman" w:cs="Times New Roman"/>
          <w:noProof/>
          <w:sz w:val="24"/>
          <w:szCs w:val="24"/>
        </w:rPr>
      </w:pPr>
    </w:p>
    <w:p w14:paraId="63ABECE7" w14:textId="269FE01A" w:rsidR="009D6B2D" w:rsidRPr="00B33098" w:rsidRDefault="00416C6B" w:rsidP="00416C6B">
      <w:pPr>
        <w:pStyle w:val="ListParagraph"/>
        <w:numPr>
          <w:ilvl w:val="0"/>
          <w:numId w:val="14"/>
        </w:numPr>
        <w:spacing w:line="276" w:lineRule="auto"/>
        <w:rPr>
          <w:rFonts w:ascii="Times New Roman" w:hAnsi="Times New Roman" w:cs="Times New Roman"/>
          <w:b/>
          <w:noProof/>
          <w:sz w:val="32"/>
          <w:szCs w:val="32"/>
        </w:rPr>
      </w:pPr>
      <w:r>
        <w:rPr>
          <w:rFonts w:ascii="Times New Roman" w:hAnsi="Times New Roman"/>
          <w:b/>
          <w:noProof/>
          <w:sz w:val="32"/>
        </w:rPr>
        <w:t>O cale de urmat pentru sectorul bancar din UE</w:t>
      </w:r>
    </w:p>
    <w:p w14:paraId="29B312F1" w14:textId="0ABDEAA1" w:rsidR="00C56F32" w:rsidRPr="00B33098" w:rsidRDefault="00467E1A" w:rsidP="3395790B">
      <w:pPr>
        <w:spacing w:line="276" w:lineRule="auto"/>
        <w:jc w:val="both"/>
        <w:rPr>
          <w:rFonts w:ascii="Times New Roman" w:hAnsi="Times New Roman" w:cs="Times New Roman"/>
          <w:noProof/>
          <w:sz w:val="24"/>
          <w:szCs w:val="24"/>
        </w:rPr>
      </w:pPr>
      <w:bookmarkStart w:id="8" w:name="_Hlk234778569"/>
      <w:r>
        <w:rPr>
          <w:rFonts w:ascii="Times New Roman" w:hAnsi="Times New Roman"/>
          <w:b/>
          <w:noProof/>
          <w:sz w:val="24"/>
        </w:rPr>
        <w:t>Având în vedere diversitatea și natura provocărilor cu care se confruntă sectorul bancar din UE, este necesară definirea unei căi de urmat, bazată pe măsuri de politică, orientate spre viitor, coerente, cuprinzătoare și ambițioase, fundamentate pe o evaluare a impactului, în conformitate cu principiile unei mai bune legiferări.</w:t>
      </w:r>
      <w:r>
        <w:rPr>
          <w:rFonts w:ascii="Times New Roman" w:hAnsi="Times New Roman"/>
          <w:noProof/>
          <w:sz w:val="24"/>
        </w:rPr>
        <w:t xml:space="preserve"> Intervențiile care vizează doar unele dintre aceste provocări nu vor fi suficiente pentru a crea condițiile necesare unei îmbunătățiri durabile și structurale a competitivității sau pentru a garanta că rezultatele obținute se vor menține în timp. Acest pachet ar urma să cuprindă măsuri legislative și nelegislative, inclusiv măsuri de simplificare și raționalizare a reglementării cerințelor de capital. Măsurile propuse vor promova integrarea pieței, cu garanții adecvate pentru stabilitatea financiară în toate statele membre, vor asigura o punere în aplicare a standardelor internaționale care ține seama într-o mai mare măsură de particularitățile UE și reflectă o abordare proporțională, punând un accent deosebit pe simplificarea cadrului de reglementare al UE în toate propunerile viitoare. Aceasta va include oficializarea acordării unei priorități mai reduse mandatelor ABE privind elaborarea standardelor tehnice, astfel cum s-a discutat cu colegiuitorii. </w:t>
      </w:r>
    </w:p>
    <w:p w14:paraId="4E7749C2" w14:textId="25A600BC" w:rsidR="005A17CB" w:rsidRPr="00B33098" w:rsidDel="00BB72A2" w:rsidRDefault="000E3801" w:rsidP="3395790B">
      <w:pPr>
        <w:spacing w:line="276" w:lineRule="auto"/>
        <w:jc w:val="both"/>
        <w:rPr>
          <w:rFonts w:ascii="Times New Roman" w:hAnsi="Times New Roman" w:cs="Times New Roman"/>
          <w:noProof/>
          <w:sz w:val="24"/>
          <w:szCs w:val="24"/>
        </w:rPr>
      </w:pPr>
      <w:r>
        <w:rPr>
          <w:rFonts w:ascii="Times New Roman" w:hAnsi="Times New Roman"/>
          <w:noProof/>
          <w:sz w:val="24"/>
        </w:rPr>
        <w:t xml:space="preserve"> </w:t>
      </w:r>
      <w:r w:rsidR="00416C6B">
        <w:rPr>
          <w:rFonts w:ascii="Times New Roman" w:hAnsi="Times New Roman"/>
          <w:noProof/>
          <w:sz w:val="24"/>
        </w:rPr>
        <w:t xml:space="preserve"> </w:t>
      </w:r>
    </w:p>
    <w:bookmarkEnd w:id="8"/>
    <w:p w14:paraId="431CEA2E" w14:textId="296D69D8" w:rsidR="00C42D94" w:rsidRPr="00B33098" w:rsidRDefault="000E3801" w:rsidP="00416C6B">
      <w:pPr>
        <w:pStyle w:val="ListParagraph"/>
        <w:numPr>
          <w:ilvl w:val="1"/>
          <w:numId w:val="14"/>
        </w:numPr>
        <w:spacing w:line="276" w:lineRule="auto"/>
        <w:jc w:val="both"/>
        <w:rPr>
          <w:rFonts w:ascii="Times New Roman" w:hAnsi="Times New Roman" w:cs="Times New Roman"/>
          <w:b/>
          <w:i/>
          <w:iCs/>
          <w:noProof/>
          <w:sz w:val="28"/>
          <w:szCs w:val="28"/>
        </w:rPr>
      </w:pPr>
      <w:r>
        <w:rPr>
          <w:rFonts w:ascii="Times New Roman" w:hAnsi="Times New Roman"/>
          <w:b/>
          <w:i/>
          <w:noProof/>
          <w:sz w:val="28"/>
        </w:rPr>
        <w:t xml:space="preserve"> </w:t>
      </w:r>
      <w:r w:rsidR="005A17CB">
        <w:rPr>
          <w:rFonts w:ascii="Times New Roman" w:hAnsi="Times New Roman"/>
          <w:b/>
          <w:i/>
          <w:noProof/>
          <w:sz w:val="28"/>
        </w:rPr>
        <w:t>Promovarea integrării în condițiile existenței unor garanții adecvate</w:t>
      </w:r>
    </w:p>
    <w:p w14:paraId="4C416AE8" w14:textId="2310F80E" w:rsidR="00196877" w:rsidRPr="00B33098" w:rsidRDefault="00196877" w:rsidP="00196877">
      <w:pPr>
        <w:spacing w:line="276" w:lineRule="auto"/>
        <w:jc w:val="both"/>
        <w:rPr>
          <w:rFonts w:ascii="Times New Roman" w:eastAsia="Yu Mincho" w:hAnsi="Times New Roman" w:cs="Times New Roman"/>
          <w:noProof/>
          <w:sz w:val="24"/>
          <w:szCs w:val="24"/>
        </w:rPr>
      </w:pPr>
      <w:r>
        <w:rPr>
          <w:rFonts w:ascii="Times New Roman" w:hAnsi="Times New Roman"/>
          <w:noProof/>
          <w:sz w:val="24"/>
        </w:rPr>
        <w:t>Ineficiențele generate de fragmentarea de-a lungul frontierelor naționale subminează în mod evident competitivitatea sectorului bancar din UE și trebuie combătute prin măsuri într-o serie de domenii.</w:t>
      </w:r>
    </w:p>
    <w:p w14:paraId="7E3DA70C" w14:textId="268B25B8" w:rsidR="00AA281C" w:rsidRPr="00B33098" w:rsidRDefault="000A64D0" w:rsidP="00835196">
      <w:pPr>
        <w:pStyle w:val="ListParagraph"/>
        <w:numPr>
          <w:ilvl w:val="0"/>
          <w:numId w:val="44"/>
        </w:numPr>
        <w:spacing w:line="276" w:lineRule="auto"/>
        <w:jc w:val="both"/>
        <w:rPr>
          <w:rFonts w:ascii="Times New Roman" w:eastAsia="Yu Mincho" w:hAnsi="Times New Roman" w:cs="Times New Roman"/>
          <w:b/>
          <w:bCs/>
          <w:i/>
          <w:noProof/>
          <w:sz w:val="28"/>
          <w:szCs w:val="28"/>
        </w:rPr>
      </w:pPr>
      <w:r>
        <w:rPr>
          <w:rFonts w:ascii="Times New Roman" w:hAnsi="Times New Roman"/>
          <w:b/>
          <w:i/>
          <w:noProof/>
          <w:sz w:val="28"/>
        </w:rPr>
        <w:t>Eliminarea barierelor prudențiale din calea integrării</w:t>
      </w:r>
    </w:p>
    <w:p w14:paraId="489D36F8" w14:textId="2BBC81F0" w:rsidR="00F5301B" w:rsidRPr="00B33098" w:rsidRDefault="6A77D298" w:rsidP="00003B64">
      <w:pPr>
        <w:spacing w:line="276" w:lineRule="auto"/>
        <w:jc w:val="both"/>
        <w:rPr>
          <w:rFonts w:ascii="Times New Roman" w:eastAsia="Yu Mincho" w:hAnsi="Times New Roman" w:cs="Times New Roman"/>
          <w:noProof/>
          <w:sz w:val="24"/>
          <w:szCs w:val="24"/>
        </w:rPr>
      </w:pPr>
      <w:r>
        <w:rPr>
          <w:rFonts w:ascii="Times New Roman" w:hAnsi="Times New Roman"/>
          <w:b/>
          <w:noProof/>
          <w:sz w:val="24"/>
        </w:rPr>
        <w:t>Grupurile bancare din UE trebuie să respecte cerințele prudențiale la toate nivelurile, de la societatea-mamă principală până la fiecare filială în parte.</w:t>
      </w:r>
      <w:r>
        <w:rPr>
          <w:rFonts w:ascii="Times New Roman" w:hAnsi="Times New Roman"/>
          <w:noProof/>
          <w:sz w:val="24"/>
        </w:rPr>
        <w:t xml:space="preserve"> Legislația UE permite excepții de la aceste norme, în special atunci când filiala este situată în același stat membru ca societatea-mamă. Cerințele prudențiale aplicabile grupurilor transfrontaliere oferă asigurări statelor membre gazdă în ceea ce privește preocupările locale legate de stabilitatea financiară, însă pot împiedica alocarea eficientă a resurselor în cadrul acestor grupuri și pot afecta, în cele din urmă, performanța și reziliența lor de ansamblu. Autoritățile de supraveghere a grupurilor transfrontaliere ar trebui să dispună de competențele necesare pentru a se asigura că lichiditățile și capitalul sunt distribuite mai eficient între societatea-mamă și filialele sale, inclusiv în situații de criză. Aceasta ar permite o alocare mai eficientă a resurselor în cadrul grupurilor bancare transfrontaliere, oferind mai multe oportunități de realizare a economiilor de scară și de diversificare a riscurilor (în special în ceea ce privește expunerile suverane</w:t>
      </w:r>
      <w:r w:rsidR="002730B3" w:rsidRPr="00B33098">
        <w:rPr>
          <w:rStyle w:val="FootnoteReference"/>
          <w:rFonts w:ascii="Times New Roman" w:eastAsia="Yu Mincho" w:hAnsi="Times New Roman" w:cs="Times New Roman"/>
          <w:noProof/>
          <w:sz w:val="24"/>
          <w:szCs w:val="24"/>
          <w:lang w:val="en-IE"/>
        </w:rPr>
        <w:footnoteReference w:id="17"/>
      </w:r>
      <w:r>
        <w:rPr>
          <w:rFonts w:ascii="Times New Roman" w:hAnsi="Times New Roman"/>
          <w:noProof/>
          <w:sz w:val="24"/>
        </w:rPr>
        <w:t xml:space="preserve">) și reducând costurile pentru gospodării și întreprinderi. Astfel de beneficii ar spori competitivitatea sectorului bancar în ansamblu și ar sprijini finanțarea priorităților-cheie ale UE. Modul în care grupurile transfrontaliere își structurează operațiunile ar trebui să se bazeze pe decizii comerciale, în conformitate cu cerințele prudențiale și cu normele în materie de concurență și să nu fie supus unor ingerințe nejustificate ale autorităților naționale. </w:t>
      </w:r>
    </w:p>
    <w:p w14:paraId="4750BCE1" w14:textId="644F131D" w:rsidR="00C42D94" w:rsidRPr="00B33098" w:rsidRDefault="008255C0" w:rsidP="00003B64">
      <w:pPr>
        <w:spacing w:line="276" w:lineRule="auto"/>
        <w:jc w:val="both"/>
        <w:rPr>
          <w:rFonts w:ascii="Times New Roman" w:eastAsia="Yu Mincho" w:hAnsi="Times New Roman" w:cs="Times New Roman"/>
          <w:noProof/>
          <w:sz w:val="24"/>
          <w:szCs w:val="24"/>
        </w:rPr>
      </w:pPr>
      <w:r>
        <w:rPr>
          <w:rFonts w:ascii="Times New Roman" w:hAnsi="Times New Roman"/>
          <w:noProof/>
          <w:sz w:val="24"/>
        </w:rPr>
        <w:t>În acest context, Comisia:</w:t>
      </w:r>
    </w:p>
    <w:p w14:paraId="676E8A3E" w14:textId="386F5DE3" w:rsidR="00970A3B" w:rsidRPr="00B33098" w:rsidRDefault="008255C0" w:rsidP="004F61AC">
      <w:pPr>
        <w:pStyle w:val="ListParagraph"/>
        <w:numPr>
          <w:ilvl w:val="0"/>
          <w:numId w:val="17"/>
        </w:numPr>
        <w:spacing w:after="120" w:line="276" w:lineRule="auto"/>
        <w:ind w:left="714" w:hanging="357"/>
        <w:contextualSpacing w:val="0"/>
        <w:jc w:val="both"/>
        <w:rPr>
          <w:rFonts w:ascii="Times New Roman" w:hAnsi="Times New Roman" w:cs="Times New Roman"/>
          <w:noProof/>
          <w:sz w:val="24"/>
          <w:szCs w:val="24"/>
        </w:rPr>
      </w:pPr>
      <w:r>
        <w:rPr>
          <w:rFonts w:ascii="Times New Roman" w:hAnsi="Times New Roman"/>
          <w:b/>
          <w:i/>
          <w:noProof/>
          <w:sz w:val="24"/>
        </w:rPr>
        <w:t>va propune măsuri care să permită grupurilor transfrontaliere să sporească eficiența alocării capitalului și a lichidităților. Autoritățile de supraveghere la nivel de grup ar trebui să aibă competența de a se asigura că cerințele sunt îndeplinite la nivelul societății-mamă și de a impune acesteia să aloce filialelor resurse suficiente, în timp util și cu caracter executoriu, atât în condiții normale de activitate, cât și în situații de criză. Exercitarea acestor competențe ar trebui să țină seama de diversitatea grupurilor bancare transfrontaliere, inclusiv de natura și reziliența filialelor, precum și de gradul de integrare și de angajamentele asumate la nivelul fiecărui grup</w:t>
      </w:r>
      <w:r>
        <w:rPr>
          <w:rFonts w:ascii="Times New Roman" w:hAnsi="Times New Roman"/>
          <w:noProof/>
          <w:sz w:val="24"/>
        </w:rPr>
        <w:t xml:space="preserve">. </w:t>
      </w:r>
      <w:r>
        <w:rPr>
          <w:rFonts w:ascii="Times New Roman" w:hAnsi="Times New Roman"/>
          <w:b/>
          <w:i/>
          <w:noProof/>
          <w:sz w:val="24"/>
        </w:rPr>
        <w:t>De asemenea, exercitarea acestor competențe ar trebui să fie însoțită de garanții adecvate privind protecția creditorilor și a deponenților;</w:t>
      </w:r>
    </w:p>
    <w:p w14:paraId="048431D9" w14:textId="44B96526" w:rsidR="00C0598D" w:rsidRPr="00B33098" w:rsidRDefault="008255C0" w:rsidP="00DF25B6">
      <w:pPr>
        <w:pStyle w:val="ListParagraph"/>
        <w:numPr>
          <w:ilvl w:val="0"/>
          <w:numId w:val="17"/>
        </w:numPr>
        <w:spacing w:after="120" w:line="276" w:lineRule="auto"/>
        <w:contextualSpacing w:val="0"/>
        <w:jc w:val="both"/>
        <w:rPr>
          <w:rFonts w:ascii="Times New Roman" w:hAnsi="Times New Roman" w:cs="Times New Roman"/>
          <w:b/>
          <w:bCs/>
          <w:i/>
          <w:iCs/>
          <w:noProof/>
          <w:sz w:val="24"/>
          <w:szCs w:val="24"/>
        </w:rPr>
      </w:pPr>
      <w:r>
        <w:rPr>
          <w:rFonts w:ascii="Times New Roman" w:hAnsi="Times New Roman"/>
          <w:b/>
          <w:i/>
          <w:noProof/>
          <w:sz w:val="24"/>
        </w:rPr>
        <w:t>va propune măsuri pentru aplicarea unui tratament de reglementare similar expunerilor intragrup</w:t>
      </w:r>
      <w:r w:rsidR="007E7338" w:rsidRPr="00B33098">
        <w:rPr>
          <w:rStyle w:val="FootnoteReference"/>
          <w:rFonts w:ascii="Times New Roman" w:hAnsi="Times New Roman" w:cs="Times New Roman"/>
          <w:b/>
          <w:bCs/>
          <w:i/>
          <w:iCs/>
          <w:noProof/>
          <w:sz w:val="24"/>
          <w:szCs w:val="24"/>
          <w:lang w:val="en-IE"/>
        </w:rPr>
        <w:footnoteReference w:id="18"/>
      </w:r>
      <w:r>
        <w:rPr>
          <w:rFonts w:ascii="Times New Roman" w:hAnsi="Times New Roman"/>
          <w:b/>
          <w:i/>
          <w:noProof/>
          <w:sz w:val="24"/>
        </w:rPr>
        <w:t>, atât la nivel național, cât și la nivelul UE;</w:t>
      </w:r>
    </w:p>
    <w:p w14:paraId="3654538A" w14:textId="232EF1E6" w:rsidR="002834CB" w:rsidRPr="00B33098" w:rsidRDefault="00B76116" w:rsidP="004F61AC">
      <w:pPr>
        <w:pStyle w:val="ListParagraph"/>
        <w:numPr>
          <w:ilvl w:val="0"/>
          <w:numId w:val="17"/>
        </w:numPr>
        <w:spacing w:after="120" w:line="276" w:lineRule="auto"/>
        <w:ind w:left="714" w:hanging="357"/>
        <w:contextualSpacing w:val="0"/>
        <w:jc w:val="both"/>
        <w:rPr>
          <w:rFonts w:ascii="Times New Roman" w:hAnsi="Times New Roman" w:cs="Times New Roman"/>
          <w:noProof/>
          <w:sz w:val="24"/>
          <w:szCs w:val="24"/>
        </w:rPr>
      </w:pPr>
      <w:r>
        <w:rPr>
          <w:rFonts w:ascii="Times New Roman" w:hAnsi="Times New Roman"/>
          <w:b/>
          <w:i/>
          <w:noProof/>
          <w:sz w:val="24"/>
        </w:rPr>
        <w:t>va propune măsuri suplimentare pentru gestionarea riscului de concentrare excesivă a expunerilor suverane și pentru încurajarea în continuare a diversificării de către bănci a portofoliilor de obligațiuni suverane</w:t>
      </w:r>
      <w:r>
        <w:rPr>
          <w:rFonts w:ascii="Times New Roman" w:hAnsi="Times New Roman"/>
          <w:noProof/>
          <w:sz w:val="24"/>
        </w:rPr>
        <w:t xml:space="preserve">; </w:t>
      </w:r>
    </w:p>
    <w:p w14:paraId="4800F37E" w14:textId="5B02CB36" w:rsidR="00196877" w:rsidRPr="00B33098" w:rsidRDefault="008255C0" w:rsidP="00366BCB">
      <w:pPr>
        <w:pStyle w:val="ListParagraph"/>
        <w:numPr>
          <w:ilvl w:val="0"/>
          <w:numId w:val="17"/>
        </w:numPr>
        <w:spacing w:after="120" w:line="276" w:lineRule="auto"/>
        <w:ind w:left="714" w:hanging="357"/>
        <w:contextualSpacing w:val="0"/>
        <w:jc w:val="both"/>
        <w:rPr>
          <w:rFonts w:ascii="Times New Roman" w:hAnsi="Times New Roman" w:cs="Times New Roman"/>
          <w:noProof/>
          <w:sz w:val="24"/>
          <w:szCs w:val="24"/>
        </w:rPr>
      </w:pPr>
      <w:r>
        <w:rPr>
          <w:rFonts w:ascii="Times New Roman" w:hAnsi="Times New Roman"/>
          <w:b/>
          <w:i/>
          <w:noProof/>
          <w:sz w:val="24"/>
        </w:rPr>
        <w:t>va utiliza instrumentele de asigurare a respectării legislației de care dispune atunci când identifică încălcări ale dreptului Uniunii de către statele membre, în special în ceea ce privește intervențiile în fuziuni și achiziții care riscă să submineze libera circulație a serviciilor și a capitalurilor, precum și libertatea de stabilire prevăzută în Tratatul privind funcționarea Uniunii Europene</w:t>
      </w:r>
      <w:r>
        <w:rPr>
          <w:rFonts w:ascii="Times New Roman" w:hAnsi="Times New Roman"/>
          <w:noProof/>
          <w:sz w:val="24"/>
        </w:rPr>
        <w:t>.</w:t>
      </w:r>
      <w:r>
        <w:rPr>
          <w:rFonts w:ascii="Times New Roman" w:hAnsi="Times New Roman"/>
          <w:b/>
          <w:i/>
          <w:noProof/>
          <w:sz w:val="24"/>
        </w:rPr>
        <w:t xml:space="preserve"> Noul proiect de orientări privind concentrările economice</w:t>
      </w:r>
      <w:r w:rsidR="006D0074" w:rsidRPr="00B33098">
        <w:rPr>
          <w:rStyle w:val="FootnoteReference"/>
          <w:rFonts w:ascii="Times New Roman" w:eastAsia="Yu Mincho" w:hAnsi="Times New Roman" w:cs="Times New Roman"/>
          <w:b/>
          <w:i/>
          <w:noProof/>
          <w:sz w:val="24"/>
          <w:szCs w:val="24"/>
          <w:lang w:val="en-IE"/>
        </w:rPr>
        <w:footnoteReference w:id="19"/>
      </w:r>
      <w:r>
        <w:rPr>
          <w:rFonts w:ascii="Times New Roman" w:hAnsi="Times New Roman"/>
          <w:b/>
          <w:i/>
          <w:noProof/>
          <w:sz w:val="24"/>
        </w:rPr>
        <w:t xml:space="preserve"> oferă, de asemenea, statelor membre orientări mai clare cu privire la circumstanțele în care pot interveni în tranzacțiile care fac obiectul controlului concentrărilor economice la nivelul UE.</w:t>
      </w:r>
    </w:p>
    <w:p w14:paraId="0D3166CD" w14:textId="76649F16" w:rsidR="00FB1D36" w:rsidRPr="000E3801" w:rsidRDefault="00FB1D36" w:rsidP="00F67804">
      <w:pPr>
        <w:pStyle w:val="ListParagraph"/>
        <w:spacing w:after="120" w:line="276" w:lineRule="auto"/>
        <w:ind w:left="714"/>
        <w:contextualSpacing w:val="0"/>
        <w:jc w:val="both"/>
        <w:rPr>
          <w:rFonts w:ascii="Times New Roman" w:hAnsi="Times New Roman"/>
          <w:noProof/>
          <w:sz w:val="24"/>
        </w:rPr>
      </w:pPr>
    </w:p>
    <w:p w14:paraId="27268E18" w14:textId="5FC5EFBC" w:rsidR="00D23E5D" w:rsidRPr="00B33098" w:rsidRDefault="00D23E5D" w:rsidP="00D23E5D">
      <w:pPr>
        <w:pStyle w:val="ListParagraph"/>
        <w:numPr>
          <w:ilvl w:val="0"/>
          <w:numId w:val="45"/>
        </w:numPr>
        <w:spacing w:line="276" w:lineRule="auto"/>
        <w:jc w:val="both"/>
        <w:rPr>
          <w:rFonts w:ascii="Times New Roman" w:eastAsia="Yu Mincho" w:hAnsi="Times New Roman" w:cs="Times New Roman"/>
          <w:b/>
          <w:bCs/>
          <w:i/>
          <w:iCs/>
          <w:noProof/>
          <w:sz w:val="28"/>
          <w:szCs w:val="28"/>
        </w:rPr>
      </w:pPr>
      <w:r>
        <w:rPr>
          <w:rFonts w:ascii="Times New Roman" w:hAnsi="Times New Roman"/>
          <w:b/>
          <w:i/>
          <w:noProof/>
          <w:sz w:val="28"/>
        </w:rPr>
        <w:t>Asigurarea unor garanții adecvate</w:t>
      </w:r>
    </w:p>
    <w:p w14:paraId="44155726" w14:textId="0BF9A45D" w:rsidR="00216496" w:rsidRPr="00B33098" w:rsidRDefault="00D23E5D" w:rsidP="00D23E5D">
      <w:pPr>
        <w:spacing w:line="276" w:lineRule="auto"/>
        <w:jc w:val="both"/>
        <w:rPr>
          <w:rFonts w:ascii="Times New Roman" w:eastAsia="Yu Mincho" w:hAnsi="Times New Roman" w:cs="Times New Roman"/>
          <w:noProof/>
          <w:sz w:val="24"/>
          <w:szCs w:val="24"/>
        </w:rPr>
      </w:pPr>
      <w:r>
        <w:rPr>
          <w:rFonts w:ascii="Times New Roman" w:hAnsi="Times New Roman"/>
          <w:b/>
          <w:noProof/>
          <w:sz w:val="24"/>
        </w:rPr>
        <w:t>Măsurile menite să elimine barierele prudențiale din calea integrării trebuie să fie însoțite de garanții adecvate care să asigure stabilitatea financiară în întreaga UE.</w:t>
      </w:r>
      <w:r>
        <w:rPr>
          <w:rFonts w:ascii="Times New Roman" w:hAnsi="Times New Roman"/>
          <w:noProof/>
          <w:sz w:val="24"/>
        </w:rPr>
        <w:t xml:space="preserve"> Persistă preocupări cu privire la posibilitatea ca filialele grupurilor bancare transfrontaliere să se confrunte cu deficite de capital și de lichiditate, în special în perioade de criză, iar autoritățile naționale să fie nevoite să gestioneze intrarea acestora în dificultate fără un sprijin suficient din partea societății-mamă. </w:t>
      </w:r>
    </w:p>
    <w:p w14:paraId="76CBD970" w14:textId="50012DE5" w:rsidR="00F5301B" w:rsidRPr="00B33098" w:rsidRDefault="00D23E5D" w:rsidP="00D23E5D">
      <w:pPr>
        <w:spacing w:line="276" w:lineRule="auto"/>
        <w:jc w:val="both"/>
        <w:rPr>
          <w:rFonts w:ascii="Times New Roman" w:eastAsia="Yu Mincho" w:hAnsi="Times New Roman" w:cs="Times New Roman"/>
          <w:noProof/>
          <w:sz w:val="24"/>
          <w:szCs w:val="24"/>
        </w:rPr>
      </w:pPr>
      <w:r>
        <w:rPr>
          <w:rFonts w:ascii="Times New Roman" w:hAnsi="Times New Roman"/>
          <w:noProof/>
          <w:sz w:val="24"/>
        </w:rPr>
        <w:t xml:space="preserve">Multe grupuri transfrontaliere funcționează pe baza unei strategii de rezoluție </w:t>
      </w:r>
      <w:r>
        <w:rPr>
          <w:rFonts w:ascii="Times New Roman" w:hAnsi="Times New Roman"/>
          <w:i/>
          <w:noProof/>
          <w:sz w:val="24"/>
        </w:rPr>
        <w:t>cu un singur punct de intrare</w:t>
      </w:r>
      <w:r>
        <w:rPr>
          <w:rFonts w:ascii="Times New Roman" w:hAnsi="Times New Roman"/>
          <w:noProof/>
          <w:sz w:val="24"/>
        </w:rPr>
        <w:t xml:space="preserve">, în cadrul căreia măsurile de gestionare a crizelor sunt aplicate la nivelul societății-mamă, iar filialele sunt sprijinite prin transferarea pierderilor în amonte către aceasta și a capitalului în aval către filiale. Dacă sprijinul la nivelul grupului nu se materializează, filialele </w:t>
      </w:r>
      <w:r>
        <w:rPr>
          <w:rFonts w:ascii="Times New Roman" w:hAnsi="Times New Roman"/>
          <w:b/>
          <w:noProof/>
          <w:sz w:val="24"/>
        </w:rPr>
        <w:t>–</w:t>
      </w:r>
      <w:r>
        <w:rPr>
          <w:rFonts w:ascii="Times New Roman" w:hAnsi="Times New Roman"/>
          <w:noProof/>
          <w:sz w:val="24"/>
        </w:rPr>
        <w:t xml:space="preserve"> în special cele care au importanță pentru economiile locale </w:t>
      </w:r>
      <w:r>
        <w:rPr>
          <w:rFonts w:ascii="Times New Roman" w:hAnsi="Times New Roman"/>
          <w:b/>
          <w:noProof/>
          <w:sz w:val="24"/>
        </w:rPr>
        <w:t>–</w:t>
      </w:r>
      <w:r>
        <w:rPr>
          <w:rFonts w:ascii="Times New Roman" w:hAnsi="Times New Roman"/>
          <w:noProof/>
          <w:sz w:val="24"/>
        </w:rPr>
        <w:t xml:space="preserve"> ar putea rămâne vulnerabile, ceea ce ar putea impune intervenția schemei naționale de garantare a depozitelor (SGD)</w:t>
      </w:r>
      <w:r w:rsidRPr="00B33098">
        <w:rPr>
          <w:rStyle w:val="FootnoteReference"/>
          <w:rFonts w:ascii="Times New Roman" w:eastAsia="Yu Mincho" w:hAnsi="Times New Roman" w:cs="Times New Roman"/>
          <w:noProof/>
          <w:sz w:val="24"/>
          <w:szCs w:val="24"/>
          <w:lang w:val="en-IE"/>
        </w:rPr>
        <w:footnoteReference w:id="20"/>
      </w:r>
      <w:r>
        <w:rPr>
          <w:rFonts w:ascii="Times New Roman" w:hAnsi="Times New Roman"/>
          <w:noProof/>
          <w:sz w:val="24"/>
        </w:rPr>
        <w:t>. Gestionarea acestor riscuri presupune consolidarea încrederii între autorități, prin asigurarea faptului că planurile de capital, de lichiditate, de redresare și de rezoluție sunt suficient de solide pentru a menține furnizarea adecvată a serviciilor și pentru a preveni rezultatele necontrolate. De asemenea, ar fi necesare mecanisme care să asigure soliditatea financiară a grupului transfrontalier în ansamblu după ieșirea din rezoluție și în procesul de redobândire a accesului la piețele financiare. MUS și MUR, sprijinite de cadrul unic de reglementare, sunt bine plasate pentru a oferi aceste garanții. Trei sferturi din depozitele garantate din uniunea bancară se află în prezent sub supravegherea directă a MUS și a SRB și sunt deținute la bănci pentru care este prevăzută rezoluția la nivelul UE, în locul lichidării în cadrul procedurilor naționale de insolvență. Aceste bănci dispun de o capacitate adecvată de absorbție a pierderilor și pot beneficia, în principiu, de acces la FUR, care asigură deja un grad ridicat de mutualizare a pierderilor în cadrul sectorului bancar.</w:t>
      </w:r>
      <w:r w:rsidR="000E3801">
        <w:rPr>
          <w:rFonts w:ascii="Times New Roman" w:hAnsi="Times New Roman"/>
          <w:noProof/>
          <w:sz w:val="24"/>
        </w:rPr>
        <w:t xml:space="preserve"> </w:t>
      </w:r>
      <w:r>
        <w:rPr>
          <w:rFonts w:ascii="Times New Roman" w:hAnsi="Times New Roman"/>
          <w:noProof/>
          <w:sz w:val="24"/>
        </w:rPr>
        <w:t>În același timp, Comisia va acorda atenția cuvenită statelor membre care nu fac parte din uniunea bancară și care funcționează în cadrul unor mecanisme instituționale diferite.</w:t>
      </w:r>
    </w:p>
    <w:p w14:paraId="0D25F8AD" w14:textId="669B81B5" w:rsidR="00D23E5D" w:rsidRPr="00B33098" w:rsidRDefault="00D23E5D" w:rsidP="00D23E5D">
      <w:pPr>
        <w:spacing w:line="276" w:lineRule="auto"/>
        <w:jc w:val="both"/>
        <w:rPr>
          <w:rFonts w:ascii="Times New Roman" w:eastAsia="Yu Mincho" w:hAnsi="Times New Roman" w:cs="Times New Roman"/>
          <w:noProof/>
          <w:sz w:val="24"/>
          <w:szCs w:val="24"/>
        </w:rPr>
      </w:pPr>
      <w:r>
        <w:rPr>
          <w:rFonts w:ascii="Times New Roman" w:hAnsi="Times New Roman"/>
          <w:noProof/>
          <w:sz w:val="24"/>
        </w:rPr>
        <w:t>În acest context, Comisia:</w:t>
      </w:r>
    </w:p>
    <w:p w14:paraId="04C1C30B" w14:textId="25874FBC" w:rsidR="00D23E5D" w:rsidRPr="00B33098" w:rsidRDefault="00D23E5D" w:rsidP="00D23E5D">
      <w:pPr>
        <w:pStyle w:val="ListParagraph"/>
        <w:numPr>
          <w:ilvl w:val="0"/>
          <w:numId w:val="46"/>
        </w:numPr>
        <w:spacing w:after="120" w:line="276" w:lineRule="auto"/>
        <w:contextualSpacing w:val="0"/>
        <w:jc w:val="both"/>
        <w:rPr>
          <w:rFonts w:ascii="Times New Roman" w:hAnsi="Times New Roman" w:cs="Times New Roman"/>
          <w:b/>
          <w:bCs/>
          <w:i/>
          <w:iCs/>
          <w:noProof/>
          <w:sz w:val="24"/>
          <w:szCs w:val="24"/>
        </w:rPr>
      </w:pPr>
      <w:bookmarkStart w:id="9" w:name="_Hlk234778644"/>
      <w:r>
        <w:rPr>
          <w:rFonts w:ascii="Times New Roman" w:hAnsi="Times New Roman"/>
          <w:b/>
          <w:i/>
          <w:noProof/>
          <w:sz w:val="24"/>
        </w:rPr>
        <w:t>va înlocui propunerea din 2015 privind sistemul european de asigurare a depozitelor (EDIS) cu o nouă propunere de revizuire și simplificare a structurii cadrului de asigurare a depozitelor, în vederea unei mai bune alinieri a responsabilităților și a finanțării măsurilor de gestionare a crizelor și de asigurare a depozitelor, în cadrul plaselor de siguranță existente ale uniunii bancare, atât la nivel central, cât și la nivel național. Propunerea va aborda, de asemenea, vulnerabilitățile rămase ale SGD-urilor la deficitele de lichiditate. Obiectivul va fi de a asigura faptul că intrarea în dificultate a unui grup transfrontalier nu va genera denaturări în niciun stat membru sau pasive pentru SGD-uri sau pentru bugetele naționale și de a asigura o protecție egală a depozitelor garantate în întreaga uniune bancară. În ansamblu, propunerea va reduce complexitatea generată de actuala delimitare a rolurilor dintre schemele de garantare a depozitelor și fondurile de rezoluție;</w:t>
      </w:r>
    </w:p>
    <w:bookmarkEnd w:id="9"/>
    <w:p w14:paraId="18642755" w14:textId="77777777" w:rsidR="00D23E5D" w:rsidRPr="00B33098" w:rsidRDefault="00D23E5D" w:rsidP="00D23E5D">
      <w:pPr>
        <w:pStyle w:val="ListParagraph"/>
        <w:numPr>
          <w:ilvl w:val="0"/>
          <w:numId w:val="46"/>
        </w:numPr>
        <w:spacing w:after="120" w:line="276" w:lineRule="auto"/>
        <w:contextualSpacing w:val="0"/>
        <w:jc w:val="both"/>
        <w:rPr>
          <w:rFonts w:ascii="Times New Roman" w:hAnsi="Times New Roman" w:cs="Times New Roman"/>
          <w:b/>
          <w:bCs/>
          <w:i/>
          <w:iCs/>
          <w:noProof/>
          <w:sz w:val="24"/>
          <w:szCs w:val="24"/>
        </w:rPr>
      </w:pPr>
      <w:r>
        <w:rPr>
          <w:rFonts w:ascii="Times New Roman" w:hAnsi="Times New Roman"/>
          <w:b/>
          <w:i/>
          <w:noProof/>
          <w:sz w:val="24"/>
        </w:rPr>
        <w:t>va propune măsuri pentru îmbunătățirea previzibilității strategiilor de rezoluție a grupurilor și pentru sprijinirea unei alocări mai integrate a fondurilor în cadrul grupurilor transfrontaliere, inclusiv în perioade de criză;</w:t>
      </w:r>
    </w:p>
    <w:p w14:paraId="5545B368" w14:textId="77777777" w:rsidR="00D23E5D" w:rsidRPr="00B33098" w:rsidRDefault="00D23E5D" w:rsidP="00D23E5D">
      <w:pPr>
        <w:pStyle w:val="ListParagraph"/>
        <w:numPr>
          <w:ilvl w:val="0"/>
          <w:numId w:val="46"/>
        </w:numPr>
        <w:spacing w:after="120" w:line="276" w:lineRule="auto"/>
        <w:contextualSpacing w:val="0"/>
        <w:jc w:val="both"/>
        <w:rPr>
          <w:rFonts w:ascii="Times New Roman" w:hAnsi="Times New Roman" w:cs="Times New Roman"/>
          <w:b/>
          <w:bCs/>
          <w:i/>
          <w:iCs/>
          <w:noProof/>
          <w:sz w:val="24"/>
          <w:szCs w:val="24"/>
        </w:rPr>
      </w:pPr>
      <w:r>
        <w:rPr>
          <w:rFonts w:ascii="Times New Roman" w:hAnsi="Times New Roman"/>
          <w:b/>
          <w:i/>
          <w:noProof/>
          <w:sz w:val="24"/>
        </w:rPr>
        <w:t xml:space="preserve">va sprijini eforturile în curs ale instituțiilor relevante și ale statelor membre în vederea consolidării unor mecanisme credibile și previzibile de sprijin pentru asigurarea lichidității în cadrul rezoluției, însoțite de garanții adecvate, în concordanță cu dimensiunea europeană a rezoluției și a supravegherii în cadrul uniunii bancare, precum și cu standardele internaționale; </w:t>
      </w:r>
    </w:p>
    <w:p w14:paraId="24CD318D" w14:textId="77777777" w:rsidR="005C74B3" w:rsidRPr="000E3801" w:rsidRDefault="005C74B3" w:rsidP="00F67804">
      <w:pPr>
        <w:pStyle w:val="ListParagraph"/>
        <w:spacing w:after="120" w:line="276" w:lineRule="auto"/>
        <w:ind w:left="714"/>
        <w:contextualSpacing w:val="0"/>
        <w:jc w:val="both"/>
        <w:rPr>
          <w:rFonts w:ascii="Times New Roman" w:hAnsi="Times New Roman"/>
          <w:noProof/>
          <w:sz w:val="24"/>
        </w:rPr>
      </w:pPr>
    </w:p>
    <w:p w14:paraId="596EA9B3" w14:textId="4B823D6A" w:rsidR="005C74B3" w:rsidRPr="00B33098" w:rsidRDefault="005C74B3" w:rsidP="005C74B3">
      <w:pPr>
        <w:pStyle w:val="ListParagraph"/>
        <w:numPr>
          <w:ilvl w:val="0"/>
          <w:numId w:val="47"/>
        </w:numPr>
        <w:spacing w:line="276" w:lineRule="auto"/>
        <w:jc w:val="both"/>
        <w:rPr>
          <w:rFonts w:ascii="Times New Roman" w:eastAsia="Yu Mincho" w:hAnsi="Times New Roman" w:cs="Times New Roman"/>
          <w:b/>
          <w:bCs/>
          <w:i/>
          <w:iCs/>
          <w:noProof/>
          <w:sz w:val="28"/>
          <w:szCs w:val="28"/>
        </w:rPr>
      </w:pPr>
      <w:r>
        <w:rPr>
          <w:rFonts w:ascii="Times New Roman" w:hAnsi="Times New Roman"/>
          <w:b/>
          <w:i/>
          <w:noProof/>
          <w:sz w:val="28"/>
        </w:rPr>
        <w:t>Eliminarea barierelor neprudențiale din calea integrării</w:t>
      </w:r>
    </w:p>
    <w:p w14:paraId="4F38FE99" w14:textId="1C9AC75C" w:rsidR="006B03FC" w:rsidRPr="00B33098" w:rsidRDefault="005C74B3" w:rsidP="006B03FC">
      <w:pPr>
        <w:jc w:val="both"/>
        <w:rPr>
          <w:noProof/>
        </w:rPr>
      </w:pPr>
      <w:r>
        <w:rPr>
          <w:rFonts w:ascii="Times New Roman" w:hAnsi="Times New Roman"/>
          <w:b/>
          <w:noProof/>
          <w:sz w:val="24"/>
        </w:rPr>
        <w:t xml:space="preserve">Există, de asemenea, bariere neprudențiale în calea integrării, a căror gestionare este costisitoare pentru băncile care desfășoară activități transfrontaliere. </w:t>
      </w:r>
      <w:r>
        <w:rPr>
          <w:rFonts w:ascii="Times New Roman" w:hAnsi="Times New Roman"/>
          <w:noProof/>
          <w:sz w:val="24"/>
        </w:rPr>
        <w:t xml:space="preserve">În absența unui cadru armonizat la nivelul UE, legislațiile naționale în materie de insolvență rămân fragmentate și continuă să limiteze operațiunile transfrontaliere ale băncilor, de exemplu în ceea ce privește aspectele care afectează executarea garanțiilor aferente creditelor în temeiul dreptului falimentului. Colegiuitorii au înregistrat progrese în privința unor aspecte specifice, de exemplu prin stabilirea unei ierarhii uniforme a creditorilor în cadrul normelor privind gestionarea crizelor și asigurarea depozitelor (CMDI). Totuși, până în prezent, demersurile mai ample și mai ambițioase de armonizare a legislațiilor în materie de insolvență la nivelul Uniunii nu au întrunit consensul statelor membre. Comisia este pregătită și își menține angajamentul de a continua eforturile în vederea unei armonizări mai ample a legislațiilor în materie de insolvență. </w:t>
      </w:r>
    </w:p>
    <w:p w14:paraId="08D5BEB5" w14:textId="5C438493" w:rsidR="00C20B2D" w:rsidRPr="00B33098" w:rsidRDefault="005C74B3" w:rsidP="005C74B3">
      <w:pPr>
        <w:spacing w:line="276" w:lineRule="auto"/>
        <w:jc w:val="both"/>
        <w:rPr>
          <w:rFonts w:ascii="Times New Roman" w:hAnsi="Times New Roman" w:cs="Times New Roman"/>
          <w:noProof/>
          <w:sz w:val="24"/>
          <w:szCs w:val="24"/>
        </w:rPr>
      </w:pPr>
      <w:r>
        <w:rPr>
          <w:rFonts w:ascii="Times New Roman" w:hAnsi="Times New Roman"/>
          <w:noProof/>
          <w:sz w:val="24"/>
        </w:rPr>
        <w:t>Normele privind combaterea spălării banilor (CSB) și anumite norme de protecție a consumatorilor au fost armonizate în mare măsură la nivelul UE, dar sunt adesea aplicate diferit de la un stat membru la altul. Au fost depuse eforturi legislative suplimentare pentru sporirea gradului de armonizare, de exemplu prin recenta instituire a Autorității pentru Combaterea Spălării Banilor (ACSB) și prin noua Directivă privind creditele de consum, aplicabilă de la 20</w:t>
      </w:r>
      <w:r w:rsidR="002743D9">
        <w:rPr>
          <w:rFonts w:ascii="Times New Roman" w:hAnsi="Times New Roman"/>
          <w:noProof/>
          <w:sz w:val="24"/>
        </w:rPr>
        <w:t> </w:t>
      </w:r>
      <w:r>
        <w:rPr>
          <w:rFonts w:ascii="Times New Roman" w:hAnsi="Times New Roman"/>
          <w:noProof/>
          <w:sz w:val="24"/>
        </w:rPr>
        <w:t>noiembrie 2026</w:t>
      </w:r>
      <w:r w:rsidR="005D0840" w:rsidRPr="00B33098">
        <w:rPr>
          <w:rStyle w:val="FootnoteReference"/>
          <w:rFonts w:ascii="Times New Roman" w:hAnsi="Times New Roman" w:cs="Times New Roman"/>
          <w:noProof/>
          <w:sz w:val="24"/>
          <w:szCs w:val="24"/>
          <w:lang w:val="en-IE"/>
        </w:rPr>
        <w:footnoteReference w:id="21"/>
      </w:r>
      <w:r>
        <w:rPr>
          <w:rFonts w:ascii="Times New Roman" w:hAnsi="Times New Roman"/>
          <w:noProof/>
          <w:sz w:val="24"/>
        </w:rPr>
        <w:t>.</w:t>
      </w:r>
    </w:p>
    <w:p w14:paraId="13772B76" w14:textId="081E7EE4" w:rsidR="003D7A66" w:rsidRPr="00B33098" w:rsidRDefault="00325BD0" w:rsidP="005C74B3">
      <w:pPr>
        <w:spacing w:line="276" w:lineRule="auto"/>
        <w:jc w:val="both"/>
        <w:rPr>
          <w:rFonts w:ascii="Times New Roman" w:hAnsi="Times New Roman" w:cs="Times New Roman"/>
          <w:noProof/>
          <w:sz w:val="24"/>
          <w:szCs w:val="24"/>
        </w:rPr>
      </w:pPr>
      <w:r>
        <w:rPr>
          <w:rFonts w:ascii="Times New Roman" w:hAnsi="Times New Roman"/>
          <w:noProof/>
          <w:sz w:val="24"/>
        </w:rPr>
        <w:t xml:space="preserve">Barierele neprudențiale pot descuraja băncile să ofere produse bancare paneuropene – cum ar fi depozitele sau creditele pentru persoane fizice – și pot genera costuri suplimentare, în special din cauza sistemelor informatice care trebuie adaptate la cele 27 de ordini juridice naționale diferite. Digitalizarea și progresele tehnologice în furnizarea serviciilor bancare (și anume serviciile bancare deschise, tokenizarea activelor, impactul inteligenței artificiale, inclusiv accesul la date de înaltă calitate, precum și adaptarea normelor la noi modele de afaceri, cum ar fi platformele de depozite, aplicațiile destinate clienților și portofelele electronice) pot spori competitivitatea. </w:t>
      </w:r>
    </w:p>
    <w:p w14:paraId="05711578" w14:textId="1DB3BD70" w:rsidR="005C74B3" w:rsidRPr="00B33098" w:rsidRDefault="005C74B3" w:rsidP="005C74B3">
      <w:pPr>
        <w:spacing w:line="276" w:lineRule="auto"/>
        <w:jc w:val="both"/>
        <w:rPr>
          <w:rFonts w:ascii="Times New Roman" w:hAnsi="Times New Roman" w:cs="Times New Roman"/>
          <w:b/>
          <w:bCs/>
          <w:noProof/>
          <w:color w:val="FF0000"/>
          <w:sz w:val="24"/>
          <w:szCs w:val="24"/>
        </w:rPr>
      </w:pPr>
      <w:r>
        <w:rPr>
          <w:rFonts w:ascii="Times New Roman" w:hAnsi="Times New Roman"/>
          <w:noProof/>
          <w:sz w:val="24"/>
        </w:rPr>
        <w:t>În acest context, Comisia:</w:t>
      </w:r>
    </w:p>
    <w:p w14:paraId="5E513D1C" w14:textId="29BED47C" w:rsidR="005C74B3" w:rsidRPr="00B33098" w:rsidRDefault="000B399E" w:rsidP="00835196">
      <w:pPr>
        <w:pStyle w:val="ListParagraph"/>
        <w:numPr>
          <w:ilvl w:val="0"/>
          <w:numId w:val="48"/>
        </w:numPr>
        <w:spacing w:after="120" w:line="276" w:lineRule="auto"/>
        <w:contextualSpacing w:val="0"/>
        <w:jc w:val="both"/>
        <w:rPr>
          <w:rFonts w:ascii="Times New Roman" w:hAnsi="Times New Roman" w:cs="Times New Roman"/>
          <w:b/>
          <w:bCs/>
          <w:i/>
          <w:iCs/>
          <w:noProof/>
          <w:sz w:val="24"/>
          <w:szCs w:val="24"/>
        </w:rPr>
      </w:pPr>
      <w:r>
        <w:rPr>
          <w:rFonts w:ascii="Times New Roman" w:hAnsi="Times New Roman"/>
          <w:b/>
          <w:i/>
          <w:noProof/>
          <w:sz w:val="24"/>
        </w:rPr>
        <w:t>va colabora cu ACSB în vederea punerii în aplicare a cadrului unic de reglementare al UE în materie de combatere a spălării banilor, care se va aplica direct în statele membre începând cu 10 iulie 2027 și va armoniza cerințele privind cunoașterea clientelei și raportarea activităților suspecte în întreaga Uniune</w:t>
      </w:r>
      <w:r>
        <w:rPr>
          <w:rFonts w:ascii="Times New Roman" w:hAnsi="Times New Roman"/>
          <w:noProof/>
          <w:sz w:val="24"/>
        </w:rPr>
        <w:t xml:space="preserve">; </w:t>
      </w:r>
    </w:p>
    <w:p w14:paraId="6DA254EE" w14:textId="7A91C0C4" w:rsidR="005C74B3" w:rsidRPr="002743D9" w:rsidRDefault="00364A0E" w:rsidP="00835196">
      <w:pPr>
        <w:pStyle w:val="ListParagraph"/>
        <w:numPr>
          <w:ilvl w:val="0"/>
          <w:numId w:val="48"/>
        </w:numPr>
        <w:spacing w:after="120" w:line="276" w:lineRule="auto"/>
        <w:contextualSpacing w:val="0"/>
        <w:jc w:val="both"/>
        <w:rPr>
          <w:rFonts w:ascii="Times New Roman" w:hAnsi="Times New Roman" w:cs="Times New Roman"/>
          <w:b/>
          <w:bCs/>
          <w:i/>
          <w:iCs/>
          <w:noProof/>
          <w:spacing w:val="-3"/>
          <w:sz w:val="24"/>
          <w:szCs w:val="24"/>
        </w:rPr>
      </w:pPr>
      <w:r w:rsidRPr="002743D9">
        <w:rPr>
          <w:rFonts w:ascii="Times New Roman" w:hAnsi="Times New Roman"/>
          <w:b/>
          <w:i/>
          <w:noProof/>
          <w:spacing w:val="-3"/>
          <w:sz w:val="24"/>
        </w:rPr>
        <w:t>va continua să monitorizeze aplicarea la nivel național a normelor de protecție a consumatorilor pentru a facilita și a încuraja activitatea transfrontalieră, astfel încât aceștia să poată accesa mai ușor o ofertă mai largă de servicii bancare, menținându-se totodată un nivel adecvat de protecție;</w:t>
      </w:r>
    </w:p>
    <w:p w14:paraId="7EB072F5" w14:textId="572C3D6F" w:rsidR="00E03EAA" w:rsidRPr="00B33098" w:rsidRDefault="00770F62" w:rsidP="00835196">
      <w:pPr>
        <w:pStyle w:val="ListParagraph"/>
        <w:numPr>
          <w:ilvl w:val="0"/>
          <w:numId w:val="48"/>
        </w:numPr>
        <w:spacing w:after="120" w:line="276" w:lineRule="auto"/>
        <w:contextualSpacing w:val="0"/>
        <w:jc w:val="both"/>
        <w:rPr>
          <w:rFonts w:ascii="Times New Roman" w:hAnsi="Times New Roman" w:cs="Times New Roman"/>
          <w:b/>
          <w:bCs/>
          <w:i/>
          <w:iCs/>
          <w:noProof/>
          <w:sz w:val="24"/>
          <w:szCs w:val="24"/>
        </w:rPr>
      </w:pPr>
      <w:r>
        <w:rPr>
          <w:rFonts w:ascii="Times New Roman" w:hAnsi="Times New Roman"/>
          <w:b/>
          <w:i/>
          <w:noProof/>
          <w:sz w:val="24"/>
        </w:rPr>
        <w:t xml:space="preserve">va evalua dacă normele de protecție a consumatorilor fac obiectul unei suprareglementări sau sunt aplicate într-un mod care fragmentează în mod inutil piața; </w:t>
      </w:r>
    </w:p>
    <w:p w14:paraId="07A10EAC" w14:textId="3F392740" w:rsidR="005C74B3" w:rsidRPr="00B33098" w:rsidRDefault="005C74B3" w:rsidP="00661701">
      <w:pPr>
        <w:pStyle w:val="ListParagraph"/>
        <w:numPr>
          <w:ilvl w:val="0"/>
          <w:numId w:val="48"/>
        </w:numPr>
        <w:spacing w:after="120" w:line="276" w:lineRule="auto"/>
        <w:contextualSpacing w:val="0"/>
        <w:jc w:val="both"/>
        <w:rPr>
          <w:rFonts w:ascii="Times New Roman" w:hAnsi="Times New Roman" w:cs="Times New Roman"/>
          <w:b/>
          <w:bCs/>
          <w:i/>
          <w:iCs/>
          <w:noProof/>
          <w:sz w:val="24"/>
          <w:szCs w:val="24"/>
        </w:rPr>
      </w:pPr>
      <w:r>
        <w:rPr>
          <w:rFonts w:ascii="Times New Roman" w:hAnsi="Times New Roman"/>
          <w:b/>
          <w:i/>
          <w:noProof/>
          <w:sz w:val="24"/>
        </w:rPr>
        <w:t>va continua să monitorizeze potențialul digitalizării și implicațiile tehnologiei informației pentru sectorul bancar, urmărind ca normele de reglementare să fie suficient de flexibile pentru a sprijini servicii bancare mai digitalizate și a stimula inovarea, menținând în același timp reziliența cibernetică;</w:t>
      </w:r>
      <w:r w:rsidR="000E3801">
        <w:rPr>
          <w:rFonts w:ascii="Times New Roman" w:hAnsi="Times New Roman"/>
          <w:b/>
          <w:i/>
          <w:noProof/>
          <w:sz w:val="24"/>
        </w:rPr>
        <w:t xml:space="preserve"> </w:t>
      </w:r>
    </w:p>
    <w:p w14:paraId="06D3CE70" w14:textId="152D3FB2" w:rsidR="00BE7813" w:rsidRPr="000E3801" w:rsidRDefault="00BE7813" w:rsidP="007B7C4E">
      <w:pPr>
        <w:pStyle w:val="ListParagraph"/>
        <w:spacing w:line="276" w:lineRule="auto"/>
        <w:jc w:val="both"/>
        <w:rPr>
          <w:rFonts w:ascii="Times New Roman" w:hAnsi="Times New Roman" w:cs="Times New Roman"/>
          <w:noProof/>
          <w:sz w:val="28"/>
          <w:szCs w:val="28"/>
        </w:rPr>
      </w:pPr>
    </w:p>
    <w:p w14:paraId="2E325533" w14:textId="3436FEDE" w:rsidR="00BE7813" w:rsidRPr="00B33098" w:rsidRDefault="00F11A13" w:rsidP="00416C6B">
      <w:pPr>
        <w:pStyle w:val="ListParagraph"/>
        <w:numPr>
          <w:ilvl w:val="1"/>
          <w:numId w:val="14"/>
        </w:numPr>
        <w:spacing w:line="276" w:lineRule="auto"/>
        <w:jc w:val="both"/>
        <w:rPr>
          <w:rFonts w:ascii="Times New Roman" w:hAnsi="Times New Roman" w:cs="Times New Roman"/>
          <w:b/>
          <w:bCs/>
          <w:i/>
          <w:iCs/>
          <w:noProof/>
          <w:sz w:val="28"/>
          <w:szCs w:val="28"/>
        </w:rPr>
      </w:pPr>
      <w:r>
        <w:rPr>
          <w:rFonts w:ascii="Times New Roman" w:hAnsi="Times New Roman"/>
          <w:b/>
          <w:noProof/>
          <w:sz w:val="28"/>
        </w:rPr>
        <w:t xml:space="preserve"> </w:t>
      </w:r>
      <w:r>
        <w:rPr>
          <w:rFonts w:ascii="Times New Roman" w:hAnsi="Times New Roman"/>
          <w:b/>
          <w:i/>
          <w:noProof/>
          <w:sz w:val="28"/>
        </w:rPr>
        <w:t xml:space="preserve">Punerea în aplicare a standardelor internaționale, ținând seama totodată de particularitățile UE și asigurând proporționalitatea </w:t>
      </w:r>
    </w:p>
    <w:p w14:paraId="0653570A" w14:textId="573DBB57" w:rsidR="005067F5" w:rsidRPr="00B33098" w:rsidRDefault="00B174E9" w:rsidP="005067F5">
      <w:pPr>
        <w:spacing w:before="240" w:after="240" w:line="276" w:lineRule="auto"/>
        <w:jc w:val="both"/>
        <w:rPr>
          <w:rFonts w:ascii="Times New Roman" w:eastAsia="Yu Mincho" w:hAnsi="Times New Roman" w:cs="Times New Roman"/>
          <w:b/>
          <w:bCs/>
          <w:i/>
          <w:iCs/>
          <w:noProof/>
          <w:sz w:val="28"/>
          <w:szCs w:val="28"/>
        </w:rPr>
      </w:pPr>
      <w:r>
        <w:rPr>
          <w:rFonts w:ascii="Times New Roman" w:hAnsi="Times New Roman"/>
          <w:noProof/>
          <w:sz w:val="24"/>
        </w:rPr>
        <w:t xml:space="preserve">UE a adoptat cu fidelitate standardele internaționale și, în anumite domenii, a mers chiar mai departe decât acestea, aplicându-le la toate nivelurile de consolidare și tuturor băncilor, nu doar celor mari, active la nivel internațional. Deși această abordare a sporit în mod semnificativ reziliența, este posibil să fi condus la trecerea cu vederea a anumitor particularități ale UE. </w:t>
      </w:r>
    </w:p>
    <w:p w14:paraId="7C92BD29" w14:textId="73079E5D" w:rsidR="00BC319E" w:rsidRPr="00B33098" w:rsidRDefault="003978E3" w:rsidP="00C83CF1">
      <w:pPr>
        <w:pStyle w:val="ListParagraph"/>
        <w:numPr>
          <w:ilvl w:val="0"/>
          <w:numId w:val="31"/>
        </w:numPr>
        <w:spacing w:before="240" w:after="240" w:line="276" w:lineRule="auto"/>
        <w:jc w:val="both"/>
        <w:rPr>
          <w:rFonts w:ascii="Times New Roman" w:eastAsia="Yu Mincho" w:hAnsi="Times New Roman" w:cs="Times New Roman"/>
          <w:b/>
          <w:bCs/>
          <w:i/>
          <w:iCs/>
          <w:noProof/>
          <w:sz w:val="28"/>
          <w:szCs w:val="28"/>
        </w:rPr>
      </w:pPr>
      <w:r>
        <w:rPr>
          <w:rFonts w:ascii="Times New Roman" w:hAnsi="Times New Roman"/>
          <w:b/>
          <w:i/>
          <w:noProof/>
          <w:sz w:val="28"/>
        </w:rPr>
        <w:t xml:space="preserve">Punerea în aplicare a standardelor internaționale ținând seama de particularitățile UE </w:t>
      </w:r>
    </w:p>
    <w:p w14:paraId="35F1B986" w14:textId="77C87B15" w:rsidR="00153403" w:rsidRPr="00B33098" w:rsidRDefault="2B12C84F" w:rsidP="00BE7813">
      <w:pPr>
        <w:spacing w:before="240" w:after="240" w:line="276" w:lineRule="auto"/>
        <w:jc w:val="both"/>
        <w:rPr>
          <w:rFonts w:ascii="Times New Roman" w:eastAsia="Times New Roman" w:hAnsi="Times New Roman" w:cs="Times New Roman"/>
          <w:noProof/>
          <w:sz w:val="24"/>
          <w:szCs w:val="24"/>
        </w:rPr>
      </w:pPr>
      <w:r>
        <w:rPr>
          <w:rFonts w:ascii="Times New Roman" w:hAnsi="Times New Roman"/>
          <w:b/>
          <w:noProof/>
          <w:sz w:val="24"/>
        </w:rPr>
        <w:t xml:space="preserve">UE a transpus în dreptul Uniunii Acordul Basel III începând cu 1 ianuarie 2025, prevăzând, totodată, o serie de măsuri tranzitorii. </w:t>
      </w:r>
      <w:r>
        <w:rPr>
          <w:rFonts w:ascii="Times New Roman" w:hAnsi="Times New Roman"/>
          <w:noProof/>
          <w:sz w:val="24"/>
        </w:rPr>
        <w:t xml:space="preserve">Fiind una dintre cele mai mari piețe bancare, UE participă, prin autoritățile sale de supraveghere și prin Comisie, la elaborarea standardelor internaționale și ar trebui să acționeze în mod proactiv pentru ca normele globale să țină seama de realitățile diferitelor piețe, inclusiv de cele specifice sectorului bancar european. Mai mult decât atât, transpunerea standardelor internaționale în dreptul UE ar trebui să țină seama în mod corespunzător de particularitățile sectorului bancar din UE, pentru a evita, pe cât posibil, efectele disproporționate asupra anumitor activități sau bănci și pentru a garanta îndeplinirea eficientă și echilibrată a obiectivelor prudențiale ale cadrului. </w:t>
      </w:r>
    </w:p>
    <w:p w14:paraId="4FC1F317" w14:textId="6049FDB7" w:rsidR="007A4BF2" w:rsidRPr="00B33098" w:rsidRDefault="00210871" w:rsidP="007A4BF2">
      <w:pPr>
        <w:spacing w:before="240" w:after="240" w:line="276" w:lineRule="auto"/>
        <w:jc w:val="both"/>
        <w:rPr>
          <w:rFonts w:ascii="Times New Roman" w:eastAsia="Times New Roman" w:hAnsi="Times New Roman" w:cs="Times New Roman"/>
          <w:noProof/>
          <w:sz w:val="24"/>
          <w:szCs w:val="24"/>
        </w:rPr>
      </w:pPr>
      <w:r>
        <w:rPr>
          <w:rFonts w:ascii="Times New Roman" w:hAnsi="Times New Roman"/>
          <w:b/>
          <w:noProof/>
          <w:sz w:val="24"/>
        </w:rPr>
        <w:t>Condițiile de concurență echitabile la nivel internațional sunt esențiale</w:t>
      </w:r>
      <w:r>
        <w:rPr>
          <w:rFonts w:ascii="Times New Roman" w:hAnsi="Times New Roman"/>
          <w:noProof/>
          <w:sz w:val="24"/>
        </w:rPr>
        <w:t xml:space="preserve">. În așteptarea punerii în aplicare a standardelor și în alte jurisdicții, Comisia a luat măsuri pentru a amâna până la 1 ianuarie 2027 aplicarea în UE a anumitor aspecte ale cadrului Basel privind riscul de piață (Revizuirea fundamentală a portofoliului de tranzacționare). La 4 iunie 2026, Comisia a adoptat un act delegat pentru a atenua unele dintre efectele aplicării acestuia până la sfârșitul anului 2029. Actul delegat este în prezent în curs de examinare de către Consiliu și Parlamentul European. </w:t>
      </w:r>
    </w:p>
    <w:p w14:paraId="10DF8237" w14:textId="56F5DFAB" w:rsidR="00BE7813" w:rsidRPr="00B33098" w:rsidRDefault="6D3F0C72" w:rsidP="00BE7813">
      <w:pPr>
        <w:spacing w:before="240" w:after="240" w:line="276" w:lineRule="auto"/>
        <w:jc w:val="both"/>
        <w:rPr>
          <w:rFonts w:ascii="Times New Roman" w:eastAsia="Times New Roman" w:hAnsi="Times New Roman" w:cs="Times New Roman"/>
          <w:noProof/>
          <w:sz w:val="24"/>
          <w:szCs w:val="24"/>
        </w:rPr>
      </w:pPr>
      <w:r>
        <w:rPr>
          <w:rFonts w:ascii="Times New Roman" w:hAnsi="Times New Roman"/>
          <w:b/>
          <w:noProof/>
          <w:sz w:val="24"/>
        </w:rPr>
        <w:t>UE introduce treptat pragul minim al modelelor interne</w:t>
      </w:r>
      <w:r w:rsidR="00EA5C5E" w:rsidRPr="00B33098">
        <w:rPr>
          <w:rStyle w:val="FootnoteReference"/>
          <w:rFonts w:ascii="Times New Roman" w:eastAsia="Times New Roman" w:hAnsi="Times New Roman" w:cs="Times New Roman"/>
          <w:b/>
          <w:bCs/>
          <w:noProof/>
          <w:sz w:val="24"/>
          <w:szCs w:val="24"/>
          <w:lang w:val="en-IE"/>
        </w:rPr>
        <w:footnoteReference w:id="22"/>
      </w:r>
      <w:r>
        <w:rPr>
          <w:rFonts w:ascii="Times New Roman" w:hAnsi="Times New Roman"/>
          <w:b/>
          <w:noProof/>
          <w:sz w:val="24"/>
        </w:rPr>
        <w:t>, împreună cu o serie de măsuri tranzitorii menite să le permită băncilor și autorităților să se adapteze treptat la Acordul Basel.</w:t>
      </w:r>
      <w:r>
        <w:rPr>
          <w:rFonts w:ascii="Times New Roman" w:hAnsi="Times New Roman"/>
          <w:noProof/>
          <w:sz w:val="24"/>
        </w:rPr>
        <w:t xml:space="preserve"> Între timp, jurisdicțiile țărilor terțe au adoptat abordări diferite, inclusiv eliminarea completă a pragului minim al modelelor interne. Părțile interesate din UE au exprimat opinii divergente cu privire la viitorul pragului minim al modelelor interne, inclusiv în ceea ce privește nivelul adecvat de calibrare, nivelul la care ar trebui aplicată cerința (la nivel individual sau consolidat), domeniul de aplicare al riscurilor acoperite de acest cadru și modul în care acesta interacționează cu abordarea standardizată subiacentă, de exemplu în domenii precum finanțările specializate, finanțarea proiectelor și finanțarea comerțului. </w:t>
      </w:r>
    </w:p>
    <w:p w14:paraId="3650C398" w14:textId="498E250F" w:rsidR="006A0D08" w:rsidRPr="00B33098" w:rsidRDefault="005977C9" w:rsidP="5827780F">
      <w:pPr>
        <w:spacing w:before="240" w:after="240" w:line="276" w:lineRule="auto"/>
        <w:jc w:val="both"/>
        <w:rPr>
          <w:rFonts w:ascii="Times New Roman" w:eastAsia="Times New Roman" w:hAnsi="Times New Roman" w:cs="Times New Roman"/>
          <w:noProof/>
          <w:sz w:val="24"/>
          <w:szCs w:val="24"/>
        </w:rPr>
      </w:pPr>
      <w:bookmarkStart w:id="10" w:name="_Hlk234778682"/>
      <w:r>
        <w:rPr>
          <w:rFonts w:ascii="Times New Roman" w:hAnsi="Times New Roman"/>
          <w:b/>
          <w:noProof/>
          <w:sz w:val="24"/>
        </w:rPr>
        <w:t>În pofida factorului de sprijin pentru IMM-uri, tratamentul prudențial aplicat societăților fără rating reprezintă o provocare structurală pentru cadrul de reglementare al UE</w:t>
      </w:r>
      <w:r>
        <w:rPr>
          <w:rFonts w:ascii="Times New Roman" w:hAnsi="Times New Roman"/>
          <w:noProof/>
          <w:sz w:val="24"/>
        </w:rPr>
        <w:t xml:space="preserve">. Dat fiind că întreprinderile din UE, în special IMM-urile, se bazează în principal pe finanțarea bancară și într-o măsură mai redusă pe piețele de capital, marea majoritate nu dețin un rating de credit extern. Prin urmare, Comisia va evalua posibilitatea de a elimina obligativitatea unui rating extern, în vederea facilitării accesului la finanțare bancară pentru astfel de societăți. O astfel de evaluare ar trebui să examineze, de asemenea, dacă politica propusă ar putea descuraja societățile să solicite un rating de credit, subminând astfel transparența și dezvoltarea pe termen lung a unor piețe mai profunde ale titlurilor de capital și ale obligațiunilor corporative în UE și reducând informațiile aflate la dispoziția băncilor pentru evaluarea riscurilor asociate societăților. Ar trebui avută în vedere o abordare strategică pe termen lung pentru realizarea obiectivului fundamental al UEI, și anume promovarea unor surse de finanțare mai diversificate prin intermediul pieței unice de capital. . </w:t>
      </w:r>
    </w:p>
    <w:bookmarkEnd w:id="10"/>
    <w:p w14:paraId="69933233" w14:textId="038620DE" w:rsidR="00BE7813" w:rsidRPr="00B33098" w:rsidRDefault="65225F31" w:rsidP="1C0CEE2D">
      <w:pPr>
        <w:spacing w:before="240" w:after="240" w:line="276" w:lineRule="auto"/>
        <w:jc w:val="both"/>
        <w:rPr>
          <w:noProof/>
        </w:rPr>
      </w:pPr>
      <w:r>
        <w:rPr>
          <w:rFonts w:ascii="Times New Roman" w:hAnsi="Times New Roman"/>
          <w:b/>
          <w:noProof/>
          <w:sz w:val="24"/>
        </w:rPr>
        <w:t xml:space="preserve">Tratamentul prudențial al expunerilor la bunuri imobile locative necesită, de asemenea, o calibrare atentă. </w:t>
      </w:r>
      <w:r>
        <w:rPr>
          <w:rFonts w:ascii="Times New Roman" w:hAnsi="Times New Roman"/>
          <w:noProof/>
          <w:sz w:val="24"/>
        </w:rPr>
        <w:t>Cerințele din acest domeniu pot influența accesul la finanțarea locuințelor, inclusiv prin impactul pe care îl au asupra ofertei de locuințe și pot afecta funcționarea anumitor segmente de piață, cadrul trebuind, totodată, să rămână sensibil la riscuri. În același timp, trebuie avut în vedere faptul că măsurile menite să stimuleze creditarea ipotecară pot determina creșterea prețurilor locuințelor în condițiile unei oferte limitate, reducând astfel accesibilitatea acestora și subminând obiectivul urmărit.</w:t>
      </w:r>
    </w:p>
    <w:p w14:paraId="47CE693B" w14:textId="33520AEE" w:rsidR="00627BA5" w:rsidRPr="00B33098" w:rsidRDefault="4F2002F2" w:rsidP="416A08E7">
      <w:pPr>
        <w:spacing w:before="240" w:after="240" w:line="276" w:lineRule="auto"/>
        <w:jc w:val="both"/>
        <w:rPr>
          <w:rFonts w:ascii="Times New Roman" w:eastAsia="Times New Roman" w:hAnsi="Times New Roman" w:cs="Times New Roman"/>
          <w:noProof/>
          <w:sz w:val="24"/>
          <w:szCs w:val="24"/>
        </w:rPr>
      </w:pPr>
      <w:r>
        <w:rPr>
          <w:rFonts w:ascii="Times New Roman" w:hAnsi="Times New Roman"/>
          <w:b/>
          <w:noProof/>
          <w:sz w:val="24"/>
        </w:rPr>
        <w:t>În alte domenii, pentru a consolida competitivitatea internațională și a sprijini digitalizarea, ar putea fi avute în vedere modificări ale cadrului prudențial, precum tratamentul activelor software</w:t>
      </w:r>
      <w:r>
        <w:rPr>
          <w:rFonts w:ascii="Times New Roman" w:hAnsi="Times New Roman"/>
          <w:noProof/>
          <w:sz w:val="24"/>
        </w:rPr>
        <w:t>. Normele UE impun băncilor să deducă în mare parte investițiile în software din capitalul lor de bază. Această abordare tratează software-ul mai degrabă ca pe un cost decât ca pe un activ care contribuie la competitivitatea unei întreprinderi și este considerată de mulți ca plasând băncile din UE într-o poziție dezavantajoasă față de instituțiile similare din alte jurisdicții. Totuși, caracterul prudent al abordării adoptate de UE poate fi considerat, de asemenea, un avantaj într-un moment în care evoluțiile din domeniul inteligenței artificiale pun sub semnul întrebării valoarea activelor software. În sens mai larg, cadrul prudențial ar trebui să reflecte mai bine rolul activelor necorporale în economia modernă.</w:t>
      </w:r>
      <w:r w:rsidR="000E3801">
        <w:rPr>
          <w:rFonts w:ascii="Times New Roman" w:hAnsi="Times New Roman"/>
          <w:noProof/>
          <w:sz w:val="24"/>
        </w:rPr>
        <w:t xml:space="preserve"> </w:t>
      </w:r>
    </w:p>
    <w:p w14:paraId="4F1252A8" w14:textId="6A4E7471" w:rsidR="00F5301B" w:rsidRPr="00B33098" w:rsidRDefault="5E0CDC53" w:rsidP="00BE7813">
      <w:pPr>
        <w:spacing w:before="240" w:after="240" w:line="276" w:lineRule="auto"/>
        <w:jc w:val="both"/>
        <w:rPr>
          <w:rFonts w:ascii="Times New Roman" w:eastAsia="Times New Roman" w:hAnsi="Times New Roman" w:cs="Times New Roman"/>
          <w:noProof/>
          <w:sz w:val="24"/>
          <w:szCs w:val="24"/>
        </w:rPr>
      </w:pPr>
      <w:r>
        <w:rPr>
          <w:rFonts w:ascii="Times New Roman" w:hAnsi="Times New Roman"/>
          <w:noProof/>
          <w:sz w:val="24"/>
        </w:rPr>
        <w:t>În cele din urmă,</w:t>
      </w:r>
      <w:r>
        <w:rPr>
          <w:rFonts w:ascii="Times New Roman" w:hAnsi="Times New Roman"/>
          <w:b/>
          <w:noProof/>
          <w:sz w:val="24"/>
        </w:rPr>
        <w:t xml:space="preserve"> competitivitatea sectorului bancar din UE nu este doar o chestiune de considerente prudențiale, tehnologie și inovare. Aceasta depinde, de asemenea, de capacitatea băncilor de a atrage, de a păstra și de a recompensa profesioniști cu înaltă calificare pe piața mondială a talentelor</w:t>
      </w:r>
      <w:r>
        <w:rPr>
          <w:rFonts w:ascii="Times New Roman" w:hAnsi="Times New Roman"/>
          <w:noProof/>
          <w:sz w:val="24"/>
        </w:rPr>
        <w:t xml:space="preserve">. În acest context, Comisia evaluează posibile ajustări ale cadrului de remunerare. Normele actualizate privind remunerarea ar putea contribui la consolidarea competitivității sectorului bancar din UE, asigurând totodată că politicile de remunerare nu încurajează asumarea unor riscuri excesive. </w:t>
      </w:r>
    </w:p>
    <w:p w14:paraId="19DF2B6F" w14:textId="54AEC041" w:rsidR="007A4BF2" w:rsidRPr="00B33098" w:rsidRDefault="007A4BF2" w:rsidP="00BE7813">
      <w:pPr>
        <w:spacing w:before="240" w:after="240" w:line="276" w:lineRule="auto"/>
        <w:jc w:val="both"/>
        <w:rPr>
          <w:rFonts w:ascii="Times New Roman" w:eastAsia="Times New Roman" w:hAnsi="Times New Roman" w:cs="Times New Roman"/>
          <w:noProof/>
          <w:sz w:val="24"/>
          <w:szCs w:val="24"/>
        </w:rPr>
      </w:pPr>
      <w:r>
        <w:rPr>
          <w:rFonts w:ascii="Times New Roman" w:hAnsi="Times New Roman"/>
          <w:noProof/>
          <w:sz w:val="24"/>
        </w:rPr>
        <w:t>În acest context, Comisia:</w:t>
      </w:r>
    </w:p>
    <w:p w14:paraId="5B8346E5" w14:textId="0925A424" w:rsidR="00BE7813" w:rsidRPr="00B33098" w:rsidRDefault="000F2AD1" w:rsidP="00835196">
      <w:pPr>
        <w:pStyle w:val="ListParagraph"/>
        <w:numPr>
          <w:ilvl w:val="0"/>
          <w:numId w:val="49"/>
        </w:numPr>
        <w:spacing w:after="120" w:line="276" w:lineRule="auto"/>
        <w:contextualSpacing w:val="0"/>
        <w:jc w:val="both"/>
        <w:rPr>
          <w:rFonts w:ascii="Times New Roman" w:eastAsia="Times New Roman" w:hAnsi="Times New Roman" w:cs="Times New Roman"/>
          <w:b/>
          <w:bCs/>
          <w:i/>
          <w:iCs/>
          <w:noProof/>
          <w:sz w:val="24"/>
          <w:szCs w:val="24"/>
        </w:rPr>
      </w:pPr>
      <w:bookmarkStart w:id="11" w:name="_Hlk234778721"/>
      <w:r>
        <w:rPr>
          <w:rFonts w:ascii="Times New Roman" w:hAnsi="Times New Roman"/>
          <w:b/>
          <w:i/>
          <w:noProof/>
          <w:sz w:val="24"/>
        </w:rPr>
        <w:t>va prezenta propuneri clare cu privire la pragul minim al modelelor interne și la măsurile tranzitorii aferente aplicabile societăților fără rating și creditării ipotecare, din perspectiva competitivității băncilor din UE, precum și cu privire la interacțiunea acestuia cu celelalte componente ale cadrului, inclusiv măsuri pentru a asigura un echilibru adecvat între reziliență și finanțarea economiei în ansamblu;</w:t>
      </w:r>
    </w:p>
    <w:bookmarkEnd w:id="11"/>
    <w:p w14:paraId="5643AF22" w14:textId="5AF04D86" w:rsidR="00BE7813" w:rsidRPr="00B33098" w:rsidRDefault="007A4BF2" w:rsidP="00835196">
      <w:pPr>
        <w:pStyle w:val="ListParagraph"/>
        <w:numPr>
          <w:ilvl w:val="0"/>
          <w:numId w:val="49"/>
        </w:numPr>
        <w:spacing w:after="120" w:line="276" w:lineRule="auto"/>
        <w:contextualSpacing w:val="0"/>
        <w:jc w:val="both"/>
        <w:rPr>
          <w:rFonts w:ascii="Times New Roman" w:hAnsi="Times New Roman" w:cs="Times New Roman"/>
          <w:b/>
          <w:bCs/>
          <w:i/>
          <w:iCs/>
          <w:noProof/>
          <w:sz w:val="24"/>
          <w:szCs w:val="24"/>
        </w:rPr>
      </w:pPr>
      <w:r>
        <w:rPr>
          <w:rFonts w:ascii="Times New Roman" w:hAnsi="Times New Roman"/>
          <w:b/>
          <w:i/>
          <w:noProof/>
          <w:sz w:val="24"/>
        </w:rPr>
        <w:t>va continua să monitorizeze punerea în aplicare a standardelor internaționale în toate jurisdicțiile și va implementa o abordare strategică, pe termen lung, a UE în ceea ce privește cerințele de capital pentru riscul de piață, pe baza experienței acumulate și ținând seama de necesitatea asigurării unor condiții de concurență echitabile;</w:t>
      </w:r>
    </w:p>
    <w:p w14:paraId="30FFABE1" w14:textId="37AB68DB" w:rsidR="00010A19" w:rsidRPr="00B33098" w:rsidRDefault="00010A19" w:rsidP="003C0A20">
      <w:pPr>
        <w:pStyle w:val="ListParagraph"/>
        <w:numPr>
          <w:ilvl w:val="0"/>
          <w:numId w:val="49"/>
        </w:numPr>
        <w:spacing w:after="120" w:line="276" w:lineRule="auto"/>
        <w:jc w:val="both"/>
        <w:rPr>
          <w:rFonts w:ascii="Times New Roman" w:hAnsi="Times New Roman" w:cs="Times New Roman"/>
          <w:b/>
          <w:bCs/>
          <w:i/>
          <w:iCs/>
          <w:noProof/>
          <w:sz w:val="24"/>
          <w:szCs w:val="24"/>
        </w:rPr>
      </w:pPr>
      <w:r>
        <w:rPr>
          <w:rFonts w:ascii="Times New Roman" w:hAnsi="Times New Roman"/>
          <w:b/>
          <w:i/>
          <w:noProof/>
          <w:sz w:val="24"/>
        </w:rPr>
        <w:t xml:space="preserve">va evalua tratamentul prudențial al investițiilor strategice prin finanțări specializate, inclusiv al finanțării proiectelor de infrastructură și a tranziției energetice, precum și tratamentul prudențial al finanțării comerțului, pentru a se asigura că băncile europene pot sprijini întreprinderile europene și pot consolida securitatea lanțurilor de aprovizionare; </w:t>
      </w:r>
    </w:p>
    <w:p w14:paraId="7DA2936C" w14:textId="599FEEE7" w:rsidR="00BE7813" w:rsidRPr="00B33098" w:rsidRDefault="007A4BF2">
      <w:pPr>
        <w:pStyle w:val="ListParagraph"/>
        <w:numPr>
          <w:ilvl w:val="0"/>
          <w:numId w:val="49"/>
        </w:numPr>
        <w:spacing w:after="120" w:line="276" w:lineRule="auto"/>
        <w:contextualSpacing w:val="0"/>
        <w:jc w:val="both"/>
        <w:rPr>
          <w:rFonts w:ascii="Times New Roman" w:hAnsi="Times New Roman" w:cs="Times New Roman"/>
          <w:b/>
          <w:bCs/>
          <w:i/>
          <w:iCs/>
          <w:noProof/>
          <w:sz w:val="24"/>
          <w:szCs w:val="24"/>
        </w:rPr>
      </w:pPr>
      <w:r>
        <w:rPr>
          <w:rFonts w:ascii="Times New Roman" w:hAnsi="Times New Roman"/>
          <w:b/>
          <w:i/>
          <w:noProof/>
          <w:sz w:val="24"/>
        </w:rPr>
        <w:t>va propune revizuirea tratamentului prudențial al investițiilor băncilor în active software, pentru a se asigura că acesta este solid din punct de vedere prudențial, coerent cu mediul digital și cu riscurile cibernetice și că oferă stimulentele adecvate pentru ca băncile să investească în inovare și în reziliența digitală;</w:t>
      </w:r>
    </w:p>
    <w:p w14:paraId="1430F37B" w14:textId="2471ED76" w:rsidR="00821E58" w:rsidRPr="004E3714" w:rsidRDefault="00821E58" w:rsidP="00835196">
      <w:pPr>
        <w:pStyle w:val="ListParagraph"/>
        <w:numPr>
          <w:ilvl w:val="0"/>
          <w:numId w:val="49"/>
        </w:numPr>
        <w:spacing w:after="120" w:line="276" w:lineRule="auto"/>
        <w:contextualSpacing w:val="0"/>
        <w:jc w:val="both"/>
        <w:rPr>
          <w:b/>
          <w:bCs/>
          <w:i/>
          <w:iCs/>
          <w:noProof/>
        </w:rPr>
      </w:pPr>
      <w:r>
        <w:rPr>
          <w:rFonts w:ascii="Times New Roman" w:hAnsi="Times New Roman"/>
          <w:b/>
          <w:i/>
          <w:noProof/>
          <w:sz w:val="24"/>
        </w:rPr>
        <w:t>va explora posibile domenii de acțiune pentru a asigura accesul la creditare al întreprinderilor care utilizează intensiv drepturile de proprietate intelectuală (DPI) și, în sens mai larg, al economiei imateriale, inclusiv prin invitarea părților interesate relevante să reflecteze asupra programelor de consolidare a capacităților, a cadrelor de evaluare și a mecanismelor de partajare a riscurilor. Această activitate va ține seama de viitoarele acțiuni legate de drepturile de proprietate intelectuală din cadrul Strategiei privind start-upurile și întreprinderile în fază de extindere, cum ar fi Actul european pentru inovare;</w:t>
      </w:r>
    </w:p>
    <w:p w14:paraId="42BDFC10" w14:textId="622B29E2" w:rsidR="00D85BB4" w:rsidRPr="00B33098" w:rsidRDefault="00502835" w:rsidP="00835196">
      <w:pPr>
        <w:pStyle w:val="ListParagraph"/>
        <w:numPr>
          <w:ilvl w:val="0"/>
          <w:numId w:val="49"/>
        </w:numPr>
        <w:spacing w:line="276" w:lineRule="auto"/>
        <w:jc w:val="both"/>
        <w:rPr>
          <w:rFonts w:ascii="Times New Roman" w:hAnsi="Times New Roman" w:cs="Times New Roman"/>
          <w:b/>
          <w:bCs/>
          <w:i/>
          <w:iCs/>
          <w:noProof/>
          <w:sz w:val="24"/>
          <w:szCs w:val="24"/>
        </w:rPr>
      </w:pPr>
      <w:r>
        <w:rPr>
          <w:rFonts w:ascii="Times New Roman" w:hAnsi="Times New Roman"/>
          <w:b/>
          <w:i/>
          <w:noProof/>
          <w:sz w:val="24"/>
        </w:rPr>
        <w:t>va evalua posibilele ajustări ale cadrului actual de remunerare aplicabil persoanelor care își asumă riscuri semnificative, precum și impactul acestuia asupra sectorului bancar din UE. Comisia evaluează modalități de reducere a sarcinii și a complexității inutile, de remediere a efectelor nedorite asupra structurilor de remunerare, de prevenire a denaturării concurenței pentru atragerea talentelor specializate și de adaptare a cadrului la riscurile sistemice.</w:t>
      </w:r>
    </w:p>
    <w:p w14:paraId="51C0B2A0" w14:textId="77777777" w:rsidR="00B777CE" w:rsidRPr="000E3801" w:rsidRDefault="00B777CE" w:rsidP="0066558D">
      <w:pPr>
        <w:spacing w:line="276" w:lineRule="auto"/>
        <w:jc w:val="both"/>
        <w:rPr>
          <w:rFonts w:ascii="Times New Roman" w:hAnsi="Times New Roman" w:cs="Times New Roman"/>
          <w:i/>
          <w:noProof/>
          <w:sz w:val="24"/>
          <w:szCs w:val="24"/>
        </w:rPr>
      </w:pPr>
    </w:p>
    <w:p w14:paraId="4C83B072" w14:textId="5E92AAD7" w:rsidR="0066558D" w:rsidRPr="00B33098" w:rsidRDefault="00E82AD0" w:rsidP="00835196">
      <w:pPr>
        <w:pStyle w:val="ListParagraph"/>
        <w:numPr>
          <w:ilvl w:val="0"/>
          <w:numId w:val="63"/>
        </w:numPr>
        <w:spacing w:line="276" w:lineRule="auto"/>
        <w:jc w:val="both"/>
        <w:rPr>
          <w:rFonts w:ascii="Times New Roman" w:eastAsia="Yu Mincho" w:hAnsi="Times New Roman" w:cs="Times New Roman"/>
          <w:b/>
          <w:bCs/>
          <w:i/>
          <w:iCs/>
          <w:noProof/>
          <w:sz w:val="28"/>
          <w:szCs w:val="28"/>
        </w:rPr>
      </w:pPr>
      <w:r>
        <w:rPr>
          <w:rFonts w:ascii="Times New Roman" w:hAnsi="Times New Roman"/>
          <w:b/>
          <w:i/>
          <w:noProof/>
          <w:sz w:val="28"/>
        </w:rPr>
        <w:t>Asigurarea proporționalității cadrului de reglementare</w:t>
      </w:r>
    </w:p>
    <w:p w14:paraId="35CF2759" w14:textId="5D6E0703" w:rsidR="009B08D1" w:rsidRPr="00B33098" w:rsidRDefault="009B08D1" w:rsidP="0066558D">
      <w:pPr>
        <w:spacing w:after="120" w:line="276" w:lineRule="auto"/>
        <w:jc w:val="both"/>
        <w:rPr>
          <w:rFonts w:ascii="Times New Roman" w:eastAsia="Yu Mincho" w:hAnsi="Times New Roman" w:cs="Times New Roman"/>
          <w:noProof/>
          <w:sz w:val="24"/>
          <w:szCs w:val="24"/>
        </w:rPr>
      </w:pPr>
      <w:r>
        <w:rPr>
          <w:rFonts w:ascii="Times New Roman" w:hAnsi="Times New Roman"/>
          <w:b/>
          <w:noProof/>
          <w:sz w:val="24"/>
        </w:rPr>
        <w:t>Europa are nevoie de bănci mari, capabile să concureze la nivel internațional pe piețe în care dimensiunea este esențială, dar beneficiază, de asemenea, de prezența unor bănci mai mici, cu o orientare mai pronunțată către nivelul local</w:t>
      </w:r>
      <w:r>
        <w:rPr>
          <w:rFonts w:ascii="Times New Roman" w:hAnsi="Times New Roman"/>
          <w:noProof/>
          <w:sz w:val="24"/>
        </w:rPr>
        <w:t xml:space="preserve">. Băncile mai mici contribuie la sprijinirea priorităților de investiții ale UE și a finanțării IMM-urilor la nivel local, inclusiv în regiunile mai puțin dezvoltate, valorificând avantajul proximității și contribuind, în ultimă instanță, la extinderea ofertei de creditare. </w:t>
      </w:r>
    </w:p>
    <w:p w14:paraId="35BF5FF7" w14:textId="444DA60A" w:rsidR="002379C8" w:rsidRPr="00B33098" w:rsidRDefault="02E68289" w:rsidP="0066558D">
      <w:pPr>
        <w:spacing w:after="120" w:line="276" w:lineRule="auto"/>
        <w:jc w:val="both"/>
        <w:rPr>
          <w:rFonts w:ascii="Times New Roman" w:eastAsia="Yu Mincho" w:hAnsi="Times New Roman" w:cs="Times New Roman"/>
          <w:noProof/>
          <w:sz w:val="24"/>
          <w:szCs w:val="24"/>
        </w:rPr>
      </w:pPr>
      <w:r>
        <w:rPr>
          <w:rFonts w:ascii="Times New Roman" w:hAnsi="Times New Roman"/>
          <w:b/>
          <w:noProof/>
          <w:sz w:val="24"/>
        </w:rPr>
        <w:t>Cadrul de reglementare al UE recunoaște particularitățile băncilor mai mici și care nu sunt complexe, însă complexitatea cadrului poate totu</w:t>
      </w:r>
      <w:r w:rsidR="000E3801">
        <w:rPr>
          <w:rFonts w:ascii="Times New Roman" w:hAnsi="Times New Roman"/>
          <w:b/>
          <w:noProof/>
          <w:sz w:val="24"/>
        </w:rPr>
        <w:t>ș</w:t>
      </w:r>
      <w:r>
        <w:rPr>
          <w:rFonts w:ascii="Times New Roman" w:hAnsi="Times New Roman"/>
          <w:b/>
          <w:noProof/>
          <w:sz w:val="24"/>
        </w:rPr>
        <w:t>i afecta în mod disproporționat băncile de dimensiuni mai reduse</w:t>
      </w:r>
      <w:r>
        <w:rPr>
          <w:rFonts w:ascii="Times New Roman" w:hAnsi="Times New Roman"/>
          <w:noProof/>
          <w:sz w:val="24"/>
        </w:rPr>
        <w:t xml:space="preserve">. Un regim mai bine adaptat băncilor mici și care nu sunt complexe ar trebui să fie în mod demonstrabil mai simplu și mai puțin împovărător din perspectiva costurilor de asigurare a conformității, menținând, în același timp, cerințe adecvate bazate pe riscuri, protejând stabilitatea financiară și păstrând stimulentele pentru îmbunătățirea practicilor de gestionare a riscurilor. </w:t>
      </w:r>
    </w:p>
    <w:p w14:paraId="3D59725A" w14:textId="721C6BEB" w:rsidR="0090086B" w:rsidRPr="00B33098" w:rsidRDefault="00E82AD0" w:rsidP="00A57759">
      <w:pPr>
        <w:spacing w:after="120" w:line="276" w:lineRule="auto"/>
        <w:jc w:val="both"/>
        <w:rPr>
          <w:rFonts w:ascii="Times New Roman" w:eastAsia="Times New Roman" w:hAnsi="Times New Roman" w:cs="Times New Roman"/>
          <w:noProof/>
          <w:sz w:val="24"/>
          <w:szCs w:val="24"/>
        </w:rPr>
      </w:pPr>
      <w:r>
        <w:rPr>
          <w:rFonts w:ascii="Times New Roman" w:hAnsi="Times New Roman"/>
          <w:noProof/>
          <w:sz w:val="24"/>
        </w:rPr>
        <w:t>În acest context, Comisia:</w:t>
      </w:r>
    </w:p>
    <w:p w14:paraId="2E2034D4" w14:textId="2AAFE276" w:rsidR="00E82AD0" w:rsidRPr="004E3714" w:rsidRDefault="00E82AD0" w:rsidP="00835196">
      <w:pPr>
        <w:pStyle w:val="ListParagraph"/>
        <w:numPr>
          <w:ilvl w:val="0"/>
          <w:numId w:val="51"/>
        </w:numPr>
        <w:spacing w:after="120" w:line="276" w:lineRule="auto"/>
        <w:contextualSpacing w:val="0"/>
        <w:jc w:val="both"/>
        <w:rPr>
          <w:rFonts w:ascii="Times New Roman" w:hAnsi="Times New Roman" w:cs="Times New Roman"/>
          <w:noProof/>
          <w:sz w:val="24"/>
          <w:szCs w:val="24"/>
        </w:rPr>
      </w:pPr>
      <w:r>
        <w:rPr>
          <w:rFonts w:ascii="Times New Roman" w:hAnsi="Times New Roman"/>
          <w:b/>
          <w:i/>
          <w:noProof/>
          <w:sz w:val="24"/>
        </w:rPr>
        <w:t>va propune, ca parte a Regulamentului privind cerințele de capital (CRR), un regim care să permită identificarea mai clară a băncilor mici și cu un grad redus de complexitate în cadrul de reglementare, indiferent de structura lor juridică și organizațională, eventual prin ajustarea criteriilor și a pragurilor actuale, astfel încât acestea să reflecte mai bine realitatea sectorului bancar din UE, precum și prin instituirea unui număr mai mic de cerințe, mai bine adaptate și mai simple, pentru dimensiunile prudențială, macroprudențială și de rezoluție. Acest regim ar trebui, de asemenea, să permită ABE să elaboreze măsurile de nivel 2 și de nivel 3 într-un mod care să răspundă mai eficient nevoilor băncilor mici și cu un grad redus de complexitate, prin reducerea numărului de cerințe și de procese;</w:t>
      </w:r>
    </w:p>
    <w:p w14:paraId="03220E80" w14:textId="7747FF39" w:rsidR="00165013" w:rsidRPr="004E3714" w:rsidRDefault="00165013" w:rsidP="00835196">
      <w:pPr>
        <w:pStyle w:val="ListParagraph"/>
        <w:numPr>
          <w:ilvl w:val="0"/>
          <w:numId w:val="51"/>
        </w:numPr>
        <w:spacing w:after="120" w:line="276" w:lineRule="auto"/>
        <w:contextualSpacing w:val="0"/>
        <w:jc w:val="both"/>
        <w:rPr>
          <w:rFonts w:ascii="Times New Roman" w:hAnsi="Times New Roman" w:cs="Times New Roman"/>
          <w:noProof/>
          <w:sz w:val="24"/>
          <w:szCs w:val="24"/>
        </w:rPr>
      </w:pPr>
      <w:r>
        <w:rPr>
          <w:rFonts w:ascii="Times New Roman" w:hAnsi="Times New Roman"/>
          <w:b/>
          <w:i/>
          <w:noProof/>
          <w:sz w:val="24"/>
        </w:rPr>
        <w:t>În contextul finalizării uniunii bancare, Comisia își va continua dialogul cu MUS și SRB cu privire la aplicarea eficientă a proporționalității, inclusiv în ceea ce privește circumstanțele specifice care justifică calificarea instituțiilor de credit ca fiind mai puțin semnificative, în pofida îndeplinirii criteriilor de importanță implicite prevăzute în Regulamentul privind MUS.</w:t>
      </w:r>
    </w:p>
    <w:p w14:paraId="7197C43F" w14:textId="7E4515DF" w:rsidR="00766110" w:rsidRPr="00B33098" w:rsidRDefault="00766110" w:rsidP="00190F05">
      <w:pPr>
        <w:spacing w:after="120" w:line="276" w:lineRule="auto"/>
        <w:jc w:val="both"/>
        <w:rPr>
          <w:rFonts w:ascii="Times New Roman" w:eastAsia="Times New Roman" w:hAnsi="Times New Roman" w:cs="Times New Roman"/>
          <w:noProof/>
          <w:sz w:val="24"/>
          <w:szCs w:val="24"/>
        </w:rPr>
      </w:pPr>
      <w:r>
        <w:rPr>
          <w:rFonts w:ascii="Times New Roman" w:hAnsi="Times New Roman"/>
          <w:noProof/>
          <w:sz w:val="24"/>
        </w:rPr>
        <w:t>Mai mult, firmele de investiții susțin diversitatea și profunzimea pieței de capital, oferind servicii care completează și concurează cu cele ale instituțiilor de credit, precum furnizarea de lichidități, facilitarea alocării eficiente a capitalului și sprijinirea emiterii de titluri de capital și de titluri de creanță. Orice obstacol nejustificat din cadrul de reglementare care limitează contribuția firmelor de investiții trebuie, la rândul său, eliminat. Avizul comun al ABE și al ESMA privind funcționarea cadrului prudențial aplicabil firmelor de investiții</w:t>
      </w:r>
      <w:r w:rsidRPr="00B33098">
        <w:rPr>
          <w:rStyle w:val="FootnoteReference"/>
          <w:rFonts w:ascii="Times New Roman" w:eastAsia="Times New Roman" w:hAnsi="Times New Roman" w:cs="Times New Roman"/>
          <w:noProof/>
          <w:sz w:val="24"/>
          <w:szCs w:val="24"/>
          <w:lang w:val="en-IE"/>
        </w:rPr>
        <w:footnoteReference w:id="23"/>
      </w:r>
      <w:r w:rsidR="000E3801">
        <w:rPr>
          <w:rStyle w:val="FootnoteReference"/>
          <w:noProof/>
        </w:rPr>
        <w:t xml:space="preserve"> </w:t>
      </w:r>
      <w:r>
        <w:rPr>
          <w:rFonts w:ascii="Times New Roman" w:hAnsi="Times New Roman"/>
          <w:noProof/>
          <w:sz w:val="24"/>
        </w:rPr>
        <w:t xml:space="preserve">a concluzionat că regulamentul își îndeplinește obiectivele inițiale, sugerând, totodată, modificări specifice. </w:t>
      </w:r>
    </w:p>
    <w:p w14:paraId="000012B0" w14:textId="77777777" w:rsidR="0048463F" w:rsidRPr="00B33098" w:rsidRDefault="0048463F" w:rsidP="00B51A08">
      <w:pPr>
        <w:spacing w:after="120" w:line="276" w:lineRule="auto"/>
        <w:jc w:val="both"/>
        <w:rPr>
          <w:rFonts w:ascii="Times New Roman" w:eastAsia="Times New Roman" w:hAnsi="Times New Roman" w:cs="Times New Roman"/>
          <w:noProof/>
          <w:sz w:val="24"/>
          <w:szCs w:val="24"/>
        </w:rPr>
      </w:pPr>
      <w:r>
        <w:rPr>
          <w:rFonts w:ascii="Times New Roman" w:hAnsi="Times New Roman"/>
          <w:noProof/>
          <w:sz w:val="24"/>
        </w:rPr>
        <w:t>În acest context, Comisia:</w:t>
      </w:r>
    </w:p>
    <w:p w14:paraId="116FA146" w14:textId="115BA3B8" w:rsidR="0090086B" w:rsidRPr="00B33098" w:rsidRDefault="00E82AD0" w:rsidP="00835196">
      <w:pPr>
        <w:pStyle w:val="ListParagraph"/>
        <w:numPr>
          <w:ilvl w:val="0"/>
          <w:numId w:val="51"/>
        </w:numPr>
        <w:spacing w:after="120" w:line="276" w:lineRule="auto"/>
        <w:contextualSpacing w:val="0"/>
        <w:jc w:val="both"/>
        <w:rPr>
          <w:rFonts w:ascii="Times New Roman" w:hAnsi="Times New Roman" w:cs="Times New Roman"/>
          <w:b/>
          <w:bCs/>
          <w:i/>
          <w:iCs/>
          <w:noProof/>
          <w:sz w:val="24"/>
          <w:szCs w:val="24"/>
        </w:rPr>
      </w:pPr>
      <w:r>
        <w:rPr>
          <w:rFonts w:ascii="Times New Roman" w:hAnsi="Times New Roman"/>
          <w:b/>
          <w:i/>
          <w:noProof/>
          <w:sz w:val="24"/>
        </w:rPr>
        <w:t>va propune modificări specifice ale cadrului prudențial aplicabil firmelor de investiții, inclusiv în ceea ce privește structura pragurilor, guvernanța și cerințele de remunerare și va revizui calibrarea cerințelor de capital și de lichiditate.</w:t>
      </w:r>
    </w:p>
    <w:p w14:paraId="1F049B58" w14:textId="77777777" w:rsidR="00D64AF9" w:rsidRPr="000E3801" w:rsidRDefault="00D64AF9" w:rsidP="00A57759">
      <w:pPr>
        <w:rPr>
          <w:i/>
          <w:iCs/>
          <w:noProof/>
          <w:sz w:val="28"/>
          <w:szCs w:val="28"/>
        </w:rPr>
      </w:pPr>
    </w:p>
    <w:p w14:paraId="714463A2" w14:textId="2CFFFDD6" w:rsidR="0037531B" w:rsidRPr="00B33098" w:rsidRDefault="000E3801" w:rsidP="00416C6B">
      <w:pPr>
        <w:pStyle w:val="ListParagraph"/>
        <w:numPr>
          <w:ilvl w:val="1"/>
          <w:numId w:val="14"/>
        </w:numPr>
        <w:spacing w:line="276" w:lineRule="auto"/>
        <w:jc w:val="both"/>
        <w:rPr>
          <w:rFonts w:ascii="Times New Roman" w:hAnsi="Times New Roman" w:cs="Times New Roman"/>
          <w:b/>
          <w:i/>
          <w:iCs/>
          <w:noProof/>
          <w:sz w:val="28"/>
          <w:szCs w:val="28"/>
        </w:rPr>
      </w:pPr>
      <w:r>
        <w:rPr>
          <w:rFonts w:ascii="Times New Roman" w:hAnsi="Times New Roman"/>
          <w:b/>
          <w:i/>
          <w:noProof/>
          <w:sz w:val="28"/>
        </w:rPr>
        <w:t xml:space="preserve"> </w:t>
      </w:r>
      <w:r w:rsidR="0015284D">
        <w:rPr>
          <w:rFonts w:ascii="Times New Roman" w:hAnsi="Times New Roman"/>
          <w:b/>
          <w:i/>
          <w:noProof/>
          <w:sz w:val="28"/>
        </w:rPr>
        <w:t>Simplificarea cadrului de reglementare</w:t>
      </w:r>
    </w:p>
    <w:p w14:paraId="4321C9A8" w14:textId="543FC0BD" w:rsidR="003B318D" w:rsidRPr="00B33098" w:rsidRDefault="00733758" w:rsidP="0077096C">
      <w:pPr>
        <w:spacing w:line="276" w:lineRule="auto"/>
        <w:jc w:val="both"/>
        <w:rPr>
          <w:rFonts w:ascii="Times New Roman" w:hAnsi="Times New Roman" w:cs="Times New Roman"/>
          <w:noProof/>
          <w:sz w:val="24"/>
          <w:szCs w:val="24"/>
        </w:rPr>
      </w:pPr>
      <w:r>
        <w:rPr>
          <w:rFonts w:ascii="Times New Roman" w:hAnsi="Times New Roman"/>
          <w:b/>
          <w:noProof/>
          <w:sz w:val="24"/>
        </w:rPr>
        <w:t>Simplificarea cadrului de reglementare poate aduce beneficii concrete băncilor și autorităților de supraveghere, fără a submina reziliența sectorului bancar</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 xml:space="preserve">Complexitatea cadrului a fost accentuată de revizuirile succesive ale normelor microprudențiale, de rezoluție și macroprudențiale, efectuate adesea în mod independent, fără a se acorda suficientă atenție modului în care acestea interacționează. În prezent, sunt necesare măsuri pentru eliminarea granularității excesive, a suprapunerilor și a inconsecvențelor din cadrul diferitelor seturi de norme și dintre acestea. Însă reducerea complexității nejustificate nu ar trebui să conducă la o dereglementare care să submineze în mod fundamental reziliența sectorului bancar, întrucât aceasta reprezintă o condiție prealabilă pentru competitivitatea acestuia. </w:t>
      </w:r>
    </w:p>
    <w:p w14:paraId="461D1661" w14:textId="2CD1F019" w:rsidR="6CDD915C" w:rsidRPr="00B33098" w:rsidRDefault="00224AFA" w:rsidP="0077096C">
      <w:pPr>
        <w:spacing w:line="276" w:lineRule="auto"/>
        <w:jc w:val="both"/>
        <w:rPr>
          <w:rFonts w:ascii="Times New Roman" w:eastAsia="Times New Roman" w:hAnsi="Times New Roman" w:cs="Times New Roman"/>
          <w:noProof/>
          <w:sz w:val="24"/>
          <w:szCs w:val="24"/>
        </w:rPr>
      </w:pPr>
      <w:r>
        <w:rPr>
          <w:rFonts w:ascii="Times New Roman" w:hAnsi="Times New Roman"/>
          <w:noProof/>
          <w:sz w:val="24"/>
        </w:rPr>
        <w:t>Mai mult decât atât, raportarea în temeiul cadrului de reglementare a devenit nejustificat de împovărătoare și costisitoare. Cerințele de raportare care nu contribuie în mod proporțional la consolidarea rezilienței sectorului bancar și a integrării pieței ar trebui reduse sau eliminate din cadrul de reglementare.</w:t>
      </w:r>
    </w:p>
    <w:p w14:paraId="4196EF87" w14:textId="5AC5CFDA" w:rsidR="00FC0AC8" w:rsidRPr="00B33098" w:rsidRDefault="00CE3474" w:rsidP="00C83CF1">
      <w:pPr>
        <w:pStyle w:val="ListParagraph"/>
        <w:numPr>
          <w:ilvl w:val="0"/>
          <w:numId w:val="31"/>
        </w:numPr>
        <w:spacing w:line="276" w:lineRule="auto"/>
        <w:jc w:val="both"/>
        <w:rPr>
          <w:rFonts w:ascii="Times New Roman" w:hAnsi="Times New Roman" w:cs="Times New Roman"/>
          <w:b/>
          <w:bCs/>
          <w:noProof/>
          <w:sz w:val="28"/>
          <w:szCs w:val="28"/>
        </w:rPr>
      </w:pPr>
      <w:r>
        <w:rPr>
          <w:rFonts w:ascii="Times New Roman" w:hAnsi="Times New Roman"/>
          <w:b/>
          <w:i/>
          <w:noProof/>
          <w:sz w:val="28"/>
        </w:rPr>
        <w:t>Norme microprudențiale</w:t>
      </w:r>
    </w:p>
    <w:p w14:paraId="02483F23" w14:textId="523234C8" w:rsidR="003A7870" w:rsidRPr="00B33098" w:rsidRDefault="0008782E" w:rsidP="00A11DB0">
      <w:pPr>
        <w:spacing w:line="276" w:lineRule="auto"/>
        <w:jc w:val="both"/>
        <w:rPr>
          <w:rFonts w:ascii="Times New Roman" w:eastAsia="Times New Roman" w:hAnsi="Times New Roman" w:cs="Times New Roman"/>
          <w:b/>
          <w:bCs/>
          <w:noProof/>
          <w:sz w:val="24"/>
          <w:szCs w:val="24"/>
        </w:rPr>
      </w:pPr>
      <w:r>
        <w:rPr>
          <w:rFonts w:ascii="Times New Roman" w:hAnsi="Times New Roman"/>
          <w:b/>
          <w:noProof/>
          <w:sz w:val="24"/>
        </w:rPr>
        <w:t>Normele microprudențiale includ cerințele din pilonul 1, cerințele din pilonul 2 și orientările din pilonul 2</w:t>
      </w:r>
      <w:r>
        <w:rPr>
          <w:rFonts w:ascii="Times New Roman" w:hAnsi="Times New Roman"/>
          <w:noProof/>
          <w:sz w:val="24"/>
        </w:rPr>
        <w:t>. Cerințele din pilonul 1 stabilesc nivelurile minime de capital pe care o bancă trebuie să le dețină. Cerințele din pilonul 2 stabilesc niveluri de capital specifice fiecărei bănci</w:t>
      </w:r>
      <w:r>
        <w:rPr>
          <w:rFonts w:ascii="Times New Roman" w:hAnsi="Times New Roman"/>
          <w:noProof/>
          <w:sz w:val="20"/>
        </w:rPr>
        <w:t xml:space="preserve">, </w:t>
      </w:r>
      <w:r>
        <w:rPr>
          <w:rFonts w:ascii="Times New Roman" w:hAnsi="Times New Roman"/>
          <w:noProof/>
          <w:sz w:val="24"/>
        </w:rPr>
        <w:t>în timp ce orientările din pilonul 2 sunt, de asemenea, specifice fiecărei bănci, dar nu au caracter obligatoriu și reflectă așteptările autorităților de supraveghere cu privire la nivelul total de capital pe care băncile ar trebui să îl mențină pentru a face față perioadelor de criză.</w:t>
      </w:r>
      <w:r>
        <w:rPr>
          <w:noProof/>
        </w:rPr>
        <w:t xml:space="preserve"> </w:t>
      </w:r>
      <w:r>
        <w:rPr>
          <w:rFonts w:ascii="Times New Roman" w:hAnsi="Times New Roman"/>
          <w:noProof/>
          <w:sz w:val="24"/>
        </w:rPr>
        <w:t>Pe lângă cerințele bazate pe riscuri, autoritățile de supraveghere pot stabili și cerințe privind indicatorul efectului de levier în cadrul pilonului 2.</w:t>
      </w:r>
      <w:r>
        <w:rPr>
          <w:rFonts w:ascii="Times New Roman" w:hAnsi="Times New Roman"/>
          <w:b/>
          <w:noProof/>
          <w:sz w:val="24"/>
        </w:rPr>
        <w:t xml:space="preserve"> </w:t>
      </w:r>
    </w:p>
    <w:p w14:paraId="7C1D2441" w14:textId="23B217D0" w:rsidR="0058736B" w:rsidRPr="00B33098" w:rsidRDefault="0058736B" w:rsidP="00A11DB0">
      <w:pPr>
        <w:spacing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Au fost exprimate preocupări cu privire la modul în care sunt concepute și aplicate în prezent cerințele și orientările din pilonul 2, în special în ceea ce privește posibilele suprapuneri cu alte cerințe, care pot conduce la dubla contabilizare. Totodată, au fost exprimate preocupări cu privire la transparența limitată a metodologiilor utilizate pentru stabilirea cerințelor și orientărilor din pilonul 2, ceea ce a generat o cerere pentru explicarea mai clară a deciziilor, sporirea clarității și a stimulentelor legate de remediere, precum și o mai bună reflectare a riscurilor subiacente. </w:t>
      </w:r>
    </w:p>
    <w:p w14:paraId="2C0E9C8D" w14:textId="7601D1AF" w:rsidR="009E4E59" w:rsidRPr="00B33098" w:rsidRDefault="22EFCA23" w:rsidP="00224545">
      <w:pPr>
        <w:spacing w:line="276" w:lineRule="auto"/>
        <w:jc w:val="both"/>
        <w:rPr>
          <w:rFonts w:ascii="Times New Roman" w:eastAsia="Times New Roman" w:hAnsi="Times New Roman" w:cs="Times New Roman"/>
          <w:noProof/>
          <w:sz w:val="24"/>
          <w:szCs w:val="24"/>
        </w:rPr>
      </w:pPr>
      <w:r>
        <w:rPr>
          <w:rFonts w:ascii="Times New Roman" w:hAnsi="Times New Roman"/>
          <w:b/>
          <w:noProof/>
          <w:sz w:val="24"/>
        </w:rPr>
        <w:t>În cadrul MUS s-a asumat deja punerea în aplicare a unei serii de îmbunătățiri privind cerințele și orientările din pilonul 2</w:t>
      </w:r>
      <w:r>
        <w:rPr>
          <w:rFonts w:ascii="Times New Roman" w:hAnsi="Times New Roman"/>
          <w:noProof/>
          <w:sz w:val="24"/>
        </w:rPr>
        <w:t xml:space="preserve">. Recent, MUS a introdus o nouă metodologie pentru cerințele din pilonul 2 și a propus o agendă de reformă menită să sporească, într-un sens mai larg, eficiența, eficacitatea și caracterul bazat pe riscuri al supravegherii prudențiale. Aceste reforme reprezintă un pas important în direcția asigurării unui cadru adecvat de supraveghere prudențială. Pentru a completa aceste eforturi în curs, ar putea fi avute în vedere măsuri suplimentare pentru a se asigura că cerințele de supraveghere rămân bazate pe riscuri și proporționale, evitând, în același timp, complexitatea inutilă și suprapunerile cu alte componente ale cadrului de capital. </w:t>
      </w:r>
    </w:p>
    <w:p w14:paraId="6E02F202" w14:textId="3D4C1D58" w:rsidR="00CD2AF4" w:rsidRPr="00B33098" w:rsidRDefault="0008782E" w:rsidP="00F67804">
      <w:pPr>
        <w:spacing w:line="276" w:lineRule="auto"/>
        <w:jc w:val="both"/>
        <w:rPr>
          <w:rFonts w:ascii="Times New Roman" w:eastAsia="Times New Roman" w:hAnsi="Times New Roman" w:cs="Times New Roman"/>
          <w:noProof/>
          <w:sz w:val="24"/>
          <w:szCs w:val="24"/>
        </w:rPr>
      </w:pPr>
      <w:r>
        <w:rPr>
          <w:rFonts w:ascii="Times New Roman" w:hAnsi="Times New Roman"/>
          <w:noProof/>
          <w:sz w:val="24"/>
        </w:rPr>
        <w:t>În acest context, Comisia:</w:t>
      </w:r>
    </w:p>
    <w:p w14:paraId="49AC4DB2" w14:textId="441D6F52" w:rsidR="009E4E59" w:rsidRPr="00B33098" w:rsidRDefault="0008782E" w:rsidP="00835196">
      <w:pPr>
        <w:pStyle w:val="ListParagraph"/>
        <w:numPr>
          <w:ilvl w:val="0"/>
          <w:numId w:val="52"/>
        </w:numPr>
        <w:spacing w:after="120" w:line="276" w:lineRule="auto"/>
        <w:contextualSpacing w:val="0"/>
        <w:jc w:val="both"/>
        <w:rPr>
          <w:rFonts w:ascii="Times New Roman" w:eastAsia="Times New Roman" w:hAnsi="Times New Roman" w:cs="Times New Roman"/>
          <w:b/>
          <w:bCs/>
          <w:i/>
          <w:iCs/>
          <w:noProof/>
          <w:sz w:val="24"/>
          <w:szCs w:val="24"/>
        </w:rPr>
      </w:pPr>
      <w:r>
        <w:rPr>
          <w:rFonts w:ascii="Times New Roman" w:hAnsi="Times New Roman"/>
          <w:b/>
          <w:i/>
          <w:noProof/>
          <w:sz w:val="24"/>
        </w:rPr>
        <w:t>va propune măsuri pentru îmbunătățirea funcționării orientărilor din pilonul 2, pentru a asigura o aplicare specifică a acestora;</w:t>
      </w:r>
    </w:p>
    <w:p w14:paraId="375A1410" w14:textId="7B9E7C5E" w:rsidR="00537E93" w:rsidRPr="00B33098" w:rsidRDefault="006846A5" w:rsidP="00835196">
      <w:pPr>
        <w:pStyle w:val="ListParagraph"/>
        <w:numPr>
          <w:ilvl w:val="0"/>
          <w:numId w:val="52"/>
        </w:numPr>
        <w:spacing w:after="120" w:line="276" w:lineRule="auto"/>
        <w:contextualSpacing w:val="0"/>
        <w:jc w:val="both"/>
        <w:rPr>
          <w:rFonts w:ascii="Times New Roman" w:eastAsia="Times New Roman" w:hAnsi="Times New Roman" w:cs="Times New Roman"/>
          <w:b/>
          <w:bCs/>
          <w:i/>
          <w:iCs/>
          <w:noProof/>
          <w:sz w:val="24"/>
          <w:szCs w:val="24"/>
        </w:rPr>
      </w:pPr>
      <w:r>
        <w:rPr>
          <w:rFonts w:ascii="Times New Roman" w:hAnsi="Times New Roman"/>
          <w:b/>
          <w:i/>
          <w:noProof/>
          <w:sz w:val="24"/>
        </w:rPr>
        <w:t xml:space="preserve">va propune eliminarea cerințelor de capital din pilonul 2 legate de indicatorul efectului de levier. </w:t>
      </w:r>
    </w:p>
    <w:p w14:paraId="69010307" w14:textId="77777777" w:rsidR="0001209B" w:rsidRPr="000E3801" w:rsidRDefault="0001209B" w:rsidP="00A57759">
      <w:pPr>
        <w:pStyle w:val="ListParagraph"/>
        <w:rPr>
          <w:i/>
          <w:iCs/>
          <w:noProof/>
          <w:lang w:val="fr-FR"/>
        </w:rPr>
      </w:pPr>
    </w:p>
    <w:p w14:paraId="762D5DD2" w14:textId="619FCB1C" w:rsidR="00CE3474" w:rsidRPr="00B33098" w:rsidRDefault="007F6650" w:rsidP="00C83CF1">
      <w:pPr>
        <w:pStyle w:val="ListParagraph"/>
        <w:numPr>
          <w:ilvl w:val="0"/>
          <w:numId w:val="31"/>
        </w:numPr>
        <w:spacing w:line="276" w:lineRule="auto"/>
        <w:jc w:val="both"/>
        <w:rPr>
          <w:rFonts w:ascii="Times New Roman" w:hAnsi="Times New Roman" w:cs="Times New Roman"/>
          <w:b/>
          <w:bCs/>
          <w:i/>
          <w:iCs/>
          <w:noProof/>
          <w:sz w:val="28"/>
          <w:szCs w:val="28"/>
        </w:rPr>
      </w:pPr>
      <w:r>
        <w:rPr>
          <w:rFonts w:ascii="Times New Roman" w:hAnsi="Times New Roman"/>
          <w:b/>
          <w:i/>
          <w:noProof/>
          <w:sz w:val="28"/>
        </w:rPr>
        <w:t>Norme în materie de rezoluție</w:t>
      </w:r>
    </w:p>
    <w:p w14:paraId="286B2ED4" w14:textId="77777777" w:rsidR="00284838" w:rsidRPr="00B33098" w:rsidRDefault="00C426B3" w:rsidP="57DCB12C">
      <w:pPr>
        <w:spacing w:line="276" w:lineRule="auto"/>
        <w:jc w:val="both"/>
        <w:rPr>
          <w:rFonts w:ascii="Times New Roman" w:hAnsi="Times New Roman" w:cs="Times New Roman"/>
          <w:noProof/>
          <w:sz w:val="24"/>
          <w:szCs w:val="24"/>
        </w:rPr>
      </w:pPr>
      <w:r>
        <w:rPr>
          <w:rFonts w:ascii="Times New Roman" w:hAnsi="Times New Roman"/>
          <w:b/>
          <w:noProof/>
          <w:sz w:val="24"/>
        </w:rPr>
        <w:t>Normele UE în materie de rezoluție impun băncilor să dețină un cuantum minim de fonduri proprii și datorii eligibile (MREL), pentru a se asigura că pot absorbi pierderile în caz de intrare în dificultate.</w:t>
      </w:r>
      <w:r>
        <w:rPr>
          <w:rFonts w:ascii="Times New Roman" w:hAnsi="Times New Roman"/>
          <w:noProof/>
          <w:sz w:val="24"/>
        </w:rPr>
        <w:t xml:space="preserve"> Deși acest lucru a sporit reziliența băncilor din UE, actuala structură a MREL a devenit complexă și, în unele cazuri, generează suprapuneri, în special din cauza criteriilor de eligibilitate și a calibrării diferite aplicabile cerințelor MREL și cerințelor privind capacitatea totală de absorbție a pierderilor (TLAC), prevăzute de standardele internaționale. Această complexitate reduce previzibilitatea și coerența și afectează condițiile de concurență echitabile între băncile din UE. </w:t>
      </w:r>
    </w:p>
    <w:p w14:paraId="2AE20C11" w14:textId="384472BC" w:rsidR="00284838" w:rsidRPr="00B33098" w:rsidRDefault="004326F5" w:rsidP="57DCB12C">
      <w:pPr>
        <w:spacing w:line="276" w:lineRule="auto"/>
        <w:jc w:val="both"/>
        <w:rPr>
          <w:rFonts w:ascii="Times New Roman" w:hAnsi="Times New Roman" w:cs="Times New Roman"/>
          <w:noProof/>
          <w:sz w:val="24"/>
          <w:szCs w:val="24"/>
        </w:rPr>
      </w:pPr>
      <w:r>
        <w:rPr>
          <w:rFonts w:ascii="Times New Roman" w:hAnsi="Times New Roman"/>
          <w:noProof/>
          <w:sz w:val="24"/>
        </w:rPr>
        <w:t xml:space="preserve">Normele de rezoluție includ, de asemenea, dispoziții auxiliare, derivate din regimul fondurilor proprii, care sunt uneori excesiv de complexe pentru instrumentele MREL. De exemplu, regimul de aprobare prealabilă, conceput pentru a proteja capacitatea băncilor de absorbție a pierderilor, a impus sarcini administrative băncilor și autorităților de rezoluție. Deși SRB a propus o nouă abordare simplificată, menită să accelereze acordarea acestor aprobări băncilor care doresc să răscumpere sau să își înlocuiască instrumentele MREL, sunt necesare îmbunătățiri suplimentare. </w:t>
      </w:r>
    </w:p>
    <w:p w14:paraId="6CBE85C8" w14:textId="3A677B9D" w:rsidR="00284838" w:rsidRPr="00B33098" w:rsidRDefault="004453FD" w:rsidP="57DCB12C">
      <w:pPr>
        <w:spacing w:line="276" w:lineRule="auto"/>
        <w:jc w:val="both"/>
        <w:rPr>
          <w:rFonts w:ascii="Times New Roman" w:hAnsi="Times New Roman" w:cs="Times New Roman"/>
          <w:noProof/>
          <w:sz w:val="24"/>
          <w:szCs w:val="24"/>
        </w:rPr>
      </w:pPr>
      <w:r>
        <w:rPr>
          <w:rFonts w:ascii="Times New Roman" w:hAnsi="Times New Roman"/>
          <w:noProof/>
          <w:sz w:val="24"/>
        </w:rPr>
        <w:t xml:space="preserve">Pe lângă stabilirea cerințelor MREL, SRB și autoritățile naționale de rezoluție au obligația de a elabora planuri de rezoluție pentru bănci. Acesta este un proces îndelungat și împovărător, care nu reflectă faptul că, după mai multe iterații, planurile de rezoluție ale băncilor sunt în prezent mai mature și ar putea fi simplificate, pentru a elibera resurse atât la nivelul băncilor, cât și al autorităților, care să poată fi dedicate operaționalizării și testării acestor planuri. </w:t>
      </w:r>
    </w:p>
    <w:p w14:paraId="297C1BB7" w14:textId="3B98B758" w:rsidR="00A661BB" w:rsidRPr="00B33098" w:rsidRDefault="0008782E" w:rsidP="57DCB12C">
      <w:pPr>
        <w:spacing w:line="276" w:lineRule="auto"/>
        <w:jc w:val="both"/>
        <w:rPr>
          <w:rFonts w:ascii="Times New Roman" w:hAnsi="Times New Roman" w:cs="Times New Roman"/>
          <w:noProof/>
          <w:sz w:val="24"/>
          <w:szCs w:val="24"/>
        </w:rPr>
      </w:pPr>
      <w:r>
        <w:rPr>
          <w:rFonts w:ascii="Times New Roman" w:hAnsi="Times New Roman"/>
          <w:noProof/>
          <w:sz w:val="24"/>
        </w:rPr>
        <w:t>În acest context, Comisia:</w:t>
      </w:r>
    </w:p>
    <w:p w14:paraId="692E3EF8" w14:textId="2EFE0516" w:rsidR="00E1619C" w:rsidRPr="00B33098" w:rsidRDefault="0008782E" w:rsidP="00835196">
      <w:pPr>
        <w:pStyle w:val="ListParagraph"/>
        <w:numPr>
          <w:ilvl w:val="0"/>
          <w:numId w:val="53"/>
        </w:numPr>
        <w:spacing w:after="120" w:line="276" w:lineRule="auto"/>
        <w:contextualSpacing w:val="0"/>
        <w:jc w:val="both"/>
        <w:rPr>
          <w:rFonts w:ascii="Times New Roman" w:hAnsi="Times New Roman" w:cs="Times New Roman"/>
          <w:b/>
          <w:bCs/>
          <w:i/>
          <w:iCs/>
          <w:noProof/>
          <w:sz w:val="24"/>
          <w:szCs w:val="24"/>
        </w:rPr>
      </w:pPr>
      <w:r>
        <w:rPr>
          <w:rFonts w:ascii="Times New Roman" w:hAnsi="Times New Roman"/>
          <w:b/>
          <w:i/>
          <w:noProof/>
          <w:sz w:val="24"/>
        </w:rPr>
        <w:t>va propune revizuirea cadrului MREL, apropiindu-l de standardele internaționale prin eliminarea discrepanțelor inutile față de standardul TLAC și prin introducerea unei calibrări mai simple, mai automate și mai previzibile; Cadrul revizuit va menține reziliența cadrului de rezoluție, va păstra stimulentele pentru asigurarea posibilității de rezoluție și va asigura caracterul proporțional al cerințelor, în special pentru băncile mai mici;</w:t>
      </w:r>
    </w:p>
    <w:p w14:paraId="1FC53BB7" w14:textId="6215E8AB" w:rsidR="00553BB2" w:rsidRPr="00B33098" w:rsidRDefault="0008782E" w:rsidP="00835196">
      <w:pPr>
        <w:pStyle w:val="ListParagraph"/>
        <w:numPr>
          <w:ilvl w:val="0"/>
          <w:numId w:val="53"/>
        </w:numPr>
        <w:spacing w:after="120" w:line="276" w:lineRule="auto"/>
        <w:contextualSpacing w:val="0"/>
        <w:jc w:val="both"/>
        <w:rPr>
          <w:rFonts w:ascii="Times New Roman" w:hAnsi="Times New Roman" w:cs="Times New Roman"/>
          <w:b/>
          <w:bCs/>
          <w:i/>
          <w:iCs/>
          <w:noProof/>
          <w:sz w:val="24"/>
          <w:szCs w:val="24"/>
        </w:rPr>
      </w:pPr>
      <w:r>
        <w:rPr>
          <w:rFonts w:ascii="Times New Roman" w:hAnsi="Times New Roman"/>
          <w:b/>
          <w:i/>
          <w:noProof/>
          <w:sz w:val="24"/>
        </w:rPr>
        <w:t>va propune simplificarea procesului de acordare a autorizațiilor băncilor aflate într-o poziție financiară solidă, pentru a accelera autorizarea răscumpărărilor și a operațiunilor de gestionare a datoriilor, a reduce costurile de asigurare a conformității și a spori flexibilitatea, menținând totodată posibilitatea de rezoluție și respectarea standardelor TLAC;</w:t>
      </w:r>
    </w:p>
    <w:p w14:paraId="64649F94" w14:textId="62F384ED" w:rsidR="00EF53E3" w:rsidRPr="00B33098" w:rsidRDefault="00000947" w:rsidP="00835196">
      <w:pPr>
        <w:pStyle w:val="ListParagraph"/>
        <w:numPr>
          <w:ilvl w:val="0"/>
          <w:numId w:val="53"/>
        </w:numPr>
        <w:spacing w:after="120" w:line="276" w:lineRule="auto"/>
        <w:contextualSpacing w:val="0"/>
        <w:jc w:val="both"/>
        <w:rPr>
          <w:rFonts w:ascii="Times New Roman" w:hAnsi="Times New Roman" w:cs="Times New Roman"/>
          <w:b/>
          <w:bCs/>
          <w:i/>
          <w:iCs/>
          <w:noProof/>
          <w:sz w:val="24"/>
          <w:szCs w:val="24"/>
        </w:rPr>
      </w:pPr>
      <w:r>
        <w:rPr>
          <w:rFonts w:ascii="Times New Roman" w:hAnsi="Times New Roman"/>
          <w:b/>
          <w:i/>
          <w:noProof/>
          <w:sz w:val="24"/>
        </w:rPr>
        <w:t>va propune ca anumite evaluări din etapa de planificare a rezoluției – inclusiv cele privind frecvența ciclurilor de planificare a rezoluției sau procedurile de adoptare aferente – să respecte într-o mai mare măsură principiul proporționalității, reflectând faptul că activitățile de planificare a rezoluției au ajuns la un grad mai ridicat de maturitate de la introducerea cadrului de gestionare a crizelor.</w:t>
      </w:r>
    </w:p>
    <w:p w14:paraId="40C9A4B7" w14:textId="77777777" w:rsidR="0001209B" w:rsidRPr="000E3801" w:rsidRDefault="0001209B" w:rsidP="00C83CF1">
      <w:pPr>
        <w:pStyle w:val="ListParagraph"/>
        <w:spacing w:after="120" w:line="276" w:lineRule="auto"/>
        <w:ind w:left="714"/>
        <w:contextualSpacing w:val="0"/>
        <w:jc w:val="both"/>
        <w:rPr>
          <w:rFonts w:ascii="Times New Roman" w:hAnsi="Times New Roman" w:cs="Times New Roman"/>
          <w:noProof/>
          <w:sz w:val="24"/>
          <w:szCs w:val="24"/>
        </w:rPr>
      </w:pPr>
    </w:p>
    <w:p w14:paraId="5A97A409" w14:textId="1289C8EE" w:rsidR="00A16B89" w:rsidRPr="00B33098" w:rsidRDefault="00A16B89" w:rsidP="00C83CF1">
      <w:pPr>
        <w:pStyle w:val="ListParagraph"/>
        <w:numPr>
          <w:ilvl w:val="0"/>
          <w:numId w:val="31"/>
        </w:numPr>
        <w:spacing w:line="276" w:lineRule="auto"/>
        <w:jc w:val="both"/>
        <w:rPr>
          <w:rFonts w:ascii="Times New Roman" w:hAnsi="Times New Roman" w:cs="Times New Roman"/>
          <w:b/>
          <w:bCs/>
          <w:i/>
          <w:noProof/>
          <w:sz w:val="28"/>
          <w:szCs w:val="28"/>
        </w:rPr>
      </w:pPr>
      <w:r>
        <w:rPr>
          <w:rFonts w:ascii="Times New Roman" w:hAnsi="Times New Roman"/>
          <w:b/>
          <w:i/>
          <w:noProof/>
          <w:sz w:val="28"/>
        </w:rPr>
        <w:t>Norme macroprudențiale</w:t>
      </w:r>
    </w:p>
    <w:p w14:paraId="4CD4C52A" w14:textId="4D22CD9D" w:rsidR="00F10C02" w:rsidRPr="00B33098" w:rsidRDefault="00A16B89" w:rsidP="00A16B89">
      <w:pPr>
        <w:spacing w:line="276" w:lineRule="auto"/>
        <w:jc w:val="both"/>
        <w:rPr>
          <w:rFonts w:ascii="Times New Roman" w:eastAsia="Times New Roman" w:hAnsi="Times New Roman" w:cs="Times New Roman"/>
          <w:noProof/>
          <w:sz w:val="24"/>
          <w:szCs w:val="24"/>
        </w:rPr>
      </w:pPr>
      <w:r>
        <w:rPr>
          <w:rFonts w:ascii="Times New Roman" w:hAnsi="Times New Roman"/>
          <w:b/>
          <w:noProof/>
          <w:sz w:val="24"/>
        </w:rPr>
        <w:t xml:space="preserve">Autoritățile naționale sunt responsabile de stabilirea măsurilor macroprudențiale, ținând seama totodată de particularitățile propriilor sectoare bancare și ale ciclurilor economice, utilizând un set de instrumente care include amortizoare de capital, instrumente de ajustare a ponderilor de risc și măsuri bazate pe debitori. </w:t>
      </w:r>
      <w:r>
        <w:rPr>
          <w:rFonts w:ascii="Times New Roman" w:hAnsi="Times New Roman"/>
          <w:noProof/>
          <w:sz w:val="24"/>
        </w:rPr>
        <w:t>Măsurile macroprudențiale cu cel mai mare impact sunt amortizoarele de capital, care sunt stabilite pe lângă cerințele din pilonul 1 și din pilonul 2 și pot fi utilizate de bănci în perioade dificile pentru a evita reducerea gradului de îndatorare și a menține creditarea economiei. Acest cadru descentralizat a devenit deosebit de complex în absența unei metodologii armonizate la nivelul UE, complexitate determinată de numărul mare de amortizoare de capital, de conceperea acestora pentru a răspunde unor riscuri și evenimente specifice, de marja de apreciere a autorităților naționale în stabilirea nivelului amortizoarelor și în identificarea băncilor cărora li se aplică acestea. Lipsa de previzibilitate și de coerență în aplicarea acestui cadru poate afecta deciziile comerciale ale băncilor, în special în ceea ce privește activitatea transfrontalieră, consolidarea sau reorganizarea. În plus, guvernanța pe mai multe niveluri, care implică atât autoritățile naționale, cât și pe cele ale UE, creează o complexitate suplimentară. Recomandările Grupului operativ la nivel înalt al BCE privind simplificarea</w:t>
      </w:r>
      <w:r w:rsidR="007A1DF3" w:rsidRPr="00B33098">
        <w:rPr>
          <w:rStyle w:val="FootnoteReference"/>
          <w:rFonts w:ascii="Times New Roman" w:eastAsia="Times New Roman" w:hAnsi="Times New Roman" w:cs="Times New Roman"/>
          <w:noProof/>
          <w:sz w:val="24"/>
          <w:szCs w:val="24"/>
          <w:lang w:val="en-IE"/>
        </w:rPr>
        <w:footnoteReference w:id="24"/>
      </w:r>
      <w:r>
        <w:rPr>
          <w:rFonts w:ascii="Times New Roman" w:hAnsi="Times New Roman"/>
          <w:noProof/>
          <w:sz w:val="24"/>
        </w:rPr>
        <w:t xml:space="preserve">, precum și răspunsurile primite în cadrul consultării specifice confirmă aceste provocări. </w:t>
      </w:r>
    </w:p>
    <w:p w14:paraId="33E1AD33" w14:textId="625E0AE4" w:rsidR="00A16B89" w:rsidRPr="00B33098" w:rsidRDefault="008305D8" w:rsidP="00A16B89">
      <w:pPr>
        <w:spacing w:line="276" w:lineRule="auto"/>
        <w:jc w:val="both"/>
        <w:rPr>
          <w:rFonts w:ascii="Times New Roman" w:eastAsia="Times New Roman" w:hAnsi="Times New Roman" w:cs="Times New Roman"/>
          <w:noProof/>
          <w:sz w:val="24"/>
          <w:szCs w:val="24"/>
        </w:rPr>
      </w:pPr>
      <w:r>
        <w:rPr>
          <w:rFonts w:ascii="Times New Roman" w:hAnsi="Times New Roman"/>
          <w:noProof/>
          <w:sz w:val="24"/>
        </w:rPr>
        <w:t>În acest context, Comisia:</w:t>
      </w:r>
    </w:p>
    <w:p w14:paraId="587315D8" w14:textId="4B36E7F6" w:rsidR="0012618B" w:rsidRPr="00B33098" w:rsidRDefault="008305D8" w:rsidP="00835196">
      <w:pPr>
        <w:pStyle w:val="ListParagraph"/>
        <w:numPr>
          <w:ilvl w:val="0"/>
          <w:numId w:val="54"/>
        </w:numPr>
        <w:spacing w:after="120" w:line="276" w:lineRule="auto"/>
        <w:contextualSpacing w:val="0"/>
        <w:jc w:val="both"/>
        <w:rPr>
          <w:rFonts w:ascii="Times New Roman" w:hAnsi="Times New Roman" w:cs="Times New Roman"/>
          <w:b/>
          <w:bCs/>
          <w:i/>
          <w:iCs/>
          <w:noProof/>
          <w:sz w:val="24"/>
          <w:szCs w:val="24"/>
        </w:rPr>
      </w:pPr>
      <w:r>
        <w:rPr>
          <w:rFonts w:ascii="Times New Roman" w:hAnsi="Times New Roman"/>
          <w:b/>
          <w:i/>
          <w:noProof/>
          <w:sz w:val="24"/>
        </w:rPr>
        <w:t xml:space="preserve">va propune revizuirea cadrului macroprudențial pentru a asigura un set de instrumente mai simplu, precum și o convergență și o coerență sporite în aplicarea instrumentelor macroprudențiale în întreaga UE. Mai precis, numărul de amortizoare (amortizorul anticiclic, amortizorul de risc sistemic) ar trebui redus, iar conceperea și calibrarea acestora ar trebui îmbunătățite. Cadrul pentru alte instituții de importanță sistemică (O-SII) ar trebui armonizat prin remedierea deficiențelor privind identificarea O-SII și calibrarea amortizorului. </w:t>
      </w:r>
    </w:p>
    <w:p w14:paraId="13CEE407" w14:textId="77777777" w:rsidR="002F4AF4" w:rsidRPr="000E3801" w:rsidRDefault="002F4AF4" w:rsidP="0012618B">
      <w:pPr>
        <w:pStyle w:val="ListParagraph"/>
        <w:spacing w:after="120" w:line="276" w:lineRule="auto"/>
        <w:ind w:left="714"/>
        <w:contextualSpacing w:val="0"/>
        <w:jc w:val="both"/>
        <w:rPr>
          <w:rFonts w:ascii="Times New Roman" w:hAnsi="Times New Roman" w:cs="Times New Roman"/>
          <w:noProof/>
          <w:sz w:val="24"/>
          <w:szCs w:val="24"/>
        </w:rPr>
      </w:pPr>
    </w:p>
    <w:p w14:paraId="60476434" w14:textId="146D9FBD" w:rsidR="00CE3474" w:rsidRPr="00B33098" w:rsidRDefault="00C61173" w:rsidP="00C83CF1">
      <w:pPr>
        <w:pStyle w:val="ListParagraph"/>
        <w:numPr>
          <w:ilvl w:val="0"/>
          <w:numId w:val="31"/>
        </w:numPr>
        <w:spacing w:line="276" w:lineRule="auto"/>
        <w:jc w:val="both"/>
        <w:rPr>
          <w:rFonts w:ascii="Times New Roman" w:hAnsi="Times New Roman" w:cs="Times New Roman"/>
          <w:b/>
          <w:bCs/>
          <w:i/>
          <w:noProof/>
          <w:sz w:val="28"/>
          <w:szCs w:val="28"/>
        </w:rPr>
      </w:pPr>
      <w:r>
        <w:rPr>
          <w:rFonts w:ascii="Times New Roman" w:hAnsi="Times New Roman"/>
          <w:b/>
          <w:i/>
          <w:noProof/>
          <w:sz w:val="28"/>
        </w:rPr>
        <w:t>Interacțiunea dintre normele microprudențiale, de rezoluție și macroprudențiale</w:t>
      </w:r>
    </w:p>
    <w:p w14:paraId="5AEEC8EC" w14:textId="687D4BCA" w:rsidR="00AA764C" w:rsidRPr="00B33098" w:rsidRDefault="000D711F" w:rsidP="44B4B103">
      <w:pPr>
        <w:spacing w:line="276" w:lineRule="auto"/>
        <w:jc w:val="both"/>
        <w:rPr>
          <w:rFonts w:ascii="Times New Roman" w:hAnsi="Times New Roman" w:cs="Times New Roman"/>
          <w:noProof/>
          <w:sz w:val="24"/>
          <w:szCs w:val="24"/>
        </w:rPr>
      </w:pPr>
      <w:r>
        <w:rPr>
          <w:rFonts w:ascii="Times New Roman" w:hAnsi="Times New Roman"/>
          <w:b/>
          <w:noProof/>
          <w:sz w:val="24"/>
        </w:rPr>
        <w:t>Normele microprudențiale, macroprudențiale și de rezoluție sunt puse în aplicare în mod autonom de diferite autorități competente, dar interacționează în moduri care conduc adesea la cerințe care se suprapun și sunt lipsite de coerență</w:t>
      </w:r>
      <w:r>
        <w:rPr>
          <w:rFonts w:ascii="Times New Roman" w:hAnsi="Times New Roman"/>
          <w:noProof/>
          <w:sz w:val="24"/>
        </w:rPr>
        <w:t xml:space="preserve">. Această situație împovărează băncile prin suprapunerea nivelurilor de capital stabilite în scopuri diferite, dar care, în unele cazuri, pot viza aceleași riscuri și pot impune constrângeri nedorite asupra utilizării amortizoarelor de capital în perioade de criză. De exemplu, dubla contabilizare a anumitor instrumente în vederea respectării cerințelor privind amortizoarele de capital și a altor cerințe minime (indicatorul efectului de levier și MREL) poate împiedica băncile să utilizeze amortizoarele fără a încălca aceste cerințe. Percepțiile investitorilor și preocupările legate de rentabilitate pot complica, de asemenea, utilizarea amortizoarelor. Pentru a răspunde acestor provocări, autoritățile relevante trebuie să adopte o abordare holistică în stabilirea cerințelor microprudențiale, de rezoluție și macroprudențiale. Deși autoritățile ar trebui să își păstreze marja de apreciere, stabilirea cerințelor ar trebui să fie mai previzibilă și mai transparentă, pentru a permite băncilor o planificare mai eficientă a capitalului și a oferi pieței financiare un grad mai ridicat de transparență. </w:t>
      </w:r>
    </w:p>
    <w:p w14:paraId="0276E754" w14:textId="219B3937" w:rsidR="00115876" w:rsidRPr="00B33098" w:rsidRDefault="00A108E4" w:rsidP="44B4B103">
      <w:pPr>
        <w:spacing w:line="276" w:lineRule="auto"/>
        <w:jc w:val="both"/>
        <w:rPr>
          <w:rFonts w:ascii="Times New Roman" w:hAnsi="Times New Roman" w:cs="Times New Roman"/>
          <w:noProof/>
          <w:sz w:val="24"/>
          <w:szCs w:val="24"/>
        </w:rPr>
      </w:pPr>
      <w:r>
        <w:rPr>
          <w:rFonts w:ascii="Times New Roman" w:hAnsi="Times New Roman"/>
          <w:noProof/>
          <w:sz w:val="24"/>
        </w:rPr>
        <w:t xml:space="preserve">În acest context, Comisia: </w:t>
      </w:r>
    </w:p>
    <w:p w14:paraId="369A59E9" w14:textId="41D364DF" w:rsidR="007663CD" w:rsidRPr="00B33098" w:rsidRDefault="00A108E4" w:rsidP="00835196">
      <w:pPr>
        <w:pStyle w:val="ListParagraph"/>
        <w:numPr>
          <w:ilvl w:val="1"/>
          <w:numId w:val="55"/>
        </w:numPr>
        <w:spacing w:after="120" w:line="276" w:lineRule="auto"/>
        <w:contextualSpacing w:val="0"/>
        <w:jc w:val="both"/>
        <w:rPr>
          <w:rFonts w:ascii="Times New Roman" w:eastAsia="Times New Roman" w:hAnsi="Times New Roman" w:cs="Times New Roman"/>
          <w:b/>
          <w:bCs/>
          <w:i/>
          <w:iCs/>
          <w:noProof/>
          <w:sz w:val="24"/>
          <w:szCs w:val="24"/>
        </w:rPr>
      </w:pPr>
      <w:r>
        <w:rPr>
          <w:rFonts w:ascii="Times New Roman" w:hAnsi="Times New Roman"/>
          <w:b/>
          <w:i/>
          <w:noProof/>
          <w:sz w:val="24"/>
        </w:rPr>
        <w:t>va propune mecanisme de coordonare mai solide între autoritățile responsabile cu punerea în aplicare a normelor microprudențiale, de rezoluție și macroprudențiale, pentru a se asigura că cerințele sunt stabilite în mod coerent și fac obiectul unei responsabilizări mai clare și mai ferme. Autoritățile vor trebui să consolideze coordonarea și schimbul de informații, adoptând o perspectivă holistică atât asupra necesarului total de capital al sistemului în ansamblu, cât și asupra celui al băncii în cauză;</w:t>
      </w:r>
    </w:p>
    <w:p w14:paraId="7AFE0AF9" w14:textId="4900E59F" w:rsidR="009F32F6" w:rsidRPr="00B33098" w:rsidRDefault="00DF2CB4" w:rsidP="00835196">
      <w:pPr>
        <w:pStyle w:val="ListParagraph"/>
        <w:numPr>
          <w:ilvl w:val="0"/>
          <w:numId w:val="56"/>
        </w:numPr>
        <w:spacing w:after="120" w:line="276" w:lineRule="auto"/>
        <w:contextualSpacing w:val="0"/>
        <w:jc w:val="both"/>
        <w:rPr>
          <w:rFonts w:ascii="Times New Roman" w:hAnsi="Times New Roman" w:cs="Times New Roman"/>
          <w:b/>
          <w:bCs/>
          <w:i/>
          <w:iCs/>
          <w:noProof/>
          <w:sz w:val="24"/>
          <w:szCs w:val="24"/>
        </w:rPr>
      </w:pPr>
      <w:r>
        <w:rPr>
          <w:rFonts w:ascii="Times New Roman" w:hAnsi="Times New Roman"/>
          <w:b/>
          <w:i/>
          <w:noProof/>
          <w:sz w:val="24"/>
        </w:rPr>
        <w:t>va revizui procedura de modificare, acolo unde este necesar, a standardelor tehnice din întregul cadru, va consolida cerința ca ABE să efectueze evaluări ale impactului și va consolida mecanismele de responsabilizare/control privind modul în care sunt acordate și aplicate mandatele;</w:t>
      </w:r>
    </w:p>
    <w:p w14:paraId="66B087F8" w14:textId="37826DFF" w:rsidR="00BE6627" w:rsidRPr="00B33098" w:rsidRDefault="00DF2CB4" w:rsidP="00835196">
      <w:pPr>
        <w:pStyle w:val="ListParagraph"/>
        <w:numPr>
          <w:ilvl w:val="0"/>
          <w:numId w:val="56"/>
        </w:numPr>
        <w:spacing w:after="120" w:line="276" w:lineRule="auto"/>
        <w:contextualSpacing w:val="0"/>
        <w:jc w:val="both"/>
        <w:rPr>
          <w:rFonts w:ascii="Times New Roman" w:eastAsia="Times New Roman" w:hAnsi="Times New Roman" w:cs="Times New Roman"/>
          <w:noProof/>
          <w:sz w:val="24"/>
          <w:szCs w:val="24"/>
        </w:rPr>
      </w:pPr>
      <w:r>
        <w:rPr>
          <w:rFonts w:ascii="Times New Roman" w:hAnsi="Times New Roman"/>
          <w:b/>
          <w:i/>
          <w:noProof/>
          <w:sz w:val="24"/>
        </w:rPr>
        <w:t>va propune ca anumite norme microprudențiale, de rezoluție și macroprudențiale să fie incluse în regulamente direct aplicabile, pentru a spori claritatea și convergența în materie de supraveghere și pentru a reduce sarcina administrativă a băncilor</w:t>
      </w:r>
      <w:r>
        <w:rPr>
          <w:rFonts w:ascii="Times New Roman" w:hAnsi="Times New Roman"/>
          <w:noProof/>
          <w:sz w:val="24"/>
        </w:rPr>
        <w:t xml:space="preserve">. </w:t>
      </w:r>
    </w:p>
    <w:p w14:paraId="32F3AFE8" w14:textId="77777777" w:rsidR="00DF2CB4" w:rsidRPr="000E3801" w:rsidRDefault="00DF2CB4" w:rsidP="00835196">
      <w:pPr>
        <w:pStyle w:val="ListParagraph"/>
        <w:spacing w:line="276" w:lineRule="auto"/>
        <w:jc w:val="both"/>
        <w:rPr>
          <w:rFonts w:ascii="Times New Roman" w:hAnsi="Times New Roman" w:cs="Times New Roman"/>
          <w:i/>
          <w:iCs/>
          <w:noProof/>
          <w:sz w:val="24"/>
          <w:szCs w:val="24"/>
        </w:rPr>
      </w:pPr>
    </w:p>
    <w:p w14:paraId="2852DA62" w14:textId="0228B34D" w:rsidR="00DF2CB4" w:rsidRPr="00B33098" w:rsidDel="00E1619C" w:rsidRDefault="00DF2CB4" w:rsidP="00835196">
      <w:pPr>
        <w:pStyle w:val="ListParagraph"/>
        <w:numPr>
          <w:ilvl w:val="0"/>
          <w:numId w:val="57"/>
        </w:numPr>
        <w:spacing w:line="276" w:lineRule="auto"/>
        <w:jc w:val="both"/>
        <w:rPr>
          <w:rFonts w:ascii="Times New Roman" w:hAnsi="Times New Roman" w:cs="Times New Roman"/>
          <w:b/>
          <w:bCs/>
          <w:i/>
          <w:iCs/>
          <w:noProof/>
          <w:sz w:val="28"/>
          <w:szCs w:val="28"/>
        </w:rPr>
      </w:pPr>
      <w:r>
        <w:rPr>
          <w:rFonts w:ascii="Times New Roman" w:hAnsi="Times New Roman"/>
          <w:b/>
          <w:i/>
          <w:noProof/>
          <w:sz w:val="28"/>
        </w:rPr>
        <w:t>Simplificarea cerințelor de raportare și de publicare</w:t>
      </w:r>
    </w:p>
    <w:p w14:paraId="0D90A63D" w14:textId="347FF944" w:rsidR="00DF2CB4" w:rsidRPr="00B33098" w:rsidRDefault="00DF2CB4" w:rsidP="00DF2CB4">
      <w:pPr>
        <w:spacing w:line="276" w:lineRule="auto"/>
        <w:jc w:val="both"/>
        <w:rPr>
          <w:rFonts w:ascii="Times New Roman" w:hAnsi="Times New Roman" w:cs="Times New Roman"/>
          <w:noProof/>
          <w:sz w:val="24"/>
          <w:szCs w:val="24"/>
        </w:rPr>
      </w:pPr>
      <w:r>
        <w:rPr>
          <w:rFonts w:ascii="Times New Roman" w:hAnsi="Times New Roman"/>
          <w:b/>
          <w:noProof/>
          <w:sz w:val="24"/>
        </w:rPr>
        <w:t>Deși cerințele de raportare și de publicare sunt esențiale pentru buna funcționare a sectorului bancar, cadrul de raportare aplicabil băncilor a devenit foarte împovărător</w:t>
      </w:r>
      <w:r>
        <w:rPr>
          <w:rFonts w:ascii="Times New Roman" w:hAnsi="Times New Roman"/>
          <w:noProof/>
          <w:sz w:val="24"/>
        </w:rPr>
        <w:t>. Costurile totale aferente raportării pentru băncile din UE, care includ toate cheltuielile legate de funcționarea sistemului de raportare (personal, IT, servicii juridice, contabile, de audit și de consultanță), au fost estimate la 11,2 miliarde EUR pe an</w:t>
      </w:r>
      <w:r w:rsidRPr="00B33098">
        <w:rPr>
          <w:rStyle w:val="FootnoteReference"/>
          <w:rFonts w:ascii="Times New Roman" w:hAnsi="Times New Roman" w:cs="Times New Roman"/>
          <w:noProof/>
          <w:sz w:val="24"/>
          <w:szCs w:val="24"/>
          <w:lang w:val="en-IE"/>
        </w:rPr>
        <w:footnoteReference w:id="25"/>
      </w:r>
      <w:r>
        <w:rPr>
          <w:rFonts w:ascii="Times New Roman" w:hAnsi="Times New Roman"/>
          <w:noProof/>
          <w:sz w:val="24"/>
        </w:rPr>
        <w:t xml:space="preserve">. Sarcina raportării rezultă din modificările frecvente ale cerințelor de raportare, din complexitatea inutilă, din lipsa de claritate și de coerență, precum și din duplicarea obligațiilor de raportare cauzată de schimbul limitat de date între autorități. </w:t>
      </w:r>
    </w:p>
    <w:p w14:paraId="3BCB66F9" w14:textId="0FE07F4D" w:rsidR="00220528" w:rsidRPr="00B33098" w:rsidRDefault="00DF2CB4" w:rsidP="00DF2CB4">
      <w:pPr>
        <w:spacing w:line="276" w:lineRule="auto"/>
        <w:jc w:val="both"/>
        <w:rPr>
          <w:rFonts w:ascii="Times New Roman" w:hAnsi="Times New Roman" w:cs="Times New Roman"/>
          <w:noProof/>
          <w:sz w:val="24"/>
          <w:szCs w:val="24"/>
        </w:rPr>
      </w:pPr>
      <w:r>
        <w:rPr>
          <w:rFonts w:ascii="Times New Roman" w:hAnsi="Times New Roman"/>
          <w:b/>
          <w:noProof/>
          <w:sz w:val="24"/>
        </w:rPr>
        <w:t>Au fost deja luate măsuri importante pentru simplificarea și eficientizarea cerințelor de raportare, inclusiv în conformitate cu Strategia Comisiei privind datele de supraveghere</w:t>
      </w:r>
      <w:r w:rsidRPr="00B33098">
        <w:rPr>
          <w:rStyle w:val="FootnoteReference"/>
          <w:rFonts w:ascii="Times New Roman" w:hAnsi="Times New Roman" w:cs="Times New Roman"/>
          <w:noProof/>
          <w:sz w:val="24"/>
          <w:szCs w:val="24"/>
          <w:lang w:val="en-IE"/>
        </w:rPr>
        <w:footnoteReference w:id="26"/>
      </w:r>
      <w:r>
        <w:rPr>
          <w:rFonts w:ascii="Times New Roman" w:hAnsi="Times New Roman"/>
          <w:noProof/>
          <w:sz w:val="24"/>
        </w:rPr>
        <w:t>. Printre acestea se numără modificări legislative menite să simplifice reutilizarea datelor de supraveghere în scopul publicării informațiilor și alte măsuri destinate reducerii semnificative a sarcinii de raportare pentru instituțiile mici și care nu sunt complexe (Platforma de date privind pilonul 3), Regulamentul privind o mai bună partajare a datelor, care va reduce duplicarea solicitărilor de date, va impune autorităților UE să revizuiască periodic și să elimine cerințele de raportare redundante și va impulsiona totodată eforturile acestora în materie de raportare integrată</w:t>
      </w:r>
      <w:r w:rsidRPr="00B33098">
        <w:rPr>
          <w:rStyle w:val="FootnoteReference"/>
          <w:rFonts w:ascii="Times New Roman" w:hAnsi="Times New Roman" w:cs="Times New Roman"/>
          <w:noProof/>
          <w:sz w:val="24"/>
          <w:szCs w:val="24"/>
          <w:lang w:val="en-IE"/>
        </w:rPr>
        <w:footnoteReference w:id="27"/>
      </w:r>
      <w:r>
        <w:rPr>
          <w:rFonts w:ascii="Times New Roman" w:hAnsi="Times New Roman"/>
          <w:noProof/>
          <w:sz w:val="24"/>
        </w:rPr>
        <w:t>, precum și pachetul Omnibus I și simplificările ulterioare ale taxonomiei UE și ale standardelor europene de raportare privind durabilitatea</w:t>
      </w:r>
      <w:r w:rsidRPr="00B33098">
        <w:rPr>
          <w:rStyle w:val="FootnoteReference"/>
          <w:rFonts w:ascii="Times New Roman" w:hAnsi="Times New Roman" w:cs="Times New Roman"/>
          <w:noProof/>
          <w:sz w:val="24"/>
          <w:szCs w:val="24"/>
          <w:lang w:val="en-IE"/>
        </w:rPr>
        <w:footnoteReference w:id="28"/>
      </w:r>
      <w:r>
        <w:rPr>
          <w:rFonts w:ascii="Times New Roman" w:hAnsi="Times New Roman"/>
          <w:noProof/>
          <w:sz w:val="24"/>
        </w:rPr>
        <w:t xml:space="preserve">. Odată operațional, Punctul unic de acces european va îmbunătăți, de asemenea, accesibilitatea și va reduce duplicarea, facilitând accesul electronic centralizat la datele publice privind băncile și produsele acestora. Comisia va continua să colaboreze cu ABE pentru a se asigura că cerințele de raportare prudențială și de publicare respectă principiul proporționalității și sunt coerente cu cadrul mai larg în materie de durabilitate. </w:t>
      </w:r>
    </w:p>
    <w:p w14:paraId="673D4B59" w14:textId="2D3DAC02" w:rsidR="00F61DA8" w:rsidRPr="00B33098" w:rsidRDefault="00220528" w:rsidP="00DF2CB4">
      <w:pPr>
        <w:spacing w:line="276" w:lineRule="auto"/>
        <w:jc w:val="both"/>
        <w:rPr>
          <w:rFonts w:ascii="Times New Roman" w:hAnsi="Times New Roman" w:cs="Times New Roman"/>
          <w:noProof/>
          <w:sz w:val="24"/>
          <w:szCs w:val="24"/>
        </w:rPr>
      </w:pPr>
      <w:r>
        <w:rPr>
          <w:rFonts w:ascii="Times New Roman" w:hAnsi="Times New Roman"/>
          <w:noProof/>
          <w:sz w:val="24"/>
        </w:rPr>
        <w:t>În plus, ABE a pus deja în aplicare mai multe măsuri de fond pentru reducerea sarcinii de raportare a băncilor. Împreună cu măsurile suplimentare propuse în 2026, se estimează că numărul punctelor de date din cadrele de raportare ale UE va fi redus cu 50 %</w:t>
      </w:r>
      <w:r w:rsidR="00DF2CB4" w:rsidRPr="00B33098">
        <w:rPr>
          <w:rStyle w:val="FootnoteReference"/>
          <w:rFonts w:ascii="Times New Roman" w:hAnsi="Times New Roman" w:cs="Times New Roman"/>
          <w:noProof/>
          <w:sz w:val="24"/>
          <w:szCs w:val="24"/>
          <w:lang w:val="en-IE"/>
        </w:rPr>
        <w:footnoteReference w:id="29"/>
      </w:r>
      <w:r>
        <w:rPr>
          <w:rFonts w:ascii="Times New Roman" w:hAnsi="Times New Roman"/>
          <w:noProof/>
          <w:sz w:val="24"/>
        </w:rPr>
        <w:t xml:space="preserve">. În pofida acestor progrese, părțile interesate confirmă necesitatea continuării simplificării, prioritățile fiind integrarea raportării, proporționalitatea și modernizarea tehnologică. </w:t>
      </w:r>
    </w:p>
    <w:p w14:paraId="7D521689" w14:textId="753E0471" w:rsidR="00DF2CB4" w:rsidRPr="00B33098" w:rsidRDefault="00E811D6" w:rsidP="00DF2CB4">
      <w:pPr>
        <w:spacing w:line="276" w:lineRule="auto"/>
        <w:jc w:val="both"/>
        <w:rPr>
          <w:rFonts w:ascii="Times New Roman" w:hAnsi="Times New Roman" w:cs="Times New Roman"/>
          <w:noProof/>
          <w:sz w:val="24"/>
          <w:szCs w:val="24"/>
        </w:rPr>
      </w:pPr>
      <w:r>
        <w:rPr>
          <w:rFonts w:ascii="Times New Roman" w:hAnsi="Times New Roman"/>
          <w:noProof/>
          <w:sz w:val="24"/>
        </w:rPr>
        <w:t>În acest context, Comisia:</w:t>
      </w:r>
    </w:p>
    <w:p w14:paraId="5137836D" w14:textId="5AB74C59" w:rsidR="00DF2CB4" w:rsidRPr="00B33098" w:rsidRDefault="00E811D6" w:rsidP="00EF0BF7">
      <w:pPr>
        <w:numPr>
          <w:ilvl w:val="0"/>
          <w:numId w:val="58"/>
        </w:numPr>
        <w:spacing w:line="276" w:lineRule="auto"/>
        <w:jc w:val="both"/>
        <w:rPr>
          <w:rFonts w:ascii="Times New Roman" w:hAnsi="Times New Roman" w:cs="Times New Roman"/>
          <w:b/>
          <w:bCs/>
          <w:i/>
          <w:iCs/>
          <w:noProof/>
          <w:sz w:val="24"/>
          <w:szCs w:val="24"/>
        </w:rPr>
      </w:pPr>
      <w:r>
        <w:rPr>
          <w:rFonts w:ascii="Times New Roman" w:hAnsi="Times New Roman"/>
          <w:b/>
          <w:i/>
          <w:noProof/>
          <w:sz w:val="24"/>
        </w:rPr>
        <w:t xml:space="preserve">va sprijini tranziția de la actuala abordare în materie de raportare către un sistem mai integrat de raportare prudențială, statistică și de rezoluție, având ca elemente fundamentale mecanisme solide de guvernanță și un dicționar comun de date, și va încuraja autoritățile relevante, sprijinite de Comitetul comun de raportare bancară, să continue lucrările tehnice și să aducă îmbunătățiri concrete; </w:t>
      </w:r>
    </w:p>
    <w:p w14:paraId="59B9C323" w14:textId="16FA0E74" w:rsidR="00DF2CB4" w:rsidRPr="00B33098" w:rsidRDefault="000F2AD1" w:rsidP="00835196">
      <w:pPr>
        <w:numPr>
          <w:ilvl w:val="0"/>
          <w:numId w:val="58"/>
        </w:numPr>
        <w:spacing w:line="276" w:lineRule="auto"/>
        <w:jc w:val="both"/>
        <w:rPr>
          <w:rFonts w:ascii="Times New Roman" w:hAnsi="Times New Roman" w:cs="Times New Roman"/>
          <w:b/>
          <w:bCs/>
          <w:i/>
          <w:iCs/>
          <w:noProof/>
          <w:sz w:val="24"/>
          <w:szCs w:val="24"/>
        </w:rPr>
      </w:pPr>
      <w:bookmarkStart w:id="12" w:name="_Hlk234778844"/>
      <w:r>
        <w:rPr>
          <w:rFonts w:ascii="Times New Roman" w:hAnsi="Times New Roman"/>
          <w:b/>
          <w:i/>
          <w:noProof/>
          <w:sz w:val="24"/>
        </w:rPr>
        <w:t xml:space="preserve">având în vedere toate opțiunile disponibile pentru îmbunătățirea competitivității sectorului bancar din UE, inclusiv posibila revizuire a mandatului ABE, va propune modificări legislative specifice, acolo unde este necesar, pentru a conferi ABE mandatul de a asigura o mai mare proporționalitate, simplificare și automatizare a raportării la nivel tehnic, inclusiv în ceea ce privește pragurile de semnificație aplicabile erorilor minore de raportare și alte aspecte care sporesc în mod nejustificat sarcina raportării; </w:t>
      </w:r>
    </w:p>
    <w:p w14:paraId="65880259" w14:textId="388F8BC7" w:rsidR="00EC17C0" w:rsidRPr="004E3714" w:rsidRDefault="00EC17C0" w:rsidP="00835196">
      <w:pPr>
        <w:numPr>
          <w:ilvl w:val="0"/>
          <w:numId w:val="58"/>
        </w:numPr>
        <w:spacing w:line="276" w:lineRule="auto"/>
        <w:jc w:val="both"/>
        <w:rPr>
          <w:rFonts w:ascii="Times New Roman" w:hAnsi="Times New Roman" w:cs="Times New Roman"/>
          <w:b/>
          <w:bCs/>
          <w:i/>
          <w:iCs/>
          <w:noProof/>
          <w:sz w:val="24"/>
          <w:szCs w:val="24"/>
        </w:rPr>
      </w:pPr>
      <w:r>
        <w:rPr>
          <w:rFonts w:ascii="Times New Roman" w:hAnsi="Times New Roman"/>
          <w:b/>
          <w:i/>
          <w:noProof/>
          <w:sz w:val="24"/>
        </w:rPr>
        <w:t>va propune modificarea Regulamentului ABE în ceea ce privește actele de nivel 2, după modelul modificărilor introduse în propunerea de modificare a Regulamentului ESMA din cadrul pachetului privind integrarea pieței și supravegherea (MISP);</w:t>
      </w:r>
      <w:bookmarkEnd w:id="12"/>
      <w:r>
        <w:rPr>
          <w:rFonts w:ascii="Times New Roman" w:hAnsi="Times New Roman"/>
          <w:b/>
          <w:i/>
          <w:noProof/>
          <w:sz w:val="24"/>
        </w:rPr>
        <w:t>va invita ABE să își reconfigureze cadrul unic de reglementare interactiv, prin corelarea directă, pe site-ul său, a tuturor orientărilor de nivel 3 și a întrebărilor și răspunsurilor cu dispozițiile corespunzătoare ale cadrului juridic, îmbunătățind astfel accesibilitatea și transparența. Ca parte a acestui proces, ABE ar putea revizui întrebările și răspunsurile existente și le-ar putea elimina pe cele care nu mai sunt de actualitate;</w:t>
      </w:r>
    </w:p>
    <w:p w14:paraId="46800E0D" w14:textId="17BDC054" w:rsidR="00DF2CB4" w:rsidRPr="00B33098" w:rsidRDefault="0036617A" w:rsidP="00835196">
      <w:pPr>
        <w:numPr>
          <w:ilvl w:val="0"/>
          <w:numId w:val="58"/>
        </w:numPr>
        <w:spacing w:line="276" w:lineRule="auto"/>
        <w:jc w:val="both"/>
        <w:rPr>
          <w:rFonts w:ascii="Times New Roman" w:hAnsi="Times New Roman" w:cs="Times New Roman"/>
          <w:b/>
          <w:bCs/>
          <w:i/>
          <w:iCs/>
          <w:noProof/>
          <w:sz w:val="24"/>
          <w:szCs w:val="24"/>
        </w:rPr>
      </w:pPr>
      <w:r>
        <w:rPr>
          <w:rFonts w:ascii="Times New Roman" w:hAnsi="Times New Roman"/>
          <w:b/>
          <w:i/>
          <w:noProof/>
          <w:sz w:val="24"/>
        </w:rPr>
        <w:t xml:space="preserve">va sprijini ABE și celelalte autorități în revizuirea periodică, reducerea și eliminarea obligațiilor de raportare redundante, în conformitate cu Regulamentul privind o mai bună partajare a datelor; </w:t>
      </w:r>
    </w:p>
    <w:p w14:paraId="39A7D79F" w14:textId="1EEAB90B" w:rsidR="00DF2CB4" w:rsidRPr="00B33098" w:rsidRDefault="002532E2" w:rsidP="00835196">
      <w:pPr>
        <w:numPr>
          <w:ilvl w:val="0"/>
          <w:numId w:val="58"/>
        </w:numPr>
        <w:spacing w:line="276" w:lineRule="auto"/>
        <w:jc w:val="both"/>
        <w:rPr>
          <w:rFonts w:ascii="Times New Roman" w:hAnsi="Times New Roman" w:cs="Times New Roman"/>
          <w:b/>
          <w:bCs/>
          <w:i/>
          <w:iCs/>
          <w:noProof/>
          <w:sz w:val="24"/>
          <w:szCs w:val="24"/>
        </w:rPr>
      </w:pPr>
      <w:r>
        <w:rPr>
          <w:rFonts w:ascii="Times New Roman" w:hAnsi="Times New Roman"/>
          <w:b/>
          <w:i/>
          <w:noProof/>
          <w:sz w:val="24"/>
        </w:rPr>
        <w:t xml:space="preserve">va colabora cu autoritățile naționale pentru a limita cerințele suplimentare de raportare la nivel național, întrucât acestea sporesc în mod semnificativ complexitatea și sarcina administrativă pentru entitățile raportoare; va încuraja autoritățile naționale să utilizeze pe deplin opțiunea de schimb de date prevăzută de Regulamentul privind o mai bună partajare a datelor. </w:t>
      </w:r>
    </w:p>
    <w:p w14:paraId="02315BE7" w14:textId="77777777" w:rsidR="00DF2CB4" w:rsidRPr="000E3801" w:rsidRDefault="00DF2CB4" w:rsidP="001A59EE">
      <w:pPr>
        <w:spacing w:line="276" w:lineRule="auto"/>
        <w:jc w:val="both"/>
        <w:rPr>
          <w:rFonts w:ascii="Times New Roman" w:hAnsi="Times New Roman"/>
          <w:noProof/>
          <w:sz w:val="32"/>
        </w:rPr>
      </w:pPr>
    </w:p>
    <w:p w14:paraId="0C77BEFC" w14:textId="0A269038" w:rsidR="0002104E" w:rsidRPr="00B33098" w:rsidRDefault="0002104E" w:rsidP="00416C6B">
      <w:pPr>
        <w:pStyle w:val="ListParagraph"/>
        <w:numPr>
          <w:ilvl w:val="0"/>
          <w:numId w:val="14"/>
        </w:numPr>
        <w:spacing w:line="276" w:lineRule="auto"/>
        <w:rPr>
          <w:rFonts w:ascii="Times New Roman" w:hAnsi="Times New Roman" w:cs="Times New Roman"/>
          <w:b/>
          <w:noProof/>
          <w:sz w:val="32"/>
          <w:szCs w:val="32"/>
        </w:rPr>
      </w:pPr>
      <w:r>
        <w:rPr>
          <w:rFonts w:ascii="Times New Roman" w:hAnsi="Times New Roman"/>
          <w:b/>
          <w:noProof/>
          <w:sz w:val="32"/>
        </w:rPr>
        <w:t xml:space="preserve">Competitivitatea ca responsabilitate comună </w:t>
      </w:r>
    </w:p>
    <w:p w14:paraId="047360AF" w14:textId="3AE76454" w:rsidR="00903D3A" w:rsidRPr="00B33098" w:rsidRDefault="00E811D6" w:rsidP="00903D3A">
      <w:pPr>
        <w:spacing w:line="276" w:lineRule="auto"/>
        <w:jc w:val="both"/>
        <w:rPr>
          <w:rFonts w:ascii="Times New Roman" w:hAnsi="Times New Roman" w:cs="Times New Roman"/>
          <w:b/>
          <w:bCs/>
          <w:noProof/>
          <w:sz w:val="24"/>
          <w:szCs w:val="24"/>
        </w:rPr>
      </w:pPr>
      <w:r>
        <w:rPr>
          <w:rFonts w:ascii="Times New Roman" w:hAnsi="Times New Roman"/>
          <w:b/>
          <w:noProof/>
          <w:sz w:val="24"/>
        </w:rPr>
        <w:t>Creșterea competitivității sectorului bancar din UE va necesita o schimbare de paradigmă în rândul tuturor părților interesate relevante</w:t>
      </w:r>
      <w:r>
        <w:rPr>
          <w:rFonts w:ascii="Times New Roman" w:hAnsi="Times New Roman"/>
          <w:noProof/>
          <w:sz w:val="24"/>
        </w:rPr>
        <w:t xml:space="preserve">. Riscurile din sectorul bancar trebuie gestionate în mod corespunzător, în special în contextul actual, în care riscurile consacrate legate de credit, operațiuni și evoluțiile pieței sunt amplificate de riscuri mai noi generate de activitățile cibernetice, tensiunile geopolitice și amenințările de mediu și climatice. Cu toate acestea, gestionarea riscurilor ar trebui să se concentreze asupra riscurilor semnificative, renunțând la abordările bazate exclusiv pe conformitate, în favoarea unei abordări mai eficiente, holistice și mai bine direcționate a gestionării riscurilor. </w:t>
      </w:r>
    </w:p>
    <w:p w14:paraId="7547E5BB" w14:textId="33F6C310" w:rsidR="003A51F1" w:rsidRPr="00B33098" w:rsidRDefault="009F7B8B" w:rsidP="0002104E">
      <w:pPr>
        <w:spacing w:line="276" w:lineRule="auto"/>
        <w:jc w:val="both"/>
        <w:rPr>
          <w:rFonts w:ascii="Times New Roman" w:hAnsi="Times New Roman" w:cs="Times New Roman"/>
          <w:noProof/>
          <w:sz w:val="24"/>
          <w:szCs w:val="24"/>
        </w:rPr>
      </w:pPr>
      <w:r>
        <w:rPr>
          <w:rFonts w:ascii="Times New Roman" w:hAnsi="Times New Roman"/>
          <w:noProof/>
          <w:sz w:val="24"/>
        </w:rPr>
        <w:t xml:space="preserve">Comisia ar trebui să monitorizeze mai proactiv și să asigure existența unui echilibru adecvat între asumarea riscurilor și stabilitatea financiară, astfel încât cadrul de reglementare și modul în care acesta este aplicat să nu afecteze competitivitatea și creșterea economică. Autoritățile de reglementare și de supraveghere ar trebui să se concentreze asupra riscurilor cu adevărat relevante pentru stabilitatea financiară de ansamblu și să evite o cultură a toleranței zero la risc, întrucât aceasta ar putea împiedica băncile să sprijine activitatea economică. Factorii de decizie politică ar trebui să se abțină de la menținerea particularităților naționale care fragmentează piața. Instrumentele de responsabilizare ar trebui utilizate cât mai mult posibil, iar, în cazul în care se dovedesc lipsite de eficacitate, ar trebui consolidate. </w:t>
      </w:r>
    </w:p>
    <w:p w14:paraId="718D6D51" w14:textId="1CA612D3" w:rsidR="00D54825" w:rsidRPr="00B33098" w:rsidRDefault="00E31995" w:rsidP="0002104E">
      <w:pPr>
        <w:spacing w:line="276" w:lineRule="auto"/>
        <w:jc w:val="both"/>
        <w:rPr>
          <w:rFonts w:ascii="Times New Roman" w:eastAsia="Times New Roman" w:hAnsi="Times New Roman" w:cs="Times New Roman"/>
          <w:noProof/>
          <w:sz w:val="24"/>
          <w:szCs w:val="24"/>
        </w:rPr>
      </w:pPr>
      <w:r>
        <w:rPr>
          <w:rFonts w:ascii="Times New Roman" w:hAnsi="Times New Roman"/>
          <w:b/>
          <w:noProof/>
          <w:sz w:val="24"/>
        </w:rPr>
        <w:t>Comisia este principala instituție a UE responsabilă de îndeplinirea mandatului Uniunii în materie de competitivitate și concurență</w:t>
      </w:r>
      <w:r>
        <w:rPr>
          <w:rFonts w:ascii="Times New Roman" w:hAnsi="Times New Roman"/>
          <w:noProof/>
          <w:sz w:val="24"/>
        </w:rPr>
        <w:t>. În perspectivă, Comisia își va exercita într-o mai mare măsură responsabilitatea de a revizui periodic funcționarea sistemului bancar european și impactul acestuia asupra pieței interne, contribuind astfel la asigurarea faptului că activitățile de supraveghere și de rezoluție rămân eficace și proporționale și favorizează buna funcționare a pieței unice și competitivitatea UE</w:t>
      </w:r>
      <w:r w:rsidR="00E811D6" w:rsidRPr="00B33098">
        <w:rPr>
          <w:rStyle w:val="FootnoteReference"/>
          <w:rFonts w:ascii="Times New Roman" w:eastAsia="Times New Roman" w:hAnsi="Times New Roman" w:cs="Times New Roman"/>
          <w:noProof/>
          <w:sz w:val="24"/>
          <w:szCs w:val="24"/>
          <w:lang w:val="en-IE"/>
        </w:rPr>
        <w:footnoteReference w:id="30"/>
      </w:r>
      <w:r>
        <w:rPr>
          <w:rFonts w:ascii="Times New Roman" w:hAnsi="Times New Roman"/>
          <w:noProof/>
          <w:sz w:val="24"/>
        </w:rPr>
        <w:t xml:space="preserve">. Comisia colaborează cu ABE pentru a asigura proporționalitatea orientărilor acesteia în materie de supraveghere, în special atunci când acestea fac obiectul unor proceduri de conformare și explicare. </w:t>
      </w:r>
    </w:p>
    <w:p w14:paraId="1C2B962C" w14:textId="32D2FD89" w:rsidR="00F4133A" w:rsidRPr="00B33098" w:rsidRDefault="3367A0E1" w:rsidP="0002104E">
      <w:pPr>
        <w:spacing w:line="276" w:lineRule="auto"/>
        <w:jc w:val="both"/>
        <w:rPr>
          <w:rFonts w:ascii="Times New Roman" w:hAnsi="Times New Roman" w:cs="Times New Roman"/>
          <w:noProof/>
          <w:sz w:val="24"/>
          <w:szCs w:val="24"/>
        </w:rPr>
      </w:pPr>
      <w:r>
        <w:rPr>
          <w:rFonts w:ascii="Times New Roman" w:hAnsi="Times New Roman"/>
          <w:noProof/>
          <w:sz w:val="24"/>
        </w:rPr>
        <w:t xml:space="preserve">În același timp, băncile, personalul de conducere de nivel superior și angajații acestora, precum și auditorii și contabilii trebuie să fie dispuși să participe la această schimbare a practicilor consacrate și să își asume o mai mare responsabilitate pentru aplicarea legii pe baza pragului de semnificație. Autoritățile de reglementare și de supraveghere ar trebui să adopte o abordare mai proporțională și să acționeze pentru a reduce complexitatea, amploarea și nivelul de detaliu al măsurilor lor – indiferent dacă este vorba despre legislație, orientări sau întrebări și răspunsuri –, iar băncile trebuie, la rândul lor, să renunțe la solicitările continue de orientări în încercarea de a obține o securitate juridică absolută. Respectarea legii ar trebui să se întemeieze pe fondul acesteia, nu să fie tratată ca un simplu exercițiu formal de bifare a unor căsuțe. Schimbarea comportamentelor care au contribuit în mod colectiv la crearea unui mediu bancar excesiv de prescriptiv și de complex, dominat de aversiunea față de risc, reprezintă o responsabilitate comună. </w:t>
      </w:r>
    </w:p>
    <w:p w14:paraId="6B51B821" w14:textId="03DEFA0E" w:rsidR="0002104E" w:rsidRPr="00B33098" w:rsidRDefault="00035D79" w:rsidP="0002104E">
      <w:pPr>
        <w:spacing w:line="276" w:lineRule="auto"/>
        <w:jc w:val="both"/>
        <w:rPr>
          <w:rFonts w:ascii="Times New Roman" w:hAnsi="Times New Roman" w:cs="Times New Roman"/>
          <w:noProof/>
          <w:sz w:val="24"/>
          <w:szCs w:val="24"/>
        </w:rPr>
      </w:pPr>
      <w:r>
        <w:rPr>
          <w:rFonts w:ascii="Times New Roman" w:hAnsi="Times New Roman"/>
          <w:noProof/>
          <w:sz w:val="24"/>
        </w:rPr>
        <w:t xml:space="preserve">În acest context, Comisia: </w:t>
      </w:r>
    </w:p>
    <w:p w14:paraId="6B5EFEF5" w14:textId="38A2EDF5" w:rsidR="00D83A27" w:rsidRPr="00B33098" w:rsidRDefault="00035D79" w:rsidP="00835196">
      <w:pPr>
        <w:numPr>
          <w:ilvl w:val="0"/>
          <w:numId w:val="65"/>
        </w:numPr>
        <w:spacing w:line="276" w:lineRule="auto"/>
        <w:ind w:left="714" w:hanging="357"/>
        <w:jc w:val="both"/>
        <w:rPr>
          <w:rFonts w:ascii="Times New Roman" w:hAnsi="Times New Roman" w:cs="Times New Roman"/>
          <w:b/>
          <w:bCs/>
          <w:i/>
          <w:iCs/>
          <w:noProof/>
          <w:sz w:val="24"/>
          <w:szCs w:val="24"/>
        </w:rPr>
      </w:pPr>
      <w:r>
        <w:rPr>
          <w:rFonts w:ascii="Times New Roman" w:hAnsi="Times New Roman"/>
          <w:b/>
          <w:i/>
          <w:noProof/>
          <w:sz w:val="24"/>
        </w:rPr>
        <w:t xml:space="preserve">va colabora cu ABE, cu autoritățile de supraveghere și cu participanții la piață pentru a face o distincție mai clară între cerințe – care trebuie respectate – și orientări fără caracter obligatoriu menite să armonizeze modul în care sunt aplicate aceste cerințe; </w:t>
      </w:r>
    </w:p>
    <w:p w14:paraId="05F407F4" w14:textId="63D6FC7F" w:rsidR="00463243" w:rsidRPr="00B33098" w:rsidRDefault="00D96FC9" w:rsidP="00835196">
      <w:pPr>
        <w:pStyle w:val="ListParagraph"/>
        <w:numPr>
          <w:ilvl w:val="0"/>
          <w:numId w:val="65"/>
        </w:numPr>
        <w:ind w:left="714" w:hanging="357"/>
        <w:contextualSpacing w:val="0"/>
        <w:jc w:val="both"/>
        <w:rPr>
          <w:rFonts w:ascii="Times New Roman" w:eastAsia="Times New Roman" w:hAnsi="Times New Roman" w:cs="Times New Roman"/>
          <w:b/>
          <w:i/>
          <w:noProof/>
          <w:sz w:val="24"/>
          <w:szCs w:val="24"/>
        </w:rPr>
      </w:pPr>
      <w:bookmarkStart w:id="13" w:name="_Hlk232453167"/>
      <w:r>
        <w:rPr>
          <w:rFonts w:ascii="Times New Roman" w:hAnsi="Times New Roman"/>
          <w:b/>
          <w:i/>
          <w:noProof/>
          <w:sz w:val="24"/>
        </w:rPr>
        <w:t xml:space="preserve">va analiza posibilitatea de a conferi ABE și CERS mandatul de a elabora periodic rapoarte privind caracterul adecvat al cerințelor de capital aplicabile băncilor la nivelul UE, pentru a consolida procesele existente de responsabilizare (inclusiv în cadrul Parlamentului European și al parlamentelor naționale, precum și al Consiliului și al guvernelor naționale); </w:t>
      </w:r>
    </w:p>
    <w:bookmarkEnd w:id="13"/>
    <w:p w14:paraId="0D4DBE18" w14:textId="159F2498" w:rsidR="001B24D1" w:rsidRPr="00B33098" w:rsidRDefault="00CE5046" w:rsidP="00835196">
      <w:pPr>
        <w:pStyle w:val="ListParagraph"/>
        <w:numPr>
          <w:ilvl w:val="0"/>
          <w:numId w:val="65"/>
        </w:numPr>
        <w:spacing w:line="276" w:lineRule="auto"/>
        <w:ind w:left="714" w:hanging="357"/>
        <w:contextualSpacing w:val="0"/>
        <w:jc w:val="both"/>
        <w:rPr>
          <w:rFonts w:ascii="Times New Roman" w:hAnsi="Times New Roman" w:cs="Times New Roman"/>
          <w:b/>
          <w:bCs/>
          <w:i/>
          <w:iCs/>
          <w:noProof/>
          <w:sz w:val="24"/>
          <w:szCs w:val="24"/>
        </w:rPr>
      </w:pPr>
      <w:r>
        <w:rPr>
          <w:rFonts w:ascii="Times New Roman" w:hAnsi="Times New Roman"/>
          <w:b/>
          <w:i/>
          <w:noProof/>
          <w:sz w:val="24"/>
        </w:rPr>
        <w:t>va colabora cu autoritățile UE și cu cele naționale pentru a se asigura că practicile de supraveghere sunt neutre în raport cu modelul organizațional al unei bănci și nu descurajează activitatea bancară transfrontalieră, inclusiv prin intermediul sucursalelor și al liberei prestări a serviciilor;</w:t>
      </w:r>
    </w:p>
    <w:p w14:paraId="6904E5CA" w14:textId="4A86ABD7" w:rsidR="001A7169" w:rsidRPr="00B33098" w:rsidRDefault="00FD48C9" w:rsidP="7CE65120">
      <w:pPr>
        <w:pStyle w:val="ListParagraph"/>
        <w:numPr>
          <w:ilvl w:val="0"/>
          <w:numId w:val="65"/>
        </w:numPr>
        <w:spacing w:line="276" w:lineRule="auto"/>
        <w:ind w:left="714" w:hanging="357"/>
        <w:contextualSpacing w:val="0"/>
        <w:jc w:val="both"/>
        <w:rPr>
          <w:rFonts w:ascii="Times New Roman" w:hAnsi="Times New Roman" w:cs="Times New Roman"/>
          <w:b/>
          <w:bCs/>
          <w:i/>
          <w:iCs/>
          <w:noProof/>
          <w:sz w:val="24"/>
          <w:szCs w:val="24"/>
        </w:rPr>
      </w:pPr>
      <w:r>
        <w:rPr>
          <w:rFonts w:ascii="Times New Roman" w:hAnsi="Times New Roman"/>
          <w:b/>
          <w:i/>
          <w:noProof/>
          <w:sz w:val="24"/>
        </w:rPr>
        <w:t xml:space="preserve">va organiza discuții periodice cu MUS și SRB și, eventual, cu alte părți interesate relevante, privind funcționarea sistemului bancar și impactul măsurilor de supraveghere și de rezoluție asupra bunei funcționări a pieței interne. </w:t>
      </w:r>
    </w:p>
    <w:p w14:paraId="04508113" w14:textId="77777777" w:rsidR="008865E3" w:rsidRPr="000E3801" w:rsidRDefault="008865E3" w:rsidP="00A57759">
      <w:pPr>
        <w:pStyle w:val="ListParagraph"/>
        <w:spacing w:after="120" w:line="276" w:lineRule="auto"/>
        <w:contextualSpacing w:val="0"/>
        <w:jc w:val="both"/>
        <w:rPr>
          <w:rFonts w:ascii="Times New Roman" w:hAnsi="Times New Roman" w:cs="Times New Roman"/>
          <w:b/>
          <w:bCs/>
          <w:i/>
          <w:iCs/>
          <w:noProof/>
          <w:sz w:val="24"/>
          <w:szCs w:val="24"/>
        </w:rPr>
      </w:pPr>
    </w:p>
    <w:p w14:paraId="43A3480D" w14:textId="23F87282" w:rsidR="00375426" w:rsidRPr="00B33098" w:rsidRDefault="00375426" w:rsidP="00416C6B">
      <w:pPr>
        <w:pStyle w:val="ListParagraph"/>
        <w:numPr>
          <w:ilvl w:val="0"/>
          <w:numId w:val="14"/>
        </w:numPr>
        <w:spacing w:line="276" w:lineRule="auto"/>
        <w:rPr>
          <w:rFonts w:ascii="Times New Roman" w:hAnsi="Times New Roman" w:cs="Times New Roman"/>
          <w:b/>
          <w:noProof/>
          <w:sz w:val="32"/>
          <w:szCs w:val="32"/>
        </w:rPr>
      </w:pPr>
      <w:r>
        <w:rPr>
          <w:rFonts w:ascii="Times New Roman" w:hAnsi="Times New Roman"/>
          <w:b/>
          <w:noProof/>
          <w:sz w:val="32"/>
        </w:rPr>
        <w:t>Implicarea și etapele următoare</w:t>
      </w:r>
    </w:p>
    <w:p w14:paraId="680C67DE" w14:textId="4875A26D" w:rsidR="000002EC" w:rsidRPr="00B33098" w:rsidRDefault="00F037C9">
      <w:pPr>
        <w:spacing w:line="276" w:lineRule="auto"/>
        <w:jc w:val="both"/>
        <w:rPr>
          <w:rFonts w:ascii="Times New Roman" w:hAnsi="Times New Roman" w:cs="Times New Roman"/>
          <w:noProof/>
          <w:sz w:val="24"/>
          <w:szCs w:val="24"/>
        </w:rPr>
      </w:pPr>
      <w:r>
        <w:rPr>
          <w:rFonts w:ascii="Times New Roman" w:hAnsi="Times New Roman"/>
          <w:b/>
          <w:noProof/>
          <w:sz w:val="24"/>
        </w:rPr>
        <w:t>În prezenta comunicare, Comisia a prezentat o cale de urmat către un sector bancar mai competitiv în UE</w:t>
      </w:r>
      <w:r>
        <w:rPr>
          <w:rFonts w:ascii="Times New Roman" w:hAnsi="Times New Roman"/>
          <w:noProof/>
          <w:sz w:val="24"/>
        </w:rPr>
        <w:t xml:space="preserve">, care va direcționa mai eficient economiile către investiții, va valorifica mai bine potențialul piețelor transfrontaliere și interne și va asigura gospodăriilor și întreprinderilor cea mai largă gamă de opțiuni de finanțare, cele mai mici costuri și cele mai ridicate randamente. Un sector bancar mai competitiv trebuie să fie rezilient, profitabil și deschis concurenței și inovării. Punerea în practică a acestei căi de urmat va presupune o reformă de amploare, cuprinzătoare și orientată spre viitor, axată pe îmbunătățiri cu un impact semnificativ. </w:t>
      </w:r>
    </w:p>
    <w:p w14:paraId="787A5306" w14:textId="5D9CA3E1" w:rsidR="000002EC" w:rsidRPr="00B33098" w:rsidRDefault="000002EC">
      <w:pPr>
        <w:spacing w:line="276" w:lineRule="auto"/>
        <w:jc w:val="both"/>
        <w:rPr>
          <w:rFonts w:ascii="Times New Roman" w:hAnsi="Times New Roman" w:cs="Times New Roman"/>
          <w:noProof/>
          <w:sz w:val="24"/>
          <w:szCs w:val="24"/>
        </w:rPr>
      </w:pPr>
      <w:r>
        <w:rPr>
          <w:rFonts w:ascii="Times New Roman" w:hAnsi="Times New Roman"/>
          <w:noProof/>
          <w:sz w:val="24"/>
        </w:rPr>
        <w:t>Comisia recunoaște ambiția colegiuitorilor de a reforma cadrul bancar și de a consolida competitivitatea băncilor din UE, astfel cum reiese din concluziile Consiliului European din decembrie 2025</w:t>
      </w:r>
      <w:r w:rsidRPr="00B33098">
        <w:rPr>
          <w:rStyle w:val="FootnoteReference"/>
          <w:rFonts w:ascii="Times New Roman" w:hAnsi="Times New Roman" w:cs="Times New Roman"/>
          <w:bCs/>
          <w:noProof/>
          <w:sz w:val="24"/>
          <w:szCs w:val="24"/>
          <w:lang w:val="en-IE"/>
        </w:rPr>
        <w:footnoteReference w:id="31"/>
      </w:r>
      <w:r>
        <w:rPr>
          <w:rFonts w:ascii="Times New Roman" w:hAnsi="Times New Roman"/>
          <w:noProof/>
          <w:sz w:val="24"/>
        </w:rPr>
        <w:t xml:space="preserve"> și martie 2026</w:t>
      </w:r>
      <w:r w:rsidRPr="00B33098">
        <w:rPr>
          <w:rStyle w:val="FootnoteReference"/>
          <w:rFonts w:ascii="Times New Roman" w:hAnsi="Times New Roman" w:cs="Times New Roman"/>
          <w:bCs/>
          <w:noProof/>
          <w:sz w:val="24"/>
          <w:szCs w:val="24"/>
          <w:lang w:val="en-IE"/>
        </w:rPr>
        <w:footnoteReference w:id="32"/>
      </w:r>
      <w:r>
        <w:rPr>
          <w:rFonts w:ascii="Times New Roman" w:hAnsi="Times New Roman"/>
          <w:noProof/>
          <w:sz w:val="24"/>
        </w:rPr>
        <w:t>, precum și din raportul anual al Parlamentului privind uniunea bancară</w:t>
      </w:r>
      <w:r w:rsidRPr="00B33098">
        <w:rPr>
          <w:rStyle w:val="FootnoteReference"/>
          <w:rFonts w:ascii="Times New Roman" w:hAnsi="Times New Roman" w:cs="Times New Roman"/>
          <w:bCs/>
          <w:noProof/>
          <w:sz w:val="24"/>
          <w:szCs w:val="24"/>
          <w:lang w:val="en-IE"/>
        </w:rPr>
        <w:footnoteReference w:id="33"/>
      </w:r>
      <w:r>
        <w:rPr>
          <w:rFonts w:ascii="Times New Roman" w:hAnsi="Times New Roman"/>
          <w:noProof/>
          <w:sz w:val="24"/>
        </w:rPr>
        <w:t>.</w:t>
      </w:r>
      <w:r>
        <w:rPr>
          <w:rFonts w:ascii="Times New Roman" w:hAnsi="Times New Roman"/>
          <w:b/>
          <w:noProof/>
          <w:sz w:val="24"/>
        </w:rPr>
        <w:t xml:space="preserve"> </w:t>
      </w:r>
    </w:p>
    <w:p w14:paraId="0E83FB80" w14:textId="33C4E1E3" w:rsidR="009D6B2D" w:rsidRPr="00835196" w:rsidRDefault="00B503D2" w:rsidP="00835196">
      <w:pPr>
        <w:spacing w:line="276" w:lineRule="auto"/>
        <w:jc w:val="both"/>
        <w:rPr>
          <w:bCs/>
          <w:noProof/>
        </w:rPr>
      </w:pPr>
      <w:r>
        <w:rPr>
          <w:rFonts w:ascii="Times New Roman" w:hAnsi="Times New Roman"/>
          <w:noProof/>
          <w:sz w:val="24"/>
        </w:rPr>
        <w:t xml:space="preserve">Prin urmare, Comisia încurajează toate părțile interesate să dea dovadă de ambiție în punerea în aplicare a reformelor necesare și invită la transmiterea de feedback cu privire la prezenta comunicare, în contextul pregătirii unor măsuri pe care le va propune în primul trimestru al anului 2027. </w:t>
      </w:r>
    </w:p>
    <w:sectPr w:rsidR="009D6B2D" w:rsidRPr="00835196" w:rsidSect="00687B5B">
      <w:headerReference w:type="even" r:id="rId15"/>
      <w:headerReference w:type="default" r:id="rId16"/>
      <w:footerReference w:type="even" r:id="rId17"/>
      <w:footerReference w:type="default" r:id="rId18"/>
      <w:headerReference w:type="first" r:id="rId19"/>
      <w:footerReference w:type="first" r:id="rId20"/>
      <w:pgSz w:w="11906" w:h="16838" w:code="9"/>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B90558" w14:textId="77777777" w:rsidR="00FC5A06" w:rsidRDefault="00FC5A06" w:rsidP="009D6B2D">
      <w:pPr>
        <w:spacing w:after="0" w:line="240" w:lineRule="auto"/>
      </w:pPr>
      <w:r>
        <w:separator/>
      </w:r>
    </w:p>
  </w:endnote>
  <w:endnote w:type="continuationSeparator" w:id="0">
    <w:p w14:paraId="2A4F4701" w14:textId="77777777" w:rsidR="00FC5A06" w:rsidRDefault="00FC5A06" w:rsidP="009D6B2D">
      <w:pPr>
        <w:spacing w:after="0" w:line="240" w:lineRule="auto"/>
      </w:pPr>
      <w:r>
        <w:continuationSeparator/>
      </w:r>
    </w:p>
  </w:endnote>
  <w:endnote w:type="continuationNotice" w:id="1">
    <w:p w14:paraId="15913A67" w14:textId="77777777" w:rsidR="00FC5A06" w:rsidRDefault="00FC5A0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F63AD3" w14:textId="2A736A8C" w:rsidR="00891625" w:rsidRPr="00891625" w:rsidRDefault="00891625" w:rsidP="00891625">
    <w:pPr>
      <w:pStyle w:val="FooterCoverPage"/>
      <w:rPr>
        <w:rFonts w:ascii="Arial" w:hAnsi="Arial" w:cs="Arial"/>
        <w:b/>
        <w:sz w:val="48"/>
      </w:rPr>
    </w:pPr>
    <w:r w:rsidRPr="00891625">
      <w:rPr>
        <w:rFonts w:ascii="Arial" w:hAnsi="Arial" w:cs="Arial"/>
        <w:b/>
        <w:sz w:val="48"/>
      </w:rPr>
      <w:t>RO</w:t>
    </w:r>
    <w:r w:rsidRPr="00891625">
      <w:rPr>
        <w:rFonts w:ascii="Arial" w:hAnsi="Arial" w:cs="Arial"/>
        <w:b/>
        <w:sz w:val="48"/>
      </w:rPr>
      <w:tab/>
    </w:r>
    <w:r w:rsidRPr="00891625">
      <w:rPr>
        <w:rFonts w:ascii="Arial" w:hAnsi="Arial" w:cs="Arial"/>
        <w:b/>
        <w:sz w:val="48"/>
      </w:rPr>
      <w:tab/>
    </w:r>
    <w:r w:rsidRPr="00891625">
      <w:tab/>
    </w:r>
    <w:r w:rsidRPr="00891625">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959A6A" w14:textId="7D5D4231" w:rsidR="00891625" w:rsidRPr="00891625" w:rsidRDefault="00891625" w:rsidP="00891625">
    <w:pPr>
      <w:pStyle w:val="FooterCoverPage"/>
      <w:rPr>
        <w:rFonts w:ascii="Arial" w:hAnsi="Arial" w:cs="Arial"/>
        <w:b/>
        <w:sz w:val="48"/>
      </w:rPr>
    </w:pPr>
    <w:r w:rsidRPr="00891625">
      <w:rPr>
        <w:rFonts w:ascii="Arial" w:hAnsi="Arial" w:cs="Arial"/>
        <w:b/>
        <w:sz w:val="48"/>
      </w:rPr>
      <w:t>RO</w:t>
    </w:r>
    <w:r w:rsidRPr="00891625">
      <w:rPr>
        <w:rFonts w:ascii="Arial" w:hAnsi="Arial" w:cs="Arial"/>
        <w:b/>
        <w:sz w:val="48"/>
      </w:rPr>
      <w:tab/>
    </w:r>
    <w:r w:rsidRPr="00891625">
      <w:rPr>
        <w:rFonts w:ascii="Arial" w:hAnsi="Arial" w:cs="Arial"/>
        <w:b/>
        <w:sz w:val="48"/>
      </w:rPr>
      <w:tab/>
    </w:r>
    <w:r w:rsidRPr="00891625">
      <w:tab/>
    </w:r>
    <w:r w:rsidRPr="00891625">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DD26E1" w14:textId="77777777" w:rsidR="00891625" w:rsidRPr="00891625" w:rsidRDefault="00891625" w:rsidP="0089162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D9A503" w14:textId="77777777" w:rsidR="00755D31" w:rsidRDefault="00755D3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1215774578"/>
      <w:docPartObj>
        <w:docPartGallery w:val="Page Numbers (Bottom of Page)"/>
        <w:docPartUnique/>
      </w:docPartObj>
    </w:sdtPr>
    <w:sdtEndPr/>
    <w:sdtContent>
      <w:p w14:paraId="24A0FB09" w14:textId="673D8412" w:rsidR="00755D31" w:rsidRPr="00A02627" w:rsidRDefault="00755D31">
        <w:pPr>
          <w:pStyle w:val="Footer"/>
          <w:jc w:val="center"/>
          <w:rPr>
            <w:rFonts w:ascii="Times New Roman" w:hAnsi="Times New Roman" w:cs="Times New Roman"/>
          </w:rPr>
        </w:pPr>
        <w:r w:rsidRPr="00A02627">
          <w:rPr>
            <w:rFonts w:ascii="Times New Roman" w:hAnsi="Times New Roman" w:cs="Times New Roman"/>
          </w:rPr>
          <w:fldChar w:fldCharType="begin"/>
        </w:r>
        <w:r w:rsidRPr="00A02627">
          <w:rPr>
            <w:rFonts w:ascii="Times New Roman" w:hAnsi="Times New Roman" w:cs="Times New Roman"/>
          </w:rPr>
          <w:instrText xml:space="preserve"> PAGE   \* MERGEFORMAT </w:instrText>
        </w:r>
        <w:r w:rsidRPr="00A02627">
          <w:rPr>
            <w:rFonts w:ascii="Times New Roman" w:hAnsi="Times New Roman" w:cs="Times New Roman"/>
          </w:rPr>
          <w:fldChar w:fldCharType="separate"/>
        </w:r>
        <w:r w:rsidR="00891625">
          <w:rPr>
            <w:rFonts w:ascii="Times New Roman" w:hAnsi="Times New Roman" w:cs="Times New Roman"/>
            <w:noProof/>
          </w:rPr>
          <w:t>2</w:t>
        </w:r>
        <w:r w:rsidRPr="00A02627">
          <w:rPr>
            <w:rFonts w:ascii="Times New Roman" w:hAnsi="Times New Roman" w:cs="Times New Roman"/>
          </w:rPr>
          <w:fldChar w:fldCharType="end"/>
        </w:r>
      </w:p>
    </w:sdtContent>
  </w:sdt>
  <w:p w14:paraId="4ECB5080" w14:textId="77777777" w:rsidR="00755D31" w:rsidRDefault="00755D3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9AA642" w14:textId="77777777" w:rsidR="00755D31" w:rsidRDefault="00755D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161EB7" w14:textId="77777777" w:rsidR="00FC5A06" w:rsidRDefault="00FC5A06" w:rsidP="009D6B2D">
      <w:pPr>
        <w:spacing w:after="0" w:line="240" w:lineRule="auto"/>
      </w:pPr>
      <w:r>
        <w:separator/>
      </w:r>
    </w:p>
  </w:footnote>
  <w:footnote w:type="continuationSeparator" w:id="0">
    <w:p w14:paraId="550B9933" w14:textId="77777777" w:rsidR="00FC5A06" w:rsidRDefault="00FC5A06" w:rsidP="009D6B2D">
      <w:pPr>
        <w:spacing w:after="0" w:line="240" w:lineRule="auto"/>
      </w:pPr>
      <w:r>
        <w:continuationSeparator/>
      </w:r>
    </w:p>
  </w:footnote>
  <w:footnote w:type="continuationNotice" w:id="1">
    <w:p w14:paraId="7B9294D3" w14:textId="77777777" w:rsidR="00FC5A06" w:rsidRDefault="00FC5A06">
      <w:pPr>
        <w:spacing w:after="0" w:line="240" w:lineRule="auto"/>
      </w:pPr>
    </w:p>
  </w:footnote>
  <w:footnote w:id="2">
    <w:p w14:paraId="38F34452" w14:textId="7FE23996" w:rsidR="00C94A4C" w:rsidRPr="005A76B5" w:rsidRDefault="00C94A4C" w:rsidP="002743D9">
      <w:pPr>
        <w:pStyle w:val="Times"/>
        <w:ind w:left="709" w:hanging="709"/>
      </w:pPr>
      <w:r>
        <w:rPr>
          <w:rStyle w:val="FootnoteReference"/>
        </w:rPr>
        <w:footnoteRef/>
      </w:r>
      <w:r>
        <w:tab/>
        <w:t xml:space="preserve">Comisia Europeană (2025), </w:t>
      </w:r>
      <w:hyperlink r:id="rId1">
        <w:r>
          <w:rPr>
            <w:rStyle w:val="Hyperlink"/>
            <w:i/>
          </w:rPr>
          <w:t>Strategia privind uniunea economiilor și a investițiilor</w:t>
        </w:r>
      </w:hyperlink>
      <w:r>
        <w:t>.</w:t>
      </w:r>
    </w:p>
  </w:footnote>
  <w:footnote w:id="3">
    <w:p w14:paraId="6790D959" w14:textId="24C827E7" w:rsidR="00C94A4C" w:rsidRPr="005A76B5" w:rsidRDefault="00C94A4C" w:rsidP="002743D9">
      <w:pPr>
        <w:pStyle w:val="Times"/>
        <w:ind w:left="709" w:hanging="709"/>
      </w:pPr>
      <w:r>
        <w:rPr>
          <w:rStyle w:val="FootnoteReference"/>
        </w:rPr>
        <w:footnoteRef/>
      </w:r>
      <w:r>
        <w:tab/>
        <w:t xml:space="preserve">Comisia Europeană (2025), </w:t>
      </w:r>
      <w:r>
        <w:rPr>
          <w:rStyle w:val="Hyperlink"/>
          <w:i/>
        </w:rPr>
        <w:t xml:space="preserve">Busola pentru </w:t>
      </w:r>
      <w:bookmarkStart w:id="2" w:name="_Hlt233970636"/>
      <w:r>
        <w:rPr>
          <w:rStyle w:val="Hyperlink"/>
          <w:i/>
        </w:rPr>
        <w:t>competitivitate a UE</w:t>
      </w:r>
      <w:bookmarkEnd w:id="2"/>
      <w:r>
        <w:t>.</w:t>
      </w:r>
    </w:p>
  </w:footnote>
  <w:footnote w:id="4">
    <w:p w14:paraId="3AEF2A30" w14:textId="456E44E0" w:rsidR="00C94A4C" w:rsidRPr="005A76B5" w:rsidRDefault="00C94A4C" w:rsidP="002743D9">
      <w:pPr>
        <w:pStyle w:val="Times"/>
        <w:ind w:left="709" w:hanging="709"/>
      </w:pPr>
      <w:r>
        <w:rPr>
          <w:rStyle w:val="FootnoteReference"/>
        </w:rPr>
        <w:footnoteRef/>
      </w:r>
      <w:r>
        <w:tab/>
        <w:t xml:space="preserve">Enrico Letta (2024), </w:t>
      </w:r>
      <w:hyperlink r:id="rId2">
        <w:r>
          <w:rPr>
            <w:rStyle w:val="Hyperlink"/>
            <w:i/>
          </w:rPr>
          <w:t>Much more than a market</w:t>
        </w:r>
      </w:hyperlink>
      <w:r>
        <w:t xml:space="preserve"> (Mult mai mult decât o piață).</w:t>
      </w:r>
    </w:p>
  </w:footnote>
  <w:footnote w:id="5">
    <w:p w14:paraId="04323AC6" w14:textId="0428AED9" w:rsidR="00C94A4C" w:rsidRPr="005A76B5" w:rsidRDefault="00C94A4C" w:rsidP="002743D9">
      <w:pPr>
        <w:pStyle w:val="Times"/>
        <w:ind w:left="709" w:hanging="709"/>
      </w:pPr>
      <w:r>
        <w:rPr>
          <w:rStyle w:val="FootnoteReference"/>
        </w:rPr>
        <w:footnoteRef/>
      </w:r>
      <w:r>
        <w:tab/>
        <w:t xml:space="preserve">Mario Draghi (2025), </w:t>
      </w:r>
      <w:hyperlink r:id="rId3">
        <w:r>
          <w:rPr>
            <w:rStyle w:val="Hyperlink"/>
            <w:i/>
          </w:rPr>
          <w:t>The future of European competitiveness</w:t>
        </w:r>
      </w:hyperlink>
      <w:r>
        <w:t xml:space="preserve"> (Viitorul competitivității europene).</w:t>
      </w:r>
    </w:p>
  </w:footnote>
  <w:footnote w:id="6">
    <w:p w14:paraId="16056E69" w14:textId="51928378" w:rsidR="00C94A4C" w:rsidRPr="005A76B5" w:rsidRDefault="00C94A4C" w:rsidP="002743D9">
      <w:pPr>
        <w:pStyle w:val="Times"/>
        <w:ind w:left="709" w:hanging="709"/>
      </w:pPr>
      <w:r>
        <w:rPr>
          <w:rStyle w:val="FootnoteReference"/>
        </w:rPr>
        <w:footnoteRef/>
      </w:r>
      <w:r>
        <w:tab/>
        <w:t xml:space="preserve">Comisia Europeană (2025), </w:t>
      </w:r>
      <w:hyperlink r:id="rId4">
        <w:r>
          <w:rPr>
            <w:rStyle w:val="Hyperlink"/>
            <w:i/>
          </w:rPr>
          <w:t>O strategie pentru crearea unei piețe unice simple, solide și pe deplin integrate</w:t>
        </w:r>
      </w:hyperlink>
      <w:r>
        <w:t>.</w:t>
      </w:r>
    </w:p>
  </w:footnote>
  <w:footnote w:id="7">
    <w:p w14:paraId="696979A0" w14:textId="00634553" w:rsidR="00C94A4C" w:rsidRPr="00D016A3" w:rsidRDefault="00C94A4C" w:rsidP="002743D9">
      <w:pPr>
        <w:pStyle w:val="Times"/>
        <w:ind w:left="709" w:hanging="709"/>
      </w:pPr>
      <w:r>
        <w:rPr>
          <w:rStyle w:val="FootnoteReference"/>
        </w:rPr>
        <w:footnoteRef/>
      </w:r>
      <w:r>
        <w:tab/>
        <w:t xml:space="preserve">Comisia Europeană (2026), </w:t>
      </w:r>
      <w:hyperlink r:id="rId5">
        <w:r>
          <w:rPr>
            <w:rStyle w:val="Hyperlink"/>
            <w:i/>
          </w:rPr>
          <w:t>Foaia de parcurs „O Europă, o piață” a Parlamentului European, Consiliului Uniunii Europene și Comisiei Europene</w:t>
        </w:r>
      </w:hyperlink>
      <w:r>
        <w:t xml:space="preserve">. </w:t>
      </w:r>
    </w:p>
  </w:footnote>
  <w:footnote w:id="8">
    <w:p w14:paraId="25055AA3" w14:textId="43581340" w:rsidR="00CB008D" w:rsidRPr="00B107C9" w:rsidRDefault="009824E6" w:rsidP="002743D9">
      <w:pPr>
        <w:pStyle w:val="Times"/>
        <w:ind w:left="709" w:hanging="709"/>
      </w:pPr>
      <w:r>
        <w:rPr>
          <w:rStyle w:val="FootnoteReference"/>
        </w:rPr>
        <w:footnoteRef/>
      </w:r>
      <w:r>
        <w:t xml:space="preserve"> </w:t>
      </w:r>
      <w:r>
        <w:tab/>
        <w:t xml:space="preserve">Comisia Europeană (aprilie 2026), Planul de acțiune privind curățarea aprofundată a cadrului de reglementare, care însoțește comunicarea intitulată </w:t>
      </w:r>
      <w:hyperlink r:id="rId6" w:history="1">
        <w:r>
          <w:rPr>
            <w:rStyle w:val="Hyperlink"/>
            <w:i/>
          </w:rPr>
          <w:t xml:space="preserve">Un cadru de reglementare al UE mai simplu, </w:t>
        </w:r>
        <w:bookmarkStart w:id="4" w:name="_Hlt233970712"/>
        <w:bookmarkStart w:id="5" w:name="_Hlt233970713"/>
        <w:bookmarkEnd w:id="4"/>
        <w:bookmarkEnd w:id="5"/>
        <w:r>
          <w:rPr>
            <w:rStyle w:val="Hyperlink"/>
            <w:i/>
          </w:rPr>
          <w:t>mai clar și mai bine aplicat</w:t>
        </w:r>
      </w:hyperlink>
      <w:r>
        <w:t>.</w:t>
      </w:r>
    </w:p>
  </w:footnote>
  <w:footnote w:id="9">
    <w:p w14:paraId="289E8A68" w14:textId="43E8C28E" w:rsidR="00AC611B" w:rsidRPr="00DD168B" w:rsidRDefault="00AC611B" w:rsidP="002743D9">
      <w:pPr>
        <w:pStyle w:val="Times"/>
        <w:ind w:left="709" w:hanging="709"/>
      </w:pPr>
      <w:r>
        <w:rPr>
          <w:rStyle w:val="FootnoteReference"/>
        </w:rPr>
        <w:footnoteRef/>
      </w:r>
      <w:r>
        <w:t xml:space="preserve"> </w:t>
      </w:r>
      <w:r>
        <w:tab/>
        <w:t>Pentru mai multe detalii, a se vedea raportul privind exercițiul de simulare de criză desfășurat la nivelul UE în 2025 de ABE (</w:t>
      </w:r>
      <w:hyperlink r:id="rId7" w:history="1">
        <w:r>
          <w:rPr>
            <w:rStyle w:val="Hyperlink"/>
          </w:rPr>
          <w:t>link</w:t>
        </w:r>
      </w:hyperlink>
      <w:r>
        <w:t>) și BCE (</w:t>
      </w:r>
      <w:hyperlink r:id="rId8" w:history="1">
        <w:r>
          <w:rPr>
            <w:rStyle w:val="Hyperlink"/>
          </w:rPr>
          <w:t>link</w:t>
        </w:r>
      </w:hyperlink>
      <w:r>
        <w:t>).</w:t>
      </w:r>
    </w:p>
  </w:footnote>
  <w:footnote w:id="10">
    <w:p w14:paraId="1064EBD7" w14:textId="2BED2C7A" w:rsidR="00F63D16" w:rsidRPr="00DD168B" w:rsidRDefault="00F63D16" w:rsidP="002743D9">
      <w:pPr>
        <w:pStyle w:val="Times"/>
        <w:ind w:left="709" w:hanging="709"/>
      </w:pPr>
      <w:r>
        <w:rPr>
          <w:rStyle w:val="FootnoteReference"/>
        </w:rPr>
        <w:footnoteRef/>
      </w:r>
      <w:r>
        <w:tab/>
        <w:t xml:space="preserve">Banca Centrală Europeană (2026), </w:t>
      </w:r>
      <w:hyperlink r:id="rId9" w:history="1">
        <w:r>
          <w:rPr>
            <w:rStyle w:val="Hyperlink"/>
            <w:i/>
          </w:rPr>
          <w:t>Răspunsul BCE la consultarea Comisiei privind competitivitatea sectorului bancar din UE</w:t>
        </w:r>
      </w:hyperlink>
      <w:r>
        <w:t>.</w:t>
      </w:r>
    </w:p>
  </w:footnote>
  <w:footnote w:id="11">
    <w:p w14:paraId="73ABAF55" w14:textId="7AEBED0F" w:rsidR="003E5927" w:rsidRPr="00BD1202" w:rsidRDefault="003E5927" w:rsidP="002743D9">
      <w:pPr>
        <w:pStyle w:val="Times"/>
        <w:ind w:left="709" w:hanging="709"/>
      </w:pPr>
      <w:r>
        <w:rPr>
          <w:rStyle w:val="FootnoteReference"/>
        </w:rPr>
        <w:footnoteRef/>
      </w:r>
      <w:r>
        <w:tab/>
        <w:t xml:space="preserve">Banca Centrală Europeană (2026), </w:t>
      </w:r>
      <w:hyperlink r:id="rId10" w:history="1">
        <w:r>
          <w:rPr>
            <w:rStyle w:val="Hyperlink"/>
            <w:i/>
          </w:rPr>
          <w:t>Răspunsul BCE la consultarea Comisiei privind competitivitatea sectorului bancar din UE</w:t>
        </w:r>
      </w:hyperlink>
      <w:r>
        <w:t>.</w:t>
      </w:r>
    </w:p>
  </w:footnote>
  <w:footnote w:id="12">
    <w:p w14:paraId="6516F7E7" w14:textId="77777777" w:rsidR="00E17096" w:rsidRPr="00BD1202" w:rsidRDefault="00E17096" w:rsidP="002743D9">
      <w:pPr>
        <w:pStyle w:val="Times"/>
        <w:ind w:left="709" w:hanging="709"/>
      </w:pPr>
      <w:r>
        <w:rPr>
          <w:rStyle w:val="FootnoteReference"/>
        </w:rPr>
        <w:footnoteRef/>
      </w:r>
      <w:r>
        <w:tab/>
        <w:t>Dimensiunea este un factor important care determină contribuția unei bănci la economie într-o serie de domenii legate de activitățile bancare de investiții, cum ar fi subscrierea emisiunilor de titluri de datorie suverană sau comercială, emisiunile de titluri de capital, serviciile de custodie, activitățile de tranzacționare primară pe piețele valutare și ale instrumentelor financiare derivate în EUR, consilierea în materie de fuziuni și achiziții și structurarea tranzacțiilor, finanțarea proiectelor critice de mari dimensiuni și altele.</w:t>
      </w:r>
    </w:p>
  </w:footnote>
  <w:footnote w:id="13">
    <w:p w14:paraId="0337D16A" w14:textId="77777777" w:rsidR="000737E1" w:rsidRPr="00F67804" w:rsidRDefault="00D07046" w:rsidP="002743D9">
      <w:pPr>
        <w:pStyle w:val="Times"/>
        <w:ind w:left="709" w:hanging="709"/>
      </w:pPr>
      <w:r>
        <w:rPr>
          <w:rStyle w:val="FootnoteReference"/>
          <w:lang w:val="en-IE"/>
        </w:rPr>
        <w:footnoteRef/>
      </w:r>
      <w:r>
        <w:t xml:space="preserve"> </w:t>
      </w:r>
      <w:r>
        <w:tab/>
        <w:t>Comisia Europeană a publicat recent un </w:t>
      </w:r>
      <w:hyperlink r:id="rId11" w:tgtFrame="_blank" w:history="1">
        <w:r>
          <w:rPr>
            <w:rStyle w:val="Hyperlink"/>
          </w:rPr>
          <w:t>studiu</w:t>
        </w:r>
      </w:hyperlink>
      <w:r>
        <w:t xml:space="preserve"> realizat de un consultant extern privind cadrul fiscal aplicabil în prezent sectorului financiar. Studiul analizează atât TVA-ul – de la plata căruia sunt scutite majoritatea serviciilor financiare de bază –, cât și impozitele sectoriale aplicate la nivel național în UE. </w:t>
      </w:r>
    </w:p>
    <w:p w14:paraId="7AB520D7" w14:textId="0F698D8D" w:rsidR="00D07046" w:rsidRPr="000E3801" w:rsidRDefault="00D07046" w:rsidP="002743D9">
      <w:pPr>
        <w:pStyle w:val="Times"/>
        <w:ind w:left="709" w:hanging="709"/>
        <w:rPr>
          <w:lang w:val="fr-FR"/>
        </w:rPr>
      </w:pPr>
    </w:p>
    <w:p w14:paraId="2004794B" w14:textId="11B9E307" w:rsidR="00D07046" w:rsidRPr="00D07046" w:rsidRDefault="00D07046" w:rsidP="002743D9">
      <w:pPr>
        <w:pStyle w:val="Times"/>
        <w:ind w:left="709" w:hanging="709"/>
      </w:pPr>
    </w:p>
  </w:footnote>
  <w:footnote w:id="14">
    <w:p w14:paraId="0D9C4AE5" w14:textId="47F26311" w:rsidR="00314607" w:rsidRPr="00835196" w:rsidRDefault="00314607" w:rsidP="002743D9">
      <w:pPr>
        <w:pStyle w:val="Times"/>
        <w:ind w:left="709" w:hanging="709"/>
      </w:pPr>
      <w:r w:rsidRPr="002743D9">
        <w:rPr>
          <w:rStyle w:val="FootnoteReference"/>
        </w:rPr>
        <w:footnoteRef/>
      </w:r>
      <w:r w:rsidRPr="002743D9">
        <w:t xml:space="preserve"> </w:t>
      </w:r>
      <w:r>
        <w:rPr>
          <w:sz w:val="16"/>
        </w:rPr>
        <w:tab/>
      </w:r>
      <w:r>
        <w:t xml:space="preserve">Nivelul 1 - „legislație-cadru” (regulamente sau directive) și nivelul 2 - „măsuri tehnice” (acte delegate și acte de punere în aplicare, precum și standarde tehnice de reglementare și de punere în aplicare). </w:t>
      </w:r>
    </w:p>
  </w:footnote>
  <w:footnote w:id="15">
    <w:p w14:paraId="2EA9A324" w14:textId="61FD8FD5" w:rsidR="00314607" w:rsidRPr="00835196" w:rsidRDefault="00314607" w:rsidP="002743D9">
      <w:pPr>
        <w:pStyle w:val="Times"/>
        <w:ind w:left="709" w:hanging="709"/>
      </w:pPr>
      <w:r>
        <w:rPr>
          <w:rStyle w:val="FootnoteReference"/>
        </w:rPr>
        <w:footnoteRef/>
      </w:r>
      <w:r>
        <w:t xml:space="preserve"> </w:t>
      </w:r>
      <w:r>
        <w:tab/>
        <w:t xml:space="preserve">Nivelul 3 - orientări privind „convergența în materie de supraveghere” (Orientările autorităților europene de supraveghere), întrebări și răspunsuri interpretative, avize, recomandări, practici de supraveghere și așteptări orizontale. </w:t>
      </w:r>
    </w:p>
  </w:footnote>
  <w:footnote w:id="16">
    <w:p w14:paraId="2DE430DA" w14:textId="03E64CF1" w:rsidR="00C8769E" w:rsidRPr="00BD1202" w:rsidRDefault="00C8769E" w:rsidP="002743D9">
      <w:pPr>
        <w:pStyle w:val="Times"/>
        <w:ind w:left="709" w:hanging="709"/>
      </w:pPr>
      <w:r>
        <w:rPr>
          <w:rStyle w:val="FootnoteReference"/>
        </w:rPr>
        <w:footnoteRef/>
      </w:r>
      <w:r>
        <w:t xml:space="preserve"> </w:t>
      </w:r>
      <w:r>
        <w:tab/>
        <w:t xml:space="preserve">ABE (iunie 2026), </w:t>
      </w:r>
      <w:hyperlink r:id="rId12" w:history="1">
        <w:r>
          <w:rPr>
            <w:rStyle w:val="Hyperlink"/>
            <w:i/>
          </w:rPr>
          <w:t>EBA Report on Simplifying the Stacking Order of the EU Prudential and Resolution Framework</w:t>
        </w:r>
      </w:hyperlink>
      <w:r>
        <w:rPr>
          <w:i/>
          <w:u w:val="single"/>
        </w:rPr>
        <w:t xml:space="preserve"> (Raportul ABE privind simplificarea ordinii de suprapunere a cerințelor din cadrul prudențial și de rezoluție al UE).</w:t>
      </w:r>
    </w:p>
  </w:footnote>
  <w:footnote w:id="17">
    <w:p w14:paraId="7E42B6EE" w14:textId="329FE057" w:rsidR="002730B3" w:rsidRPr="0026553E" w:rsidRDefault="002730B3" w:rsidP="002743D9">
      <w:pPr>
        <w:pStyle w:val="Times"/>
        <w:ind w:left="709" w:hanging="709"/>
      </w:pPr>
      <w:r>
        <w:rPr>
          <w:rStyle w:val="FootnoteReference"/>
        </w:rPr>
        <w:footnoteRef/>
      </w:r>
      <w:r>
        <w:tab/>
        <w:t xml:space="preserve">Claudia Buch (2026), </w:t>
      </w:r>
      <w:hyperlink r:id="rId13">
        <w:r>
          <w:rPr>
            <w:rStyle w:val="Hyperlink"/>
            <w:i/>
          </w:rPr>
          <w:t>The bank-sovereign nexus:</w:t>
        </w:r>
      </w:hyperlink>
      <w:hyperlink r:id="rId14">
        <w:r>
          <w:rPr>
            <w:rStyle w:val="Hyperlink"/>
            <w:i/>
          </w:rPr>
          <w:t xml:space="preserve"> securing progress by completing the banking union (Legătura dintre bănci și entitățile suverane: asigurarea progreselor prin finalizarea uniunii bancare)</w:t>
        </w:r>
      </w:hyperlink>
      <w:r>
        <w:t>, care constată, de asemenea, că preferința băncilor pentru expunerile suverane interne a scăzut în ultimii ani, în special în cazul băncilor mari supravegheate de MUS.</w:t>
      </w:r>
    </w:p>
  </w:footnote>
  <w:footnote w:id="18">
    <w:p w14:paraId="15081DAC" w14:textId="69AFD9E7" w:rsidR="007E7338" w:rsidRPr="0026553E" w:rsidRDefault="007E7338" w:rsidP="002743D9">
      <w:pPr>
        <w:pStyle w:val="Times"/>
        <w:ind w:left="709" w:hanging="709"/>
      </w:pPr>
      <w:r>
        <w:rPr>
          <w:rStyle w:val="FootnoteReference"/>
        </w:rPr>
        <w:footnoteRef/>
      </w:r>
      <w:r>
        <w:t xml:space="preserve"> </w:t>
      </w:r>
      <w:r>
        <w:tab/>
        <w:t>Orice activ, pasiv sau relație financiară între entități din cadrul aceluiași grup.</w:t>
      </w:r>
    </w:p>
  </w:footnote>
  <w:footnote w:id="19">
    <w:p w14:paraId="2B0599BF" w14:textId="71BFBDEA" w:rsidR="006D0074" w:rsidRPr="00E64AB8" w:rsidRDefault="006D0074" w:rsidP="002743D9">
      <w:pPr>
        <w:pStyle w:val="Times"/>
        <w:ind w:left="709" w:hanging="709"/>
      </w:pPr>
      <w:r>
        <w:rPr>
          <w:rStyle w:val="FootnoteReference"/>
        </w:rPr>
        <w:footnoteRef/>
      </w:r>
      <w:r>
        <w:t xml:space="preserve"> </w:t>
      </w:r>
      <w:r>
        <w:tab/>
        <w:t>Orientările subliniază că dreptul Uniunii permite astfel de intervenții naționale numai din motive specifice, altele decât protejarea concurenței. Intervențiile ar trebui să se limiteze la cele strict necesare pentru protejarea unor interese legitime reale și trebuie să respecte principiile proporționalității și nediscriminării.</w:t>
      </w:r>
      <w:r w:rsidR="000E3801">
        <w:t xml:space="preserve"> </w:t>
      </w:r>
      <w:hyperlink r:id="rId15" w:history="1">
        <w:r>
          <w:rPr>
            <w:rStyle w:val="Hyperlink"/>
          </w:rPr>
          <w:t>Noul proiect de orientări ale Comisiei privind concentrările economice</w:t>
        </w:r>
      </w:hyperlink>
      <w:r>
        <w:t xml:space="preserve">, p. 90. </w:t>
      </w:r>
    </w:p>
  </w:footnote>
  <w:footnote w:id="20">
    <w:p w14:paraId="6E007A37" w14:textId="305DFDC6" w:rsidR="00D23E5D" w:rsidRPr="0044021D" w:rsidRDefault="00D23E5D" w:rsidP="002743D9">
      <w:pPr>
        <w:pStyle w:val="Times"/>
        <w:ind w:left="709" w:hanging="709"/>
      </w:pPr>
      <w:r>
        <w:rPr>
          <w:rStyle w:val="FootnoteReference"/>
        </w:rPr>
        <w:footnoteRef/>
      </w:r>
      <w:r>
        <w:t xml:space="preserve"> </w:t>
      </w:r>
      <w:r>
        <w:tab/>
        <w:t xml:space="preserve">În plus, deși SGD-urile sunt pe deplin constituite, iar unele dintre ele depășesc nivelul-țintă minim, acestea pot rămâne vulnerabile la șocuri locale provocate de intrarea în dificultate a uneia sau mai multor bănci mici, ceea ce poate genera deficite de lichiditate și le poate obliga să recurgă la sprijin public. </w:t>
      </w:r>
    </w:p>
    <w:p w14:paraId="235D7D3A" w14:textId="77777777" w:rsidR="00D23E5D" w:rsidRPr="000E3801" w:rsidRDefault="00D23E5D" w:rsidP="002743D9">
      <w:pPr>
        <w:pStyle w:val="Times"/>
        <w:ind w:left="709" w:hanging="709"/>
      </w:pPr>
    </w:p>
  </w:footnote>
  <w:footnote w:id="21">
    <w:p w14:paraId="5ED8251C" w14:textId="31F40909" w:rsidR="005D0840" w:rsidRPr="00EE7D2B" w:rsidRDefault="005D0840" w:rsidP="002743D9">
      <w:pPr>
        <w:pStyle w:val="Times"/>
        <w:ind w:left="709" w:hanging="709"/>
      </w:pPr>
      <w:r>
        <w:rPr>
          <w:rStyle w:val="FootnoteReference"/>
        </w:rPr>
        <w:footnoteRef/>
      </w:r>
      <w:r>
        <w:t xml:space="preserve"> </w:t>
      </w:r>
      <w:r>
        <w:tab/>
        <w:t xml:space="preserve">Directiva (UE) 2023/2225 a Parlamentului European și a Consiliului din 18 octombrie 2023 privind contractele de credit de consum și de abrogare a Directivei 2008/48/CE (JO L, 2023/2225, 30.10.2023) stabilește armonizarea completă a normelor de protecție a consumatorilor în domeniul creditelor de consum, pentru a se asigura un nivel ridicat și echivalent de protecție a intereselor tuturor consumatorilor din Uniune și pentru a se crea o piață internă care funcționează optim. </w:t>
      </w:r>
    </w:p>
    <w:p w14:paraId="25149152" w14:textId="77777777" w:rsidR="005D0840" w:rsidRPr="000E3801" w:rsidRDefault="005D0840" w:rsidP="002743D9">
      <w:pPr>
        <w:pStyle w:val="Times"/>
        <w:ind w:left="709" w:hanging="709"/>
      </w:pPr>
    </w:p>
    <w:p w14:paraId="2117AAB7" w14:textId="77777777" w:rsidR="005D0840" w:rsidRPr="000E3801" w:rsidRDefault="005D0840" w:rsidP="002743D9">
      <w:pPr>
        <w:pStyle w:val="Times"/>
        <w:ind w:left="709" w:hanging="709"/>
      </w:pPr>
    </w:p>
  </w:footnote>
  <w:footnote w:id="22">
    <w:p w14:paraId="5917CEE7" w14:textId="321DBD10" w:rsidR="00EA5C5E" w:rsidRPr="0026553E" w:rsidRDefault="00EA5C5E" w:rsidP="002743D9">
      <w:pPr>
        <w:pStyle w:val="Times"/>
        <w:ind w:left="709" w:hanging="709"/>
      </w:pPr>
      <w:r>
        <w:rPr>
          <w:rStyle w:val="FootnoteReference"/>
        </w:rPr>
        <w:footnoteRef/>
      </w:r>
      <w:r>
        <w:tab/>
        <w:t>Pragul minim al modelelor interne este o garanție de reglementare care limitează măsura în care băncile își pot reduce cerințele de capital prin utilizarea modelelor interne de risc, în raport cu abordările standardizate.</w:t>
      </w:r>
    </w:p>
  </w:footnote>
  <w:footnote w:id="23">
    <w:p w14:paraId="3F898D24" w14:textId="77777777" w:rsidR="00766110" w:rsidRPr="0026553E" w:rsidRDefault="00766110" w:rsidP="002743D9">
      <w:pPr>
        <w:pStyle w:val="Times"/>
        <w:ind w:left="709" w:hanging="709"/>
      </w:pPr>
      <w:r>
        <w:rPr>
          <w:rStyle w:val="FootnoteReference"/>
        </w:rPr>
        <w:footnoteRef/>
      </w:r>
      <w:r>
        <w:tab/>
        <w:t xml:space="preserve">Autoritatea Bancară Europeană (2025), </w:t>
      </w:r>
      <w:hyperlink r:id="rId16" w:history="1">
        <w:r>
          <w:rPr>
            <w:rStyle w:val="Hyperlink"/>
            <w:i/>
          </w:rPr>
          <w:t>The EBA and ESMA recommend targeted revisions to the investment firms’ prudential framework</w:t>
        </w:r>
      </w:hyperlink>
      <w:r>
        <w:t xml:space="preserve"> (ABE și ESMA recomandă revizuiri specifice ale cadrului prudențial aplicabil firmelor de investiții).</w:t>
      </w:r>
    </w:p>
  </w:footnote>
  <w:footnote w:id="24">
    <w:p w14:paraId="6691744C" w14:textId="30CE1F5E" w:rsidR="007A1DF3" w:rsidRPr="0026553E" w:rsidRDefault="007A1DF3" w:rsidP="002743D9">
      <w:pPr>
        <w:pStyle w:val="Times"/>
        <w:ind w:left="709" w:hanging="709"/>
      </w:pPr>
      <w:r>
        <w:rPr>
          <w:rStyle w:val="FootnoteReference"/>
        </w:rPr>
        <w:footnoteRef/>
      </w:r>
      <w:r>
        <w:tab/>
        <w:t xml:space="preserve">Banca Centrală Europeană (2025), </w:t>
      </w:r>
      <w:hyperlink r:id="rId17" w:history="1">
        <w:r>
          <w:rPr>
            <w:rStyle w:val="Hyperlink"/>
            <w:i/>
          </w:rPr>
          <w:t>Simplification of the European prudential regulatory, supervisory and reporting framework</w:t>
        </w:r>
      </w:hyperlink>
      <w:r>
        <w:t xml:space="preserve"> (Simplificarea cadrului european de reglementare prudențială, de supraveghere și de raportare).</w:t>
      </w:r>
    </w:p>
  </w:footnote>
  <w:footnote w:id="25">
    <w:p w14:paraId="3A9F6AE2" w14:textId="0EC2588A" w:rsidR="00DF2CB4" w:rsidRPr="0026553E" w:rsidRDefault="00DF2CB4" w:rsidP="002743D9">
      <w:pPr>
        <w:pStyle w:val="Times"/>
        <w:ind w:left="709" w:hanging="709"/>
      </w:pPr>
      <w:r>
        <w:rPr>
          <w:rStyle w:val="FootnoteReference"/>
        </w:rPr>
        <w:footnoteRef/>
      </w:r>
      <w:r>
        <w:tab/>
        <w:t xml:space="preserve">Autoritatea Bancară Europeană (2021), </w:t>
      </w:r>
      <w:hyperlink r:id="rId18" w:history="1">
        <w:r>
          <w:rPr>
            <w:rStyle w:val="Hyperlink"/>
            <w:i/>
          </w:rPr>
          <w:t>Study of the cost of compliance with supervisory reporting requirements</w:t>
        </w:r>
      </w:hyperlink>
      <w:r>
        <w:t xml:space="preserve"> (Studiu privind costurile asigurării conformității cu cerințele de raportare în scopuri de supraveghere).</w:t>
      </w:r>
    </w:p>
  </w:footnote>
  <w:footnote w:id="26">
    <w:p w14:paraId="10D44243" w14:textId="260572A7" w:rsidR="00DF2CB4" w:rsidRPr="0026553E" w:rsidRDefault="00DF2CB4" w:rsidP="002743D9">
      <w:pPr>
        <w:pStyle w:val="Times"/>
        <w:ind w:left="709" w:hanging="709"/>
      </w:pPr>
      <w:r>
        <w:rPr>
          <w:rStyle w:val="FootnoteReference"/>
        </w:rPr>
        <w:footnoteRef/>
      </w:r>
      <w:r>
        <w:tab/>
        <w:t xml:space="preserve">Comisia Europeană (2021), </w:t>
      </w:r>
      <w:hyperlink r:id="rId19" w:history="1">
        <w:r>
          <w:rPr>
            <w:rStyle w:val="Hyperlink"/>
            <w:i/>
          </w:rPr>
          <w:t>Strategy on supervisory data in EU financial services</w:t>
        </w:r>
      </w:hyperlink>
      <w:r>
        <w:t xml:space="preserve"> (Strategia privind datele de supraveghere în serviciile financiare ale UE).</w:t>
      </w:r>
    </w:p>
  </w:footnote>
  <w:footnote w:id="27">
    <w:p w14:paraId="39FECCDF" w14:textId="77777777" w:rsidR="00DF2CB4" w:rsidRPr="004E3714" w:rsidRDefault="00DF2CB4" w:rsidP="002743D9">
      <w:pPr>
        <w:pStyle w:val="Times"/>
        <w:ind w:left="709" w:hanging="709"/>
      </w:pPr>
      <w:r>
        <w:rPr>
          <w:rStyle w:val="FootnoteReference"/>
        </w:rPr>
        <w:footnoteRef/>
      </w:r>
      <w:r>
        <w:tab/>
        <w:t>JO L, 2025/2088, 21.10.2025, ELI: </w:t>
      </w:r>
      <w:hyperlink r:id="rId20" w:tgtFrame="_blank" w:tooltip="Oferă acces la acest document prin identificatorul său uniform de resurse ELI." w:history="1">
        <w:r>
          <w:rPr>
            <w:rStyle w:val="Hyperlink"/>
          </w:rPr>
          <w:t>http://data.europa.eu/eli/reg/2025/2088/oj</w:t>
        </w:r>
      </w:hyperlink>
      <w:r>
        <w:t>.</w:t>
      </w:r>
    </w:p>
  </w:footnote>
  <w:footnote w:id="28">
    <w:p w14:paraId="7F065A41" w14:textId="77777777" w:rsidR="00DF2CB4" w:rsidRPr="0026553E" w:rsidRDefault="00DF2CB4" w:rsidP="002743D9">
      <w:pPr>
        <w:pStyle w:val="Times"/>
        <w:ind w:left="709" w:hanging="709"/>
      </w:pPr>
      <w:r>
        <w:rPr>
          <w:rStyle w:val="FootnoteReference"/>
        </w:rPr>
        <w:footnoteRef/>
      </w:r>
      <w:r>
        <w:tab/>
        <w:t xml:space="preserve">Propunere de directivă a Parlamentului European și a Consiliului de modificare a Directivelor (UE) 2022/2464 și (UE) 2024/1760 în ceea ce privește datele de la care statele membre trebuie să aplice anumite cerințe de raportare și de diligență necesară în materie de durabilitate a întreprinderilor </w:t>
      </w:r>
      <w:hyperlink r:id="rId21" w:history="1">
        <w:r>
          <w:rPr>
            <w:rStyle w:val="Hyperlink"/>
          </w:rPr>
          <w:t>COM/2025/80 final</w:t>
        </w:r>
      </w:hyperlink>
      <w:r>
        <w:t>.</w:t>
      </w:r>
    </w:p>
  </w:footnote>
  <w:footnote w:id="29">
    <w:p w14:paraId="31C16840" w14:textId="036DFC18" w:rsidR="00DF2CB4" w:rsidRPr="0026553E" w:rsidRDefault="00DF2CB4" w:rsidP="002743D9">
      <w:pPr>
        <w:pStyle w:val="Times"/>
        <w:ind w:left="709" w:hanging="709"/>
      </w:pPr>
      <w:r>
        <w:rPr>
          <w:rStyle w:val="FootnoteReference"/>
        </w:rPr>
        <w:footnoteRef/>
      </w:r>
      <w:r>
        <w:tab/>
        <w:t xml:space="preserve">Autoritatea Bancară Europeană (2026), </w:t>
      </w:r>
      <w:hyperlink r:id="rId22" w:history="1">
        <w:r>
          <w:rPr>
            <w:rStyle w:val="Hyperlink"/>
            <w:i/>
          </w:rPr>
          <w:t>Efficient reporting:</w:t>
        </w:r>
      </w:hyperlink>
      <w:hyperlink r:id="rId23" w:history="1">
        <w:r>
          <w:rPr>
            <w:rStyle w:val="Hyperlink"/>
            <w:i/>
          </w:rPr>
          <w:t xml:space="preserve"> simpler, smarter, proportionate</w:t>
        </w:r>
      </w:hyperlink>
      <w:r>
        <w:t xml:space="preserve"> (Raportare eficientă: mai simplă, mai inteligentă, proporțională).</w:t>
      </w:r>
    </w:p>
  </w:footnote>
  <w:footnote w:id="30">
    <w:p w14:paraId="217ABC72" w14:textId="0F0A61F5" w:rsidR="7CB16AB6" w:rsidRPr="00455345" w:rsidRDefault="7CB16AB6" w:rsidP="002743D9">
      <w:pPr>
        <w:pStyle w:val="Times"/>
        <w:ind w:left="709" w:hanging="709"/>
      </w:pPr>
      <w:r>
        <w:rPr>
          <w:rStyle w:val="FootnoteReference"/>
        </w:rPr>
        <w:footnoteRef/>
      </w:r>
      <w:r>
        <w:t xml:space="preserve"> </w:t>
      </w:r>
      <w:r>
        <w:tab/>
        <w:t>Articolul 32 din Regulamentul (UE) nr. 1024/2013 și articolul 94 din Regulamentul (UE) nr. 806/2014.</w:t>
      </w:r>
    </w:p>
  </w:footnote>
  <w:footnote w:id="31">
    <w:p w14:paraId="294AC062" w14:textId="16D55F30" w:rsidR="000002EC" w:rsidRPr="00835196" w:rsidRDefault="000002EC" w:rsidP="002743D9">
      <w:pPr>
        <w:pStyle w:val="Times"/>
        <w:ind w:left="709" w:hanging="709"/>
      </w:pPr>
      <w:r>
        <w:rPr>
          <w:rStyle w:val="FootnoteReference"/>
        </w:rPr>
        <w:footnoteRef/>
      </w:r>
      <w:r>
        <w:t xml:space="preserve"> </w:t>
      </w:r>
      <w:r>
        <w:tab/>
        <w:t xml:space="preserve">Consiliul European (decembrie 2025), </w:t>
      </w:r>
      <w:hyperlink r:id="rId24" w:history="1">
        <w:r>
          <w:rPr>
            <w:rStyle w:val="Hyperlink"/>
            <w:i/>
          </w:rPr>
          <w:t>Concluzii privind simplificarea reglementării de către Uniune a serviciilor financiare</w:t>
        </w:r>
      </w:hyperlink>
      <w:r>
        <w:t>.</w:t>
      </w:r>
    </w:p>
  </w:footnote>
  <w:footnote w:id="32">
    <w:p w14:paraId="33C3380F" w14:textId="12B181FE" w:rsidR="000002EC" w:rsidRPr="00896ADA" w:rsidRDefault="000002EC" w:rsidP="002743D9">
      <w:pPr>
        <w:pStyle w:val="Times"/>
        <w:ind w:left="709" w:hanging="709"/>
      </w:pPr>
      <w:r>
        <w:rPr>
          <w:rStyle w:val="FootnoteReference"/>
        </w:rPr>
        <w:footnoteRef/>
      </w:r>
      <w:r>
        <w:t xml:space="preserve"> </w:t>
      </w:r>
      <w:r>
        <w:tab/>
      </w:r>
      <w:hyperlink r:id="rId25" w:history="1">
        <w:r>
          <w:rPr>
            <w:rStyle w:val="Hyperlink"/>
            <w:i/>
          </w:rPr>
          <w:t>Concluziile reuniunii Consiliului European</w:t>
        </w:r>
      </w:hyperlink>
      <w:r>
        <w:t xml:space="preserve"> (martie 2026). </w:t>
      </w:r>
    </w:p>
  </w:footnote>
  <w:footnote w:id="33">
    <w:p w14:paraId="634A63B9" w14:textId="666E19BB" w:rsidR="000002EC" w:rsidRPr="00896ADA" w:rsidRDefault="000002EC" w:rsidP="002743D9">
      <w:pPr>
        <w:pStyle w:val="Times"/>
        <w:ind w:left="709" w:hanging="709"/>
      </w:pPr>
      <w:r>
        <w:rPr>
          <w:rStyle w:val="FootnoteReference"/>
        </w:rPr>
        <w:footnoteRef/>
      </w:r>
      <w:r>
        <w:t xml:space="preserve"> </w:t>
      </w:r>
      <w:r>
        <w:tab/>
        <w:t xml:space="preserve">Parlamentul European (aprilie 2026), </w:t>
      </w:r>
      <w:hyperlink r:id="rId26" w:history="1">
        <w:r>
          <w:rPr>
            <w:rStyle w:val="Hyperlink"/>
            <w:i/>
          </w:rPr>
          <w:t>Uniunea bancară – raportul anual pe 2025</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8A3142" w14:textId="77777777" w:rsidR="00891625" w:rsidRPr="00891625" w:rsidRDefault="00891625" w:rsidP="00891625">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586F09" w14:textId="77777777" w:rsidR="00891625" w:rsidRPr="00891625" w:rsidRDefault="00891625" w:rsidP="0089162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B0DA98" w14:textId="77777777" w:rsidR="00891625" w:rsidRPr="00891625" w:rsidRDefault="00891625" w:rsidP="0089162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C3E1B1" w14:textId="77777777" w:rsidR="00755D31" w:rsidRDefault="00755D3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1C2575" w14:textId="77777777" w:rsidR="00755D31" w:rsidRDefault="00755D3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D75049" w14:textId="77777777" w:rsidR="00755D31" w:rsidRDefault="00755D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D294C"/>
    <w:multiLevelType w:val="hybridMultilevel"/>
    <w:tmpl w:val="57FE061A"/>
    <w:lvl w:ilvl="0" w:tplc="FFFFFFFF">
      <w:start w:val="1"/>
      <w:numFmt w:val="bullet"/>
      <w:lvlText w:val=""/>
      <w:lvlJc w:val="left"/>
      <w:pPr>
        <w:ind w:left="720" w:hanging="360"/>
      </w:pPr>
      <w:rPr>
        <w:rFonts w:ascii="Wingdings" w:hAnsi="Wingdings" w:hint="default"/>
        <w:color w:val="auto"/>
      </w:rPr>
    </w:lvl>
    <w:lvl w:ilvl="1" w:tplc="18090005">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2047FC7"/>
    <w:multiLevelType w:val="hybridMultilevel"/>
    <w:tmpl w:val="75B4DE72"/>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B235F65"/>
    <w:multiLevelType w:val="hybridMultilevel"/>
    <w:tmpl w:val="6D9C59FE"/>
    <w:lvl w:ilvl="0" w:tplc="1809000B">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785" w:hanging="360"/>
      </w:pPr>
      <w:rPr>
        <w:rFonts w:ascii="Wingdings" w:hAnsi="Wingdings"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C5F573A"/>
    <w:multiLevelType w:val="hybridMultilevel"/>
    <w:tmpl w:val="0BC278CE"/>
    <w:lvl w:ilvl="0" w:tplc="17D4665C">
      <w:start w:val="1"/>
      <w:numFmt w:val="bullet"/>
      <w:lvlText w:val=""/>
      <w:lvlJc w:val="left"/>
      <w:pPr>
        <w:ind w:left="1020" w:hanging="360"/>
      </w:pPr>
      <w:rPr>
        <w:rFonts w:ascii="Symbol" w:hAnsi="Symbol"/>
      </w:rPr>
    </w:lvl>
    <w:lvl w:ilvl="1" w:tplc="71986B8C">
      <w:start w:val="1"/>
      <w:numFmt w:val="bullet"/>
      <w:lvlText w:val=""/>
      <w:lvlJc w:val="left"/>
      <w:pPr>
        <w:ind w:left="1020" w:hanging="360"/>
      </w:pPr>
      <w:rPr>
        <w:rFonts w:ascii="Symbol" w:hAnsi="Symbol"/>
      </w:rPr>
    </w:lvl>
    <w:lvl w:ilvl="2" w:tplc="5EB82E92">
      <w:start w:val="1"/>
      <w:numFmt w:val="bullet"/>
      <w:lvlText w:val=""/>
      <w:lvlJc w:val="left"/>
      <w:pPr>
        <w:ind w:left="1020" w:hanging="360"/>
      </w:pPr>
      <w:rPr>
        <w:rFonts w:ascii="Symbol" w:hAnsi="Symbol"/>
      </w:rPr>
    </w:lvl>
    <w:lvl w:ilvl="3" w:tplc="1D84D784">
      <w:start w:val="1"/>
      <w:numFmt w:val="bullet"/>
      <w:lvlText w:val=""/>
      <w:lvlJc w:val="left"/>
      <w:pPr>
        <w:ind w:left="1020" w:hanging="360"/>
      </w:pPr>
      <w:rPr>
        <w:rFonts w:ascii="Symbol" w:hAnsi="Symbol"/>
      </w:rPr>
    </w:lvl>
    <w:lvl w:ilvl="4" w:tplc="705AB8F6">
      <w:start w:val="1"/>
      <w:numFmt w:val="bullet"/>
      <w:lvlText w:val=""/>
      <w:lvlJc w:val="left"/>
      <w:pPr>
        <w:ind w:left="1020" w:hanging="360"/>
      </w:pPr>
      <w:rPr>
        <w:rFonts w:ascii="Symbol" w:hAnsi="Symbol"/>
      </w:rPr>
    </w:lvl>
    <w:lvl w:ilvl="5" w:tplc="60B8F392">
      <w:start w:val="1"/>
      <w:numFmt w:val="bullet"/>
      <w:lvlText w:val=""/>
      <w:lvlJc w:val="left"/>
      <w:pPr>
        <w:ind w:left="1020" w:hanging="360"/>
      </w:pPr>
      <w:rPr>
        <w:rFonts w:ascii="Symbol" w:hAnsi="Symbol"/>
      </w:rPr>
    </w:lvl>
    <w:lvl w:ilvl="6" w:tplc="E9DC470E">
      <w:start w:val="1"/>
      <w:numFmt w:val="bullet"/>
      <w:lvlText w:val=""/>
      <w:lvlJc w:val="left"/>
      <w:pPr>
        <w:ind w:left="1020" w:hanging="360"/>
      </w:pPr>
      <w:rPr>
        <w:rFonts w:ascii="Symbol" w:hAnsi="Symbol"/>
      </w:rPr>
    </w:lvl>
    <w:lvl w:ilvl="7" w:tplc="4E28AE0A">
      <w:start w:val="1"/>
      <w:numFmt w:val="bullet"/>
      <w:lvlText w:val=""/>
      <w:lvlJc w:val="left"/>
      <w:pPr>
        <w:ind w:left="1020" w:hanging="360"/>
      </w:pPr>
      <w:rPr>
        <w:rFonts w:ascii="Symbol" w:hAnsi="Symbol"/>
      </w:rPr>
    </w:lvl>
    <w:lvl w:ilvl="8" w:tplc="5E762D34">
      <w:start w:val="1"/>
      <w:numFmt w:val="bullet"/>
      <w:lvlText w:val=""/>
      <w:lvlJc w:val="left"/>
      <w:pPr>
        <w:ind w:left="1020" w:hanging="360"/>
      </w:pPr>
      <w:rPr>
        <w:rFonts w:ascii="Symbol" w:hAnsi="Symbol"/>
      </w:rPr>
    </w:lvl>
  </w:abstractNum>
  <w:abstractNum w:abstractNumId="4" w15:restartNumberingAfterBreak="0">
    <w:nsid w:val="11784D32"/>
    <w:multiLevelType w:val="hybridMultilevel"/>
    <w:tmpl w:val="1772C7BE"/>
    <w:lvl w:ilvl="0" w:tplc="60E23114">
      <w:numFmt w:val="bullet"/>
      <w:lvlText w:val="-"/>
      <w:lvlJc w:val="left"/>
      <w:pPr>
        <w:ind w:left="1800" w:hanging="360"/>
      </w:pPr>
      <w:rPr>
        <w:rFonts w:ascii="Calibri" w:eastAsia="DengXian" w:hAnsi="Calibri" w:cs="Calibri" w:hint="default"/>
      </w:rPr>
    </w:lvl>
    <w:lvl w:ilvl="1" w:tplc="18090003">
      <w:start w:val="1"/>
      <w:numFmt w:val="bullet"/>
      <w:lvlText w:val="o"/>
      <w:lvlJc w:val="left"/>
      <w:pPr>
        <w:ind w:left="2520" w:hanging="360"/>
      </w:pPr>
      <w:rPr>
        <w:rFonts w:ascii="Courier New" w:hAnsi="Courier New" w:cs="Courier New" w:hint="default"/>
      </w:rPr>
    </w:lvl>
    <w:lvl w:ilvl="2" w:tplc="18090005">
      <w:start w:val="1"/>
      <w:numFmt w:val="bullet"/>
      <w:lvlText w:val=""/>
      <w:lvlJc w:val="left"/>
      <w:pPr>
        <w:ind w:left="3240" w:hanging="360"/>
      </w:pPr>
      <w:rPr>
        <w:rFonts w:ascii="Wingdings" w:hAnsi="Wingdings" w:hint="default"/>
      </w:rPr>
    </w:lvl>
    <w:lvl w:ilvl="3" w:tplc="18090001">
      <w:start w:val="1"/>
      <w:numFmt w:val="bullet"/>
      <w:lvlText w:val=""/>
      <w:lvlJc w:val="left"/>
      <w:pPr>
        <w:ind w:left="3960" w:hanging="360"/>
      </w:pPr>
      <w:rPr>
        <w:rFonts w:ascii="Symbol" w:hAnsi="Symbol" w:hint="default"/>
      </w:rPr>
    </w:lvl>
    <w:lvl w:ilvl="4" w:tplc="18090003">
      <w:start w:val="1"/>
      <w:numFmt w:val="bullet"/>
      <w:lvlText w:val="o"/>
      <w:lvlJc w:val="left"/>
      <w:pPr>
        <w:ind w:left="4680" w:hanging="360"/>
      </w:pPr>
      <w:rPr>
        <w:rFonts w:ascii="Courier New" w:hAnsi="Courier New" w:cs="Courier New" w:hint="default"/>
      </w:rPr>
    </w:lvl>
    <w:lvl w:ilvl="5" w:tplc="18090005">
      <w:start w:val="1"/>
      <w:numFmt w:val="bullet"/>
      <w:lvlText w:val=""/>
      <w:lvlJc w:val="left"/>
      <w:pPr>
        <w:ind w:left="5400" w:hanging="360"/>
      </w:pPr>
      <w:rPr>
        <w:rFonts w:ascii="Wingdings" w:hAnsi="Wingdings" w:hint="default"/>
      </w:rPr>
    </w:lvl>
    <w:lvl w:ilvl="6" w:tplc="18090001">
      <w:start w:val="1"/>
      <w:numFmt w:val="bullet"/>
      <w:lvlText w:val=""/>
      <w:lvlJc w:val="left"/>
      <w:pPr>
        <w:ind w:left="6120" w:hanging="360"/>
      </w:pPr>
      <w:rPr>
        <w:rFonts w:ascii="Symbol" w:hAnsi="Symbol" w:hint="default"/>
      </w:rPr>
    </w:lvl>
    <w:lvl w:ilvl="7" w:tplc="18090003">
      <w:start w:val="1"/>
      <w:numFmt w:val="bullet"/>
      <w:lvlText w:val="o"/>
      <w:lvlJc w:val="left"/>
      <w:pPr>
        <w:ind w:left="6840" w:hanging="360"/>
      </w:pPr>
      <w:rPr>
        <w:rFonts w:ascii="Courier New" w:hAnsi="Courier New" w:cs="Courier New" w:hint="default"/>
      </w:rPr>
    </w:lvl>
    <w:lvl w:ilvl="8" w:tplc="18090005">
      <w:start w:val="1"/>
      <w:numFmt w:val="bullet"/>
      <w:lvlText w:val=""/>
      <w:lvlJc w:val="left"/>
      <w:pPr>
        <w:ind w:left="7560" w:hanging="360"/>
      </w:pPr>
      <w:rPr>
        <w:rFonts w:ascii="Wingdings" w:hAnsi="Wingdings" w:hint="default"/>
      </w:rPr>
    </w:lvl>
  </w:abstractNum>
  <w:abstractNum w:abstractNumId="5" w15:restartNumberingAfterBreak="0">
    <w:nsid w:val="123D69F6"/>
    <w:multiLevelType w:val="hybridMultilevel"/>
    <w:tmpl w:val="C29C7EA8"/>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40C4078"/>
    <w:multiLevelType w:val="hybridMultilevel"/>
    <w:tmpl w:val="7C02EDD8"/>
    <w:lvl w:ilvl="0" w:tplc="1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4605E04"/>
    <w:multiLevelType w:val="hybridMultilevel"/>
    <w:tmpl w:val="066CC520"/>
    <w:lvl w:ilvl="0" w:tplc="E104F2DA">
      <w:start w:val="1"/>
      <w:numFmt w:val="bullet"/>
      <w:lvlText w:val=""/>
      <w:lvlJc w:val="left"/>
      <w:pPr>
        <w:ind w:left="1440" w:hanging="360"/>
      </w:pPr>
      <w:rPr>
        <w:rFonts w:ascii="Symbol" w:hAnsi="Symbol"/>
      </w:rPr>
    </w:lvl>
    <w:lvl w:ilvl="1" w:tplc="1DF45ECE">
      <w:start w:val="1"/>
      <w:numFmt w:val="bullet"/>
      <w:lvlText w:val=""/>
      <w:lvlJc w:val="left"/>
      <w:pPr>
        <w:ind w:left="1440" w:hanging="360"/>
      </w:pPr>
      <w:rPr>
        <w:rFonts w:ascii="Symbol" w:hAnsi="Symbol"/>
      </w:rPr>
    </w:lvl>
    <w:lvl w:ilvl="2" w:tplc="740088E8">
      <w:start w:val="1"/>
      <w:numFmt w:val="bullet"/>
      <w:lvlText w:val=""/>
      <w:lvlJc w:val="left"/>
      <w:pPr>
        <w:ind w:left="1440" w:hanging="360"/>
      </w:pPr>
      <w:rPr>
        <w:rFonts w:ascii="Symbol" w:hAnsi="Symbol"/>
      </w:rPr>
    </w:lvl>
    <w:lvl w:ilvl="3" w:tplc="D69CB94A">
      <w:start w:val="1"/>
      <w:numFmt w:val="bullet"/>
      <w:lvlText w:val=""/>
      <w:lvlJc w:val="left"/>
      <w:pPr>
        <w:ind w:left="1440" w:hanging="360"/>
      </w:pPr>
      <w:rPr>
        <w:rFonts w:ascii="Symbol" w:hAnsi="Symbol"/>
      </w:rPr>
    </w:lvl>
    <w:lvl w:ilvl="4" w:tplc="D5EEB9EC">
      <w:start w:val="1"/>
      <w:numFmt w:val="bullet"/>
      <w:lvlText w:val=""/>
      <w:lvlJc w:val="left"/>
      <w:pPr>
        <w:ind w:left="1440" w:hanging="360"/>
      </w:pPr>
      <w:rPr>
        <w:rFonts w:ascii="Symbol" w:hAnsi="Symbol"/>
      </w:rPr>
    </w:lvl>
    <w:lvl w:ilvl="5" w:tplc="1C1E1540">
      <w:start w:val="1"/>
      <w:numFmt w:val="bullet"/>
      <w:lvlText w:val=""/>
      <w:lvlJc w:val="left"/>
      <w:pPr>
        <w:ind w:left="1440" w:hanging="360"/>
      </w:pPr>
      <w:rPr>
        <w:rFonts w:ascii="Symbol" w:hAnsi="Symbol"/>
      </w:rPr>
    </w:lvl>
    <w:lvl w:ilvl="6" w:tplc="ADD2C8DA">
      <w:start w:val="1"/>
      <w:numFmt w:val="bullet"/>
      <w:lvlText w:val=""/>
      <w:lvlJc w:val="left"/>
      <w:pPr>
        <w:ind w:left="1440" w:hanging="360"/>
      </w:pPr>
      <w:rPr>
        <w:rFonts w:ascii="Symbol" w:hAnsi="Symbol"/>
      </w:rPr>
    </w:lvl>
    <w:lvl w:ilvl="7" w:tplc="F5046622">
      <w:start w:val="1"/>
      <w:numFmt w:val="bullet"/>
      <w:lvlText w:val=""/>
      <w:lvlJc w:val="left"/>
      <w:pPr>
        <w:ind w:left="1440" w:hanging="360"/>
      </w:pPr>
      <w:rPr>
        <w:rFonts w:ascii="Symbol" w:hAnsi="Symbol"/>
      </w:rPr>
    </w:lvl>
    <w:lvl w:ilvl="8" w:tplc="BA6421F0">
      <w:start w:val="1"/>
      <w:numFmt w:val="bullet"/>
      <w:lvlText w:val=""/>
      <w:lvlJc w:val="left"/>
      <w:pPr>
        <w:ind w:left="1440" w:hanging="360"/>
      </w:pPr>
      <w:rPr>
        <w:rFonts w:ascii="Symbol" w:hAnsi="Symbol"/>
      </w:rPr>
    </w:lvl>
  </w:abstractNum>
  <w:abstractNum w:abstractNumId="8" w15:restartNumberingAfterBreak="0">
    <w:nsid w:val="149D00C3"/>
    <w:multiLevelType w:val="hybridMultilevel"/>
    <w:tmpl w:val="C644B32A"/>
    <w:lvl w:ilvl="0" w:tplc="CDE4451A">
      <w:start w:val="1"/>
      <w:numFmt w:val="lowerLetter"/>
      <w:lvlText w:val="%1)"/>
      <w:lvlJc w:val="left"/>
      <w:pPr>
        <w:ind w:left="1020" w:hanging="360"/>
      </w:pPr>
    </w:lvl>
    <w:lvl w:ilvl="1" w:tplc="63AC4D44">
      <w:start w:val="1"/>
      <w:numFmt w:val="lowerLetter"/>
      <w:lvlText w:val="%2)"/>
      <w:lvlJc w:val="left"/>
      <w:pPr>
        <w:ind w:left="1020" w:hanging="360"/>
      </w:pPr>
    </w:lvl>
    <w:lvl w:ilvl="2" w:tplc="8DA43320">
      <w:start w:val="1"/>
      <w:numFmt w:val="lowerLetter"/>
      <w:lvlText w:val="%3)"/>
      <w:lvlJc w:val="left"/>
      <w:pPr>
        <w:ind w:left="1020" w:hanging="360"/>
      </w:pPr>
    </w:lvl>
    <w:lvl w:ilvl="3" w:tplc="ADD0A4A6">
      <w:start w:val="1"/>
      <w:numFmt w:val="lowerLetter"/>
      <w:lvlText w:val="%4)"/>
      <w:lvlJc w:val="left"/>
      <w:pPr>
        <w:ind w:left="1020" w:hanging="360"/>
      </w:pPr>
    </w:lvl>
    <w:lvl w:ilvl="4" w:tplc="FB4057C6">
      <w:start w:val="1"/>
      <w:numFmt w:val="lowerLetter"/>
      <w:lvlText w:val="%5)"/>
      <w:lvlJc w:val="left"/>
      <w:pPr>
        <w:ind w:left="1020" w:hanging="360"/>
      </w:pPr>
    </w:lvl>
    <w:lvl w:ilvl="5" w:tplc="BCD4C062">
      <w:start w:val="1"/>
      <w:numFmt w:val="lowerLetter"/>
      <w:lvlText w:val="%6)"/>
      <w:lvlJc w:val="left"/>
      <w:pPr>
        <w:ind w:left="1020" w:hanging="360"/>
      </w:pPr>
    </w:lvl>
    <w:lvl w:ilvl="6" w:tplc="EB4A0DA8">
      <w:start w:val="1"/>
      <w:numFmt w:val="lowerLetter"/>
      <w:lvlText w:val="%7)"/>
      <w:lvlJc w:val="left"/>
      <w:pPr>
        <w:ind w:left="1020" w:hanging="360"/>
      </w:pPr>
    </w:lvl>
    <w:lvl w:ilvl="7" w:tplc="2D6CF472">
      <w:start w:val="1"/>
      <w:numFmt w:val="lowerLetter"/>
      <w:lvlText w:val="%8)"/>
      <w:lvlJc w:val="left"/>
      <w:pPr>
        <w:ind w:left="1020" w:hanging="360"/>
      </w:pPr>
    </w:lvl>
    <w:lvl w:ilvl="8" w:tplc="77241E8C">
      <w:start w:val="1"/>
      <w:numFmt w:val="lowerLetter"/>
      <w:lvlText w:val="%9)"/>
      <w:lvlJc w:val="left"/>
      <w:pPr>
        <w:ind w:left="1020" w:hanging="360"/>
      </w:pPr>
    </w:lvl>
  </w:abstractNum>
  <w:abstractNum w:abstractNumId="9" w15:restartNumberingAfterBreak="0">
    <w:nsid w:val="17344998"/>
    <w:multiLevelType w:val="hybridMultilevel"/>
    <w:tmpl w:val="C938E8C4"/>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7E71C6B"/>
    <w:multiLevelType w:val="hybridMultilevel"/>
    <w:tmpl w:val="FA7889A8"/>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9532C3F"/>
    <w:multiLevelType w:val="hybridMultilevel"/>
    <w:tmpl w:val="4FFAA8E2"/>
    <w:lvl w:ilvl="0" w:tplc="18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1A5733BD"/>
    <w:multiLevelType w:val="hybridMultilevel"/>
    <w:tmpl w:val="2D4AEF04"/>
    <w:lvl w:ilvl="0" w:tplc="1809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3" w15:restartNumberingAfterBreak="0">
    <w:nsid w:val="1A84720E"/>
    <w:multiLevelType w:val="hybridMultilevel"/>
    <w:tmpl w:val="9E6890D8"/>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1D255CAD"/>
    <w:multiLevelType w:val="hybridMultilevel"/>
    <w:tmpl w:val="28129DC2"/>
    <w:lvl w:ilvl="0" w:tplc="FFFFFFFF">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1AB57CA"/>
    <w:multiLevelType w:val="hybridMultilevel"/>
    <w:tmpl w:val="BE20878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1F72C23"/>
    <w:multiLevelType w:val="hybridMultilevel"/>
    <w:tmpl w:val="F5C8C55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23617EDC"/>
    <w:multiLevelType w:val="hybridMultilevel"/>
    <w:tmpl w:val="D8CEECBA"/>
    <w:lvl w:ilvl="0" w:tplc="B156B470">
      <w:start w:val="2"/>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237B5FCF"/>
    <w:multiLevelType w:val="hybridMultilevel"/>
    <w:tmpl w:val="EC1C8118"/>
    <w:lvl w:ilvl="0" w:tplc="AAACF5D0">
      <w:start w:val="2"/>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258A4800"/>
    <w:multiLevelType w:val="hybridMultilevel"/>
    <w:tmpl w:val="5B80B9DC"/>
    <w:lvl w:ilvl="0" w:tplc="C29C55DC">
      <w:start w:val="2"/>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27227EC0"/>
    <w:multiLevelType w:val="hybridMultilevel"/>
    <w:tmpl w:val="DDF827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28FB5891"/>
    <w:multiLevelType w:val="hybridMultilevel"/>
    <w:tmpl w:val="8D4AEBD2"/>
    <w:lvl w:ilvl="0" w:tplc="1809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2" w15:restartNumberingAfterBreak="0">
    <w:nsid w:val="294625CE"/>
    <w:multiLevelType w:val="hybridMultilevel"/>
    <w:tmpl w:val="23D627AA"/>
    <w:lvl w:ilvl="0" w:tplc="182E0EDE">
      <w:start w:val="1"/>
      <w:numFmt w:val="decimal"/>
      <w:lvlText w:val="%1."/>
      <w:lvlJc w:val="left"/>
      <w:pPr>
        <w:ind w:left="1020" w:hanging="360"/>
      </w:pPr>
    </w:lvl>
    <w:lvl w:ilvl="1" w:tplc="D7AEAA98">
      <w:start w:val="1"/>
      <w:numFmt w:val="decimal"/>
      <w:lvlText w:val="%2."/>
      <w:lvlJc w:val="left"/>
      <w:pPr>
        <w:ind w:left="1020" w:hanging="360"/>
      </w:pPr>
    </w:lvl>
    <w:lvl w:ilvl="2" w:tplc="301E436C">
      <w:start w:val="1"/>
      <w:numFmt w:val="decimal"/>
      <w:lvlText w:val="%3."/>
      <w:lvlJc w:val="left"/>
      <w:pPr>
        <w:ind w:left="1020" w:hanging="360"/>
      </w:pPr>
    </w:lvl>
    <w:lvl w:ilvl="3" w:tplc="E34EEA3C">
      <w:start w:val="1"/>
      <w:numFmt w:val="decimal"/>
      <w:lvlText w:val="%4."/>
      <w:lvlJc w:val="left"/>
      <w:pPr>
        <w:ind w:left="1020" w:hanging="360"/>
      </w:pPr>
    </w:lvl>
    <w:lvl w:ilvl="4" w:tplc="A3AA3DA0">
      <w:start w:val="1"/>
      <w:numFmt w:val="decimal"/>
      <w:lvlText w:val="%5."/>
      <w:lvlJc w:val="left"/>
      <w:pPr>
        <w:ind w:left="1020" w:hanging="360"/>
      </w:pPr>
    </w:lvl>
    <w:lvl w:ilvl="5" w:tplc="79FC5F90">
      <w:start w:val="1"/>
      <w:numFmt w:val="decimal"/>
      <w:lvlText w:val="%6."/>
      <w:lvlJc w:val="left"/>
      <w:pPr>
        <w:ind w:left="1020" w:hanging="360"/>
      </w:pPr>
    </w:lvl>
    <w:lvl w:ilvl="6" w:tplc="A1C0D17A">
      <w:start w:val="1"/>
      <w:numFmt w:val="decimal"/>
      <w:lvlText w:val="%7."/>
      <w:lvlJc w:val="left"/>
      <w:pPr>
        <w:ind w:left="1020" w:hanging="360"/>
      </w:pPr>
    </w:lvl>
    <w:lvl w:ilvl="7" w:tplc="D4E0425C">
      <w:start w:val="1"/>
      <w:numFmt w:val="decimal"/>
      <w:lvlText w:val="%8."/>
      <w:lvlJc w:val="left"/>
      <w:pPr>
        <w:ind w:left="1020" w:hanging="360"/>
      </w:pPr>
    </w:lvl>
    <w:lvl w:ilvl="8" w:tplc="4C469E96">
      <w:start w:val="1"/>
      <w:numFmt w:val="decimal"/>
      <w:lvlText w:val="%9."/>
      <w:lvlJc w:val="left"/>
      <w:pPr>
        <w:ind w:left="1020" w:hanging="360"/>
      </w:pPr>
    </w:lvl>
  </w:abstractNum>
  <w:abstractNum w:abstractNumId="23" w15:restartNumberingAfterBreak="0">
    <w:nsid w:val="2ADB3E24"/>
    <w:multiLevelType w:val="hybridMultilevel"/>
    <w:tmpl w:val="3E325E1C"/>
    <w:lvl w:ilvl="0" w:tplc="18090005">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785"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2F9936FA"/>
    <w:multiLevelType w:val="hybridMultilevel"/>
    <w:tmpl w:val="F5242D7A"/>
    <w:lvl w:ilvl="0" w:tplc="FFFFFFFF">
      <w:start w:val="1"/>
      <w:numFmt w:val="bullet"/>
      <w:lvlText w:val=""/>
      <w:lvlJc w:val="left"/>
      <w:pPr>
        <w:ind w:left="720" w:hanging="360"/>
      </w:pPr>
      <w:rPr>
        <w:rFonts w:ascii="Wingdings" w:hAnsi="Wingdings" w:hint="default"/>
        <w:color w:val="auto"/>
      </w:rPr>
    </w:lvl>
    <w:lvl w:ilvl="1" w:tplc="1809000B">
      <w:start w:val="1"/>
      <w:numFmt w:val="bullet"/>
      <w:lvlText w:val=""/>
      <w:lvlJc w:val="left"/>
      <w:pPr>
        <w:ind w:left="785"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3178013F"/>
    <w:multiLevelType w:val="hybridMultilevel"/>
    <w:tmpl w:val="634A6B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33A328FD"/>
    <w:multiLevelType w:val="hybridMultilevel"/>
    <w:tmpl w:val="38AEF3BC"/>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372C4E92"/>
    <w:multiLevelType w:val="multilevel"/>
    <w:tmpl w:val="9A48439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3A812EB8"/>
    <w:multiLevelType w:val="hybridMultilevel"/>
    <w:tmpl w:val="3454C620"/>
    <w:lvl w:ilvl="0" w:tplc="1809000F">
      <w:start w:val="1"/>
      <w:numFmt w:val="decimal"/>
      <w:lvlText w:val="%1."/>
      <w:lvlJc w:val="left"/>
      <w:pPr>
        <w:ind w:left="720" w:hanging="360"/>
      </w:pPr>
      <w:rPr>
        <w:rFonts w:hint="default"/>
      </w:rPr>
    </w:lvl>
    <w:lvl w:ilvl="1" w:tplc="18090001">
      <w:start w:val="1"/>
      <w:numFmt w:val="bullet"/>
      <w:lvlText w:val=""/>
      <w:lvlJc w:val="left"/>
      <w:pPr>
        <w:ind w:left="1440" w:hanging="360"/>
      </w:pPr>
      <w:rPr>
        <w:rFonts w:ascii="Symbol" w:hAnsi="Symbol"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3AB56E1E"/>
    <w:multiLevelType w:val="hybridMultilevel"/>
    <w:tmpl w:val="87D09A9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3C026242"/>
    <w:multiLevelType w:val="hybridMultilevel"/>
    <w:tmpl w:val="B9D21B62"/>
    <w:lvl w:ilvl="0" w:tplc="18090005">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785"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3DEB1841"/>
    <w:multiLevelType w:val="hybridMultilevel"/>
    <w:tmpl w:val="E8220FDC"/>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432638D8"/>
    <w:multiLevelType w:val="hybridMultilevel"/>
    <w:tmpl w:val="C5EA16EC"/>
    <w:lvl w:ilvl="0" w:tplc="1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3" w15:restartNumberingAfterBreak="0">
    <w:nsid w:val="43333BAB"/>
    <w:multiLevelType w:val="hybridMultilevel"/>
    <w:tmpl w:val="74403424"/>
    <w:lvl w:ilvl="0" w:tplc="18090005">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785"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459C3853"/>
    <w:multiLevelType w:val="hybridMultilevel"/>
    <w:tmpl w:val="0D0AB8B2"/>
    <w:lvl w:ilvl="0" w:tplc="1809000B">
      <w:start w:val="1"/>
      <w:numFmt w:val="bullet"/>
      <w:lvlText w:val=""/>
      <w:lvlJc w:val="left"/>
      <w:pPr>
        <w:ind w:left="1440" w:hanging="360"/>
      </w:pPr>
      <w:rPr>
        <w:rFonts w:ascii="Wingdings" w:hAnsi="Wingdings"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5" w15:restartNumberingAfterBreak="0">
    <w:nsid w:val="474F6D29"/>
    <w:multiLevelType w:val="hybridMultilevel"/>
    <w:tmpl w:val="157E049E"/>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47A54B05"/>
    <w:multiLevelType w:val="hybridMultilevel"/>
    <w:tmpl w:val="978C3E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47F13808"/>
    <w:multiLevelType w:val="hybridMultilevel"/>
    <w:tmpl w:val="AD7AAC7E"/>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4A9D35CE"/>
    <w:multiLevelType w:val="multilevel"/>
    <w:tmpl w:val="58FC46D0"/>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4BB656E6"/>
    <w:multiLevelType w:val="hybridMultilevel"/>
    <w:tmpl w:val="4BC4FAB4"/>
    <w:lvl w:ilvl="0" w:tplc="18090005">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785"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4DBA257A"/>
    <w:multiLevelType w:val="hybridMultilevel"/>
    <w:tmpl w:val="01E655C2"/>
    <w:lvl w:ilvl="0" w:tplc="6254CDA8">
      <w:start w:val="1"/>
      <w:numFmt w:val="bullet"/>
      <w:lvlText w:val=""/>
      <w:lvlJc w:val="left"/>
      <w:pPr>
        <w:ind w:left="720" w:hanging="360"/>
      </w:pPr>
      <w:rPr>
        <w:rFonts w:ascii="Symbol" w:hAnsi="Symbol"/>
      </w:rPr>
    </w:lvl>
    <w:lvl w:ilvl="1" w:tplc="4288EF10">
      <w:start w:val="1"/>
      <w:numFmt w:val="bullet"/>
      <w:lvlText w:val=""/>
      <w:lvlJc w:val="left"/>
      <w:pPr>
        <w:ind w:left="720" w:hanging="360"/>
      </w:pPr>
      <w:rPr>
        <w:rFonts w:ascii="Symbol" w:hAnsi="Symbol"/>
      </w:rPr>
    </w:lvl>
    <w:lvl w:ilvl="2" w:tplc="D48EEDA8">
      <w:start w:val="1"/>
      <w:numFmt w:val="bullet"/>
      <w:lvlText w:val=""/>
      <w:lvlJc w:val="left"/>
      <w:pPr>
        <w:ind w:left="720" w:hanging="360"/>
      </w:pPr>
      <w:rPr>
        <w:rFonts w:ascii="Symbol" w:hAnsi="Symbol"/>
      </w:rPr>
    </w:lvl>
    <w:lvl w:ilvl="3" w:tplc="C7B62002">
      <w:start w:val="1"/>
      <w:numFmt w:val="bullet"/>
      <w:lvlText w:val=""/>
      <w:lvlJc w:val="left"/>
      <w:pPr>
        <w:ind w:left="720" w:hanging="360"/>
      </w:pPr>
      <w:rPr>
        <w:rFonts w:ascii="Symbol" w:hAnsi="Symbol"/>
      </w:rPr>
    </w:lvl>
    <w:lvl w:ilvl="4" w:tplc="464C4B14">
      <w:start w:val="1"/>
      <w:numFmt w:val="bullet"/>
      <w:lvlText w:val=""/>
      <w:lvlJc w:val="left"/>
      <w:pPr>
        <w:ind w:left="720" w:hanging="360"/>
      </w:pPr>
      <w:rPr>
        <w:rFonts w:ascii="Symbol" w:hAnsi="Symbol"/>
      </w:rPr>
    </w:lvl>
    <w:lvl w:ilvl="5" w:tplc="AA586C6C">
      <w:start w:val="1"/>
      <w:numFmt w:val="bullet"/>
      <w:lvlText w:val=""/>
      <w:lvlJc w:val="left"/>
      <w:pPr>
        <w:ind w:left="720" w:hanging="360"/>
      </w:pPr>
      <w:rPr>
        <w:rFonts w:ascii="Symbol" w:hAnsi="Symbol"/>
      </w:rPr>
    </w:lvl>
    <w:lvl w:ilvl="6" w:tplc="CB6A458E">
      <w:start w:val="1"/>
      <w:numFmt w:val="bullet"/>
      <w:lvlText w:val=""/>
      <w:lvlJc w:val="left"/>
      <w:pPr>
        <w:ind w:left="720" w:hanging="360"/>
      </w:pPr>
      <w:rPr>
        <w:rFonts w:ascii="Symbol" w:hAnsi="Symbol"/>
      </w:rPr>
    </w:lvl>
    <w:lvl w:ilvl="7" w:tplc="DF86A31C">
      <w:start w:val="1"/>
      <w:numFmt w:val="bullet"/>
      <w:lvlText w:val=""/>
      <w:lvlJc w:val="left"/>
      <w:pPr>
        <w:ind w:left="720" w:hanging="360"/>
      </w:pPr>
      <w:rPr>
        <w:rFonts w:ascii="Symbol" w:hAnsi="Symbol"/>
      </w:rPr>
    </w:lvl>
    <w:lvl w:ilvl="8" w:tplc="D4926F04">
      <w:start w:val="1"/>
      <w:numFmt w:val="bullet"/>
      <w:lvlText w:val=""/>
      <w:lvlJc w:val="left"/>
      <w:pPr>
        <w:ind w:left="720" w:hanging="360"/>
      </w:pPr>
      <w:rPr>
        <w:rFonts w:ascii="Symbol" w:hAnsi="Symbol"/>
      </w:rPr>
    </w:lvl>
  </w:abstractNum>
  <w:abstractNum w:abstractNumId="41" w15:restartNumberingAfterBreak="0">
    <w:nsid w:val="4F203557"/>
    <w:multiLevelType w:val="hybridMultilevel"/>
    <w:tmpl w:val="EF0E8974"/>
    <w:lvl w:ilvl="0" w:tplc="18090005">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785"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503C5B87"/>
    <w:multiLevelType w:val="hybridMultilevel"/>
    <w:tmpl w:val="DAA44332"/>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506E53DE"/>
    <w:multiLevelType w:val="hybridMultilevel"/>
    <w:tmpl w:val="26D89E7C"/>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52B65405"/>
    <w:multiLevelType w:val="hybridMultilevel"/>
    <w:tmpl w:val="14F089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5" w15:restartNumberingAfterBreak="0">
    <w:nsid w:val="592F26FE"/>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5A117DB9"/>
    <w:multiLevelType w:val="hybridMultilevel"/>
    <w:tmpl w:val="C65C350E"/>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5C737CA9"/>
    <w:multiLevelType w:val="hybridMultilevel"/>
    <w:tmpl w:val="92403584"/>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5D7342DB"/>
    <w:multiLevelType w:val="multilevel"/>
    <w:tmpl w:val="223E19E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9" w15:restartNumberingAfterBreak="0">
    <w:nsid w:val="5E6D48D1"/>
    <w:multiLevelType w:val="hybridMultilevel"/>
    <w:tmpl w:val="6846C2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0" w15:restartNumberingAfterBreak="0">
    <w:nsid w:val="5F9D59E2"/>
    <w:multiLevelType w:val="hybridMultilevel"/>
    <w:tmpl w:val="FB84C036"/>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60FC69BF"/>
    <w:multiLevelType w:val="hybridMultilevel"/>
    <w:tmpl w:val="F0BE4F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2" w15:restartNumberingAfterBreak="0">
    <w:nsid w:val="654C6539"/>
    <w:multiLevelType w:val="multilevel"/>
    <w:tmpl w:val="0A7A4A8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3" w15:restartNumberingAfterBreak="0">
    <w:nsid w:val="675148C9"/>
    <w:multiLevelType w:val="hybridMultilevel"/>
    <w:tmpl w:val="3180523A"/>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4" w15:restartNumberingAfterBreak="0">
    <w:nsid w:val="68265799"/>
    <w:multiLevelType w:val="hybridMultilevel"/>
    <w:tmpl w:val="3A9CCDA4"/>
    <w:lvl w:ilvl="0" w:tplc="18090005">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785"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5" w15:restartNumberingAfterBreak="0">
    <w:nsid w:val="6B6841AB"/>
    <w:multiLevelType w:val="hybridMultilevel"/>
    <w:tmpl w:val="FC747A32"/>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6" w15:restartNumberingAfterBreak="0">
    <w:nsid w:val="6DC609C1"/>
    <w:multiLevelType w:val="hybridMultilevel"/>
    <w:tmpl w:val="FFFFFFFF"/>
    <w:lvl w:ilvl="0" w:tplc="8DF09650">
      <w:start w:val="1"/>
      <w:numFmt w:val="bullet"/>
      <w:lvlText w:val="-"/>
      <w:lvlJc w:val="left"/>
      <w:pPr>
        <w:ind w:left="720" w:hanging="360"/>
      </w:pPr>
      <w:rPr>
        <w:rFonts w:ascii="Aptos" w:hAnsi="Aptos" w:hint="default"/>
      </w:rPr>
    </w:lvl>
    <w:lvl w:ilvl="1" w:tplc="144AD912">
      <w:start w:val="1"/>
      <w:numFmt w:val="bullet"/>
      <w:lvlText w:val="o"/>
      <w:lvlJc w:val="left"/>
      <w:pPr>
        <w:ind w:left="1440" w:hanging="360"/>
      </w:pPr>
      <w:rPr>
        <w:rFonts w:ascii="Courier New" w:hAnsi="Courier New" w:hint="default"/>
      </w:rPr>
    </w:lvl>
    <w:lvl w:ilvl="2" w:tplc="2BEE9C2E">
      <w:start w:val="1"/>
      <w:numFmt w:val="bullet"/>
      <w:lvlText w:val=""/>
      <w:lvlJc w:val="left"/>
      <w:pPr>
        <w:ind w:left="2160" w:hanging="360"/>
      </w:pPr>
      <w:rPr>
        <w:rFonts w:ascii="Wingdings" w:hAnsi="Wingdings" w:hint="default"/>
      </w:rPr>
    </w:lvl>
    <w:lvl w:ilvl="3" w:tplc="FDF2DA0C">
      <w:start w:val="1"/>
      <w:numFmt w:val="bullet"/>
      <w:lvlText w:val=""/>
      <w:lvlJc w:val="left"/>
      <w:pPr>
        <w:ind w:left="2880" w:hanging="360"/>
      </w:pPr>
      <w:rPr>
        <w:rFonts w:ascii="Symbol" w:hAnsi="Symbol" w:hint="default"/>
      </w:rPr>
    </w:lvl>
    <w:lvl w:ilvl="4" w:tplc="B7BA0EEA">
      <w:start w:val="1"/>
      <w:numFmt w:val="bullet"/>
      <w:lvlText w:val="o"/>
      <w:lvlJc w:val="left"/>
      <w:pPr>
        <w:ind w:left="3600" w:hanging="360"/>
      </w:pPr>
      <w:rPr>
        <w:rFonts w:ascii="Courier New" w:hAnsi="Courier New" w:hint="default"/>
      </w:rPr>
    </w:lvl>
    <w:lvl w:ilvl="5" w:tplc="77F446D6">
      <w:start w:val="1"/>
      <w:numFmt w:val="bullet"/>
      <w:lvlText w:val=""/>
      <w:lvlJc w:val="left"/>
      <w:pPr>
        <w:ind w:left="4320" w:hanging="360"/>
      </w:pPr>
      <w:rPr>
        <w:rFonts w:ascii="Wingdings" w:hAnsi="Wingdings" w:hint="default"/>
      </w:rPr>
    </w:lvl>
    <w:lvl w:ilvl="6" w:tplc="D592D3EE">
      <w:start w:val="1"/>
      <w:numFmt w:val="bullet"/>
      <w:lvlText w:val=""/>
      <w:lvlJc w:val="left"/>
      <w:pPr>
        <w:ind w:left="5040" w:hanging="360"/>
      </w:pPr>
      <w:rPr>
        <w:rFonts w:ascii="Symbol" w:hAnsi="Symbol" w:hint="default"/>
      </w:rPr>
    </w:lvl>
    <w:lvl w:ilvl="7" w:tplc="CD1067D2">
      <w:start w:val="1"/>
      <w:numFmt w:val="bullet"/>
      <w:lvlText w:val="o"/>
      <w:lvlJc w:val="left"/>
      <w:pPr>
        <w:ind w:left="5760" w:hanging="360"/>
      </w:pPr>
      <w:rPr>
        <w:rFonts w:ascii="Courier New" w:hAnsi="Courier New" w:hint="default"/>
      </w:rPr>
    </w:lvl>
    <w:lvl w:ilvl="8" w:tplc="4316EF26">
      <w:start w:val="1"/>
      <w:numFmt w:val="bullet"/>
      <w:lvlText w:val=""/>
      <w:lvlJc w:val="left"/>
      <w:pPr>
        <w:ind w:left="6480" w:hanging="360"/>
      </w:pPr>
      <w:rPr>
        <w:rFonts w:ascii="Wingdings" w:hAnsi="Wingdings" w:hint="default"/>
      </w:rPr>
    </w:lvl>
  </w:abstractNum>
  <w:abstractNum w:abstractNumId="57" w15:restartNumberingAfterBreak="0">
    <w:nsid w:val="6FED36A0"/>
    <w:multiLevelType w:val="hybridMultilevel"/>
    <w:tmpl w:val="E05CB9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8" w15:restartNumberingAfterBreak="0">
    <w:nsid w:val="700F3EF9"/>
    <w:multiLevelType w:val="hybridMultilevel"/>
    <w:tmpl w:val="4FB438A6"/>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9" w15:restartNumberingAfterBreak="0">
    <w:nsid w:val="73207014"/>
    <w:multiLevelType w:val="hybridMultilevel"/>
    <w:tmpl w:val="243A26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0" w15:restartNumberingAfterBreak="0">
    <w:nsid w:val="739E39C9"/>
    <w:multiLevelType w:val="hybridMultilevel"/>
    <w:tmpl w:val="29C6F318"/>
    <w:lvl w:ilvl="0" w:tplc="18090001">
      <w:start w:val="1"/>
      <w:numFmt w:val="bullet"/>
      <w:lvlText w:val=""/>
      <w:lvlJc w:val="left"/>
      <w:pPr>
        <w:ind w:left="1636" w:hanging="360"/>
      </w:pPr>
      <w:rPr>
        <w:rFonts w:ascii="Symbol" w:hAnsi="Symbol" w:hint="default"/>
      </w:rPr>
    </w:lvl>
    <w:lvl w:ilvl="1" w:tplc="18090003">
      <w:start w:val="1"/>
      <w:numFmt w:val="bullet"/>
      <w:lvlText w:val="o"/>
      <w:lvlJc w:val="left"/>
      <w:pPr>
        <w:ind w:left="2356" w:hanging="360"/>
      </w:pPr>
      <w:rPr>
        <w:rFonts w:ascii="Courier New" w:hAnsi="Courier New" w:cs="Courier New" w:hint="default"/>
      </w:rPr>
    </w:lvl>
    <w:lvl w:ilvl="2" w:tplc="18090005" w:tentative="1">
      <w:start w:val="1"/>
      <w:numFmt w:val="bullet"/>
      <w:lvlText w:val=""/>
      <w:lvlJc w:val="left"/>
      <w:pPr>
        <w:ind w:left="3076" w:hanging="360"/>
      </w:pPr>
      <w:rPr>
        <w:rFonts w:ascii="Wingdings" w:hAnsi="Wingdings" w:hint="default"/>
      </w:rPr>
    </w:lvl>
    <w:lvl w:ilvl="3" w:tplc="18090001" w:tentative="1">
      <w:start w:val="1"/>
      <w:numFmt w:val="bullet"/>
      <w:lvlText w:val=""/>
      <w:lvlJc w:val="left"/>
      <w:pPr>
        <w:ind w:left="3796" w:hanging="360"/>
      </w:pPr>
      <w:rPr>
        <w:rFonts w:ascii="Symbol" w:hAnsi="Symbol" w:hint="default"/>
      </w:rPr>
    </w:lvl>
    <w:lvl w:ilvl="4" w:tplc="18090003" w:tentative="1">
      <w:start w:val="1"/>
      <w:numFmt w:val="bullet"/>
      <w:lvlText w:val="o"/>
      <w:lvlJc w:val="left"/>
      <w:pPr>
        <w:ind w:left="4516" w:hanging="360"/>
      </w:pPr>
      <w:rPr>
        <w:rFonts w:ascii="Courier New" w:hAnsi="Courier New" w:cs="Courier New" w:hint="default"/>
      </w:rPr>
    </w:lvl>
    <w:lvl w:ilvl="5" w:tplc="18090005" w:tentative="1">
      <w:start w:val="1"/>
      <w:numFmt w:val="bullet"/>
      <w:lvlText w:val=""/>
      <w:lvlJc w:val="left"/>
      <w:pPr>
        <w:ind w:left="5236" w:hanging="360"/>
      </w:pPr>
      <w:rPr>
        <w:rFonts w:ascii="Wingdings" w:hAnsi="Wingdings" w:hint="default"/>
      </w:rPr>
    </w:lvl>
    <w:lvl w:ilvl="6" w:tplc="18090001" w:tentative="1">
      <w:start w:val="1"/>
      <w:numFmt w:val="bullet"/>
      <w:lvlText w:val=""/>
      <w:lvlJc w:val="left"/>
      <w:pPr>
        <w:ind w:left="5956" w:hanging="360"/>
      </w:pPr>
      <w:rPr>
        <w:rFonts w:ascii="Symbol" w:hAnsi="Symbol" w:hint="default"/>
      </w:rPr>
    </w:lvl>
    <w:lvl w:ilvl="7" w:tplc="18090003" w:tentative="1">
      <w:start w:val="1"/>
      <w:numFmt w:val="bullet"/>
      <w:lvlText w:val="o"/>
      <w:lvlJc w:val="left"/>
      <w:pPr>
        <w:ind w:left="6676" w:hanging="360"/>
      </w:pPr>
      <w:rPr>
        <w:rFonts w:ascii="Courier New" w:hAnsi="Courier New" w:cs="Courier New" w:hint="default"/>
      </w:rPr>
    </w:lvl>
    <w:lvl w:ilvl="8" w:tplc="18090005" w:tentative="1">
      <w:start w:val="1"/>
      <w:numFmt w:val="bullet"/>
      <w:lvlText w:val=""/>
      <w:lvlJc w:val="left"/>
      <w:pPr>
        <w:ind w:left="7396" w:hanging="360"/>
      </w:pPr>
      <w:rPr>
        <w:rFonts w:ascii="Wingdings" w:hAnsi="Wingdings" w:hint="default"/>
      </w:rPr>
    </w:lvl>
  </w:abstractNum>
  <w:abstractNum w:abstractNumId="61" w15:restartNumberingAfterBreak="0">
    <w:nsid w:val="73B367EA"/>
    <w:multiLevelType w:val="hybridMultilevel"/>
    <w:tmpl w:val="368C116C"/>
    <w:lvl w:ilvl="0" w:tplc="1809000B">
      <w:start w:val="1"/>
      <w:numFmt w:val="bullet"/>
      <w:lvlText w:val=""/>
      <w:lvlJc w:val="left"/>
      <w:pPr>
        <w:ind w:left="720" w:hanging="360"/>
      </w:pPr>
      <w:rPr>
        <w:rFonts w:ascii="Wingdings" w:hAnsi="Wingdings"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2" w15:restartNumberingAfterBreak="0">
    <w:nsid w:val="77833423"/>
    <w:multiLevelType w:val="hybridMultilevel"/>
    <w:tmpl w:val="334EBDB6"/>
    <w:lvl w:ilvl="0" w:tplc="18090005">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785"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3" w15:restartNumberingAfterBreak="0">
    <w:nsid w:val="783C676F"/>
    <w:multiLevelType w:val="hybridMultilevel"/>
    <w:tmpl w:val="D01A19FE"/>
    <w:lvl w:ilvl="0" w:tplc="A29CE30A">
      <w:start w:val="1"/>
      <w:numFmt w:val="decimal"/>
      <w:lvlText w:val="%1."/>
      <w:lvlJc w:val="left"/>
      <w:pPr>
        <w:ind w:left="1020" w:hanging="360"/>
      </w:pPr>
    </w:lvl>
    <w:lvl w:ilvl="1" w:tplc="9970FE08">
      <w:start w:val="1"/>
      <w:numFmt w:val="decimal"/>
      <w:lvlText w:val="%2."/>
      <w:lvlJc w:val="left"/>
      <w:pPr>
        <w:ind w:left="1020" w:hanging="360"/>
      </w:pPr>
    </w:lvl>
    <w:lvl w:ilvl="2" w:tplc="201C2F44">
      <w:start w:val="1"/>
      <w:numFmt w:val="decimal"/>
      <w:lvlText w:val="%3."/>
      <w:lvlJc w:val="left"/>
      <w:pPr>
        <w:ind w:left="1020" w:hanging="360"/>
      </w:pPr>
    </w:lvl>
    <w:lvl w:ilvl="3" w:tplc="96AE3BF8">
      <w:start w:val="1"/>
      <w:numFmt w:val="decimal"/>
      <w:lvlText w:val="%4."/>
      <w:lvlJc w:val="left"/>
      <w:pPr>
        <w:ind w:left="1020" w:hanging="360"/>
      </w:pPr>
    </w:lvl>
    <w:lvl w:ilvl="4" w:tplc="E8E2BA04">
      <w:start w:val="1"/>
      <w:numFmt w:val="decimal"/>
      <w:lvlText w:val="%5."/>
      <w:lvlJc w:val="left"/>
      <w:pPr>
        <w:ind w:left="1020" w:hanging="360"/>
      </w:pPr>
    </w:lvl>
    <w:lvl w:ilvl="5" w:tplc="9F4CA74E">
      <w:start w:val="1"/>
      <w:numFmt w:val="decimal"/>
      <w:lvlText w:val="%6."/>
      <w:lvlJc w:val="left"/>
      <w:pPr>
        <w:ind w:left="1020" w:hanging="360"/>
      </w:pPr>
    </w:lvl>
    <w:lvl w:ilvl="6" w:tplc="FC5CDA7A">
      <w:start w:val="1"/>
      <w:numFmt w:val="decimal"/>
      <w:lvlText w:val="%7."/>
      <w:lvlJc w:val="left"/>
      <w:pPr>
        <w:ind w:left="1020" w:hanging="360"/>
      </w:pPr>
    </w:lvl>
    <w:lvl w:ilvl="7" w:tplc="2C4EF8DC">
      <w:start w:val="1"/>
      <w:numFmt w:val="decimal"/>
      <w:lvlText w:val="%8."/>
      <w:lvlJc w:val="left"/>
      <w:pPr>
        <w:ind w:left="1020" w:hanging="360"/>
      </w:pPr>
    </w:lvl>
    <w:lvl w:ilvl="8" w:tplc="B92A22FE">
      <w:start w:val="1"/>
      <w:numFmt w:val="decimal"/>
      <w:lvlText w:val="%9."/>
      <w:lvlJc w:val="left"/>
      <w:pPr>
        <w:ind w:left="1020" w:hanging="360"/>
      </w:pPr>
    </w:lvl>
  </w:abstractNum>
  <w:abstractNum w:abstractNumId="64" w15:restartNumberingAfterBreak="0">
    <w:nsid w:val="790741D4"/>
    <w:multiLevelType w:val="hybridMultilevel"/>
    <w:tmpl w:val="28129DC2"/>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5" w15:restartNumberingAfterBreak="0">
    <w:nsid w:val="7B1B0C5D"/>
    <w:multiLevelType w:val="hybridMultilevel"/>
    <w:tmpl w:val="F55EA60A"/>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6" w15:restartNumberingAfterBreak="0">
    <w:nsid w:val="7BC80338"/>
    <w:multiLevelType w:val="hybridMultilevel"/>
    <w:tmpl w:val="E1ECA596"/>
    <w:lvl w:ilvl="0" w:tplc="A9ACB80A">
      <w:start w:val="2"/>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56"/>
  </w:num>
  <w:num w:numId="2">
    <w:abstractNumId w:val="64"/>
  </w:num>
  <w:num w:numId="3">
    <w:abstractNumId w:val="11"/>
  </w:num>
  <w:num w:numId="4">
    <w:abstractNumId w:val="19"/>
  </w:num>
  <w:num w:numId="5">
    <w:abstractNumId w:val="66"/>
  </w:num>
  <w:num w:numId="6">
    <w:abstractNumId w:val="18"/>
  </w:num>
  <w:num w:numId="7">
    <w:abstractNumId w:val="59"/>
  </w:num>
  <w:num w:numId="8">
    <w:abstractNumId w:val="2"/>
  </w:num>
  <w:num w:numId="9">
    <w:abstractNumId w:val="28"/>
  </w:num>
  <w:num w:numId="10">
    <w:abstractNumId w:val="60"/>
  </w:num>
  <w:num w:numId="11">
    <w:abstractNumId w:val="17"/>
  </w:num>
  <w:num w:numId="12">
    <w:abstractNumId w:val="14"/>
  </w:num>
  <w:num w:numId="13">
    <w:abstractNumId w:val="20"/>
  </w:num>
  <w:num w:numId="14">
    <w:abstractNumId w:val="38"/>
  </w:num>
  <w:num w:numId="15">
    <w:abstractNumId w:val="29"/>
  </w:num>
  <w:num w:numId="16">
    <w:abstractNumId w:val="3"/>
  </w:num>
  <w:num w:numId="17">
    <w:abstractNumId w:val="43"/>
  </w:num>
  <w:num w:numId="18">
    <w:abstractNumId w:val="24"/>
  </w:num>
  <w:num w:numId="19">
    <w:abstractNumId w:val="35"/>
  </w:num>
  <w:num w:numId="20">
    <w:abstractNumId w:val="53"/>
  </w:num>
  <w:num w:numId="21">
    <w:abstractNumId w:val="61"/>
  </w:num>
  <w:num w:numId="22">
    <w:abstractNumId w:val="65"/>
  </w:num>
  <w:num w:numId="23">
    <w:abstractNumId w:val="37"/>
  </w:num>
  <w:num w:numId="24">
    <w:abstractNumId w:val="8"/>
  </w:num>
  <w:num w:numId="25">
    <w:abstractNumId w:val="22"/>
  </w:num>
  <w:num w:numId="26">
    <w:abstractNumId w:val="63"/>
  </w:num>
  <w:num w:numId="27">
    <w:abstractNumId w:val="25"/>
  </w:num>
  <w:num w:numId="28">
    <w:abstractNumId w:val="4"/>
  </w:num>
  <w:num w:numId="29">
    <w:abstractNumId w:val="15"/>
  </w:num>
  <w:num w:numId="30">
    <w:abstractNumId w:val="57"/>
  </w:num>
  <w:num w:numId="31">
    <w:abstractNumId w:val="42"/>
  </w:num>
  <w:num w:numId="32">
    <w:abstractNumId w:val="46"/>
  </w:num>
  <w:num w:numId="33">
    <w:abstractNumId w:val="27"/>
  </w:num>
  <w:num w:numId="34">
    <w:abstractNumId w:val="36"/>
  </w:num>
  <w:num w:numId="35">
    <w:abstractNumId w:val="16"/>
  </w:num>
  <w:num w:numId="36">
    <w:abstractNumId w:val="45"/>
  </w:num>
  <w:num w:numId="37">
    <w:abstractNumId w:val="10"/>
  </w:num>
  <w:num w:numId="38">
    <w:abstractNumId w:val="9"/>
  </w:num>
  <w:num w:numId="39">
    <w:abstractNumId w:val="51"/>
  </w:num>
  <w:num w:numId="40">
    <w:abstractNumId w:val="52"/>
  </w:num>
  <w:num w:numId="41">
    <w:abstractNumId w:val="48"/>
  </w:num>
  <w:num w:numId="42">
    <w:abstractNumId w:val="26"/>
  </w:num>
  <w:num w:numId="43">
    <w:abstractNumId w:val="58"/>
  </w:num>
  <w:num w:numId="44">
    <w:abstractNumId w:val="31"/>
  </w:num>
  <w:num w:numId="45">
    <w:abstractNumId w:val="1"/>
  </w:num>
  <w:num w:numId="46">
    <w:abstractNumId w:val="39"/>
  </w:num>
  <w:num w:numId="47">
    <w:abstractNumId w:val="50"/>
  </w:num>
  <w:num w:numId="48">
    <w:abstractNumId w:val="6"/>
  </w:num>
  <w:num w:numId="49">
    <w:abstractNumId w:val="54"/>
  </w:num>
  <w:num w:numId="50">
    <w:abstractNumId w:val="13"/>
  </w:num>
  <w:num w:numId="51">
    <w:abstractNumId w:val="23"/>
  </w:num>
  <w:num w:numId="52">
    <w:abstractNumId w:val="33"/>
  </w:num>
  <w:num w:numId="53">
    <w:abstractNumId w:val="41"/>
  </w:num>
  <w:num w:numId="54">
    <w:abstractNumId w:val="62"/>
  </w:num>
  <w:num w:numId="55">
    <w:abstractNumId w:val="0"/>
  </w:num>
  <w:num w:numId="56">
    <w:abstractNumId w:val="30"/>
  </w:num>
  <w:num w:numId="57">
    <w:abstractNumId w:val="34"/>
  </w:num>
  <w:num w:numId="58">
    <w:abstractNumId w:val="12"/>
  </w:num>
  <w:num w:numId="59">
    <w:abstractNumId w:val="44"/>
  </w:num>
  <w:num w:numId="60">
    <w:abstractNumId w:val="49"/>
  </w:num>
  <w:num w:numId="61">
    <w:abstractNumId w:val="55"/>
  </w:num>
  <w:num w:numId="62">
    <w:abstractNumId w:val="5"/>
  </w:num>
  <w:num w:numId="63">
    <w:abstractNumId w:val="47"/>
  </w:num>
  <w:num w:numId="64">
    <w:abstractNumId w:val="32"/>
  </w:num>
  <w:num w:numId="65">
    <w:abstractNumId w:val="21"/>
  </w:num>
  <w:num w:numId="66">
    <w:abstractNumId w:val="40"/>
  </w:num>
  <w:num w:numId="67">
    <w:abstractNumId w:val="7"/>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8EEE0743-A52E-4222-BE62-59E7EBBAB575"/>
    <w:docVar w:name="LW_COVERPAGE_TYPE" w:val="1"/>
    <w:docVar w:name="LW_CROSSREFERENCE" w:val="{SWD(2026) 615 final}"/>
    <w:docVar w:name="LW_DocType" w:val="NORMAL"/>
    <w:docVar w:name="LW_EMISSION" w:val="17.7.2026"/>
    <w:docVar w:name="LW_EMISSION_ISODATE" w:val="2026-07-17"/>
    <w:docVar w:name="LW_EMISSION_LOCATION" w:val="BRX"/>
    <w:docVar w:name="LW_EMISSION_PREFIX" w:val="Bruxelles, "/>
    <w:docVar w:name="LW_EMISSION_SUFFIX" w:val=" "/>
    <w:docVar w:name="LW_ID_DOCTYPE_NONLW" w:val="CP-009"/>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61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Competitivitatea sectorului bancar \u537?i pia\u539?a unic\u259? în sectorul bancar"/>
    <w:docVar w:name="LW_TYPE.DOC.CP" w:val="COMUNICARE A COMISIEI"/>
    <w:docVar w:name="LW_TYPE.DOC.CP.USERTEXT" w:val="C\u258?TRE PARLAMENTUL EUROPEAN, CONSILIU, BANCA CENTRAL\u258? EUROPEAN\u258?, COMITETUL ECONOMIC \u536?I SOCIAL EUROPEAN \u536?I COMITETUL REGIUNILOR"/>
    <w:docVar w:name="LwApiVersions" w:val="LW4CoDe 1.24.5.0; LW 9.2, Build 20251112"/>
  </w:docVars>
  <w:rsids>
    <w:rsidRoot w:val="009D6B2D"/>
    <w:rsid w:val="000000F6"/>
    <w:rsid w:val="00000226"/>
    <w:rsid w:val="000002EC"/>
    <w:rsid w:val="000004B9"/>
    <w:rsid w:val="0000056C"/>
    <w:rsid w:val="000007E7"/>
    <w:rsid w:val="00000947"/>
    <w:rsid w:val="00000A06"/>
    <w:rsid w:val="00000AB2"/>
    <w:rsid w:val="00000AED"/>
    <w:rsid w:val="00000C70"/>
    <w:rsid w:val="00000F57"/>
    <w:rsid w:val="000010D6"/>
    <w:rsid w:val="0000127A"/>
    <w:rsid w:val="000012A1"/>
    <w:rsid w:val="000012C5"/>
    <w:rsid w:val="000012FB"/>
    <w:rsid w:val="00001315"/>
    <w:rsid w:val="0000136A"/>
    <w:rsid w:val="000013FF"/>
    <w:rsid w:val="00001524"/>
    <w:rsid w:val="00001657"/>
    <w:rsid w:val="00001693"/>
    <w:rsid w:val="000017AE"/>
    <w:rsid w:val="000017ED"/>
    <w:rsid w:val="000018DC"/>
    <w:rsid w:val="00001C90"/>
    <w:rsid w:val="00001CA2"/>
    <w:rsid w:val="00001DA7"/>
    <w:rsid w:val="000021C2"/>
    <w:rsid w:val="0000231F"/>
    <w:rsid w:val="000024B1"/>
    <w:rsid w:val="000025AA"/>
    <w:rsid w:val="000025C8"/>
    <w:rsid w:val="00002661"/>
    <w:rsid w:val="00002683"/>
    <w:rsid w:val="00002686"/>
    <w:rsid w:val="0000270E"/>
    <w:rsid w:val="00002747"/>
    <w:rsid w:val="00002C86"/>
    <w:rsid w:val="00002D12"/>
    <w:rsid w:val="00002D3C"/>
    <w:rsid w:val="00002DDA"/>
    <w:rsid w:val="00002F4C"/>
    <w:rsid w:val="0000310C"/>
    <w:rsid w:val="000034F1"/>
    <w:rsid w:val="00003591"/>
    <w:rsid w:val="00003879"/>
    <w:rsid w:val="000039E0"/>
    <w:rsid w:val="00003A79"/>
    <w:rsid w:val="00003B64"/>
    <w:rsid w:val="00003CA1"/>
    <w:rsid w:val="00003DC3"/>
    <w:rsid w:val="00003EBA"/>
    <w:rsid w:val="00003F5F"/>
    <w:rsid w:val="00003FF6"/>
    <w:rsid w:val="00004173"/>
    <w:rsid w:val="00004225"/>
    <w:rsid w:val="0000423B"/>
    <w:rsid w:val="00004255"/>
    <w:rsid w:val="0000428B"/>
    <w:rsid w:val="000044F5"/>
    <w:rsid w:val="000045D5"/>
    <w:rsid w:val="000047C0"/>
    <w:rsid w:val="00004A3D"/>
    <w:rsid w:val="00004AAE"/>
    <w:rsid w:val="00004C01"/>
    <w:rsid w:val="00004C48"/>
    <w:rsid w:val="00004D5F"/>
    <w:rsid w:val="00004ED2"/>
    <w:rsid w:val="00004F7B"/>
    <w:rsid w:val="00005258"/>
    <w:rsid w:val="000052FB"/>
    <w:rsid w:val="00005334"/>
    <w:rsid w:val="00005445"/>
    <w:rsid w:val="000055F7"/>
    <w:rsid w:val="00005614"/>
    <w:rsid w:val="0000564C"/>
    <w:rsid w:val="000057A9"/>
    <w:rsid w:val="000057B8"/>
    <w:rsid w:val="00005838"/>
    <w:rsid w:val="00005BBA"/>
    <w:rsid w:val="00005EF7"/>
    <w:rsid w:val="00005F7D"/>
    <w:rsid w:val="000060E8"/>
    <w:rsid w:val="000061EA"/>
    <w:rsid w:val="000061EE"/>
    <w:rsid w:val="0000622D"/>
    <w:rsid w:val="000063AF"/>
    <w:rsid w:val="000063DD"/>
    <w:rsid w:val="00006427"/>
    <w:rsid w:val="00006778"/>
    <w:rsid w:val="00006A8B"/>
    <w:rsid w:val="00006BD8"/>
    <w:rsid w:val="00006CC0"/>
    <w:rsid w:val="00006CF0"/>
    <w:rsid w:val="00006FC5"/>
    <w:rsid w:val="00007040"/>
    <w:rsid w:val="00007147"/>
    <w:rsid w:val="00007164"/>
    <w:rsid w:val="000071E4"/>
    <w:rsid w:val="000073B0"/>
    <w:rsid w:val="00007483"/>
    <w:rsid w:val="000075AF"/>
    <w:rsid w:val="00007629"/>
    <w:rsid w:val="0000766D"/>
    <w:rsid w:val="0000768B"/>
    <w:rsid w:val="0000774F"/>
    <w:rsid w:val="00007753"/>
    <w:rsid w:val="000077A5"/>
    <w:rsid w:val="00007A08"/>
    <w:rsid w:val="00007B31"/>
    <w:rsid w:val="00007BD3"/>
    <w:rsid w:val="00007BD9"/>
    <w:rsid w:val="00010092"/>
    <w:rsid w:val="000100D9"/>
    <w:rsid w:val="00010338"/>
    <w:rsid w:val="00010341"/>
    <w:rsid w:val="000103E4"/>
    <w:rsid w:val="00010478"/>
    <w:rsid w:val="00010614"/>
    <w:rsid w:val="000106EC"/>
    <w:rsid w:val="0001074E"/>
    <w:rsid w:val="00010833"/>
    <w:rsid w:val="000109F0"/>
    <w:rsid w:val="00010A19"/>
    <w:rsid w:val="00010A73"/>
    <w:rsid w:val="00010AFF"/>
    <w:rsid w:val="00010BF0"/>
    <w:rsid w:val="00010D0A"/>
    <w:rsid w:val="00010D60"/>
    <w:rsid w:val="00010EA0"/>
    <w:rsid w:val="0001107C"/>
    <w:rsid w:val="000110B4"/>
    <w:rsid w:val="000110EA"/>
    <w:rsid w:val="0001113D"/>
    <w:rsid w:val="00011403"/>
    <w:rsid w:val="00011411"/>
    <w:rsid w:val="00011462"/>
    <w:rsid w:val="0001152A"/>
    <w:rsid w:val="000117BF"/>
    <w:rsid w:val="00011840"/>
    <w:rsid w:val="000118EC"/>
    <w:rsid w:val="00011DF9"/>
    <w:rsid w:val="00011E41"/>
    <w:rsid w:val="00011F7D"/>
    <w:rsid w:val="0001209B"/>
    <w:rsid w:val="00012195"/>
    <w:rsid w:val="000121B9"/>
    <w:rsid w:val="00012278"/>
    <w:rsid w:val="0001260B"/>
    <w:rsid w:val="0001272E"/>
    <w:rsid w:val="00012940"/>
    <w:rsid w:val="00012AF7"/>
    <w:rsid w:val="00012F39"/>
    <w:rsid w:val="00013040"/>
    <w:rsid w:val="000130E7"/>
    <w:rsid w:val="0001317A"/>
    <w:rsid w:val="000131E3"/>
    <w:rsid w:val="000133E6"/>
    <w:rsid w:val="0001354D"/>
    <w:rsid w:val="00013612"/>
    <w:rsid w:val="00013626"/>
    <w:rsid w:val="000136F5"/>
    <w:rsid w:val="000138D6"/>
    <w:rsid w:val="00013982"/>
    <w:rsid w:val="00013D79"/>
    <w:rsid w:val="00013E07"/>
    <w:rsid w:val="00013F32"/>
    <w:rsid w:val="0001408B"/>
    <w:rsid w:val="000140EF"/>
    <w:rsid w:val="000142BD"/>
    <w:rsid w:val="00014766"/>
    <w:rsid w:val="00014AB5"/>
    <w:rsid w:val="00014BD0"/>
    <w:rsid w:val="00014EBC"/>
    <w:rsid w:val="00015003"/>
    <w:rsid w:val="0001513A"/>
    <w:rsid w:val="00015247"/>
    <w:rsid w:val="00015284"/>
    <w:rsid w:val="000152AA"/>
    <w:rsid w:val="00015493"/>
    <w:rsid w:val="000155A0"/>
    <w:rsid w:val="000158E3"/>
    <w:rsid w:val="00015C10"/>
    <w:rsid w:val="00015D59"/>
    <w:rsid w:val="00015E6C"/>
    <w:rsid w:val="00015F2C"/>
    <w:rsid w:val="00016011"/>
    <w:rsid w:val="0001607C"/>
    <w:rsid w:val="0001616B"/>
    <w:rsid w:val="00016661"/>
    <w:rsid w:val="00016726"/>
    <w:rsid w:val="00016746"/>
    <w:rsid w:val="000167FF"/>
    <w:rsid w:val="000168DB"/>
    <w:rsid w:val="00016983"/>
    <w:rsid w:val="00016B25"/>
    <w:rsid w:val="00016B87"/>
    <w:rsid w:val="00016CEA"/>
    <w:rsid w:val="00016F62"/>
    <w:rsid w:val="00016F98"/>
    <w:rsid w:val="00016F99"/>
    <w:rsid w:val="00016FA3"/>
    <w:rsid w:val="00017035"/>
    <w:rsid w:val="0001705E"/>
    <w:rsid w:val="000170D9"/>
    <w:rsid w:val="0001713A"/>
    <w:rsid w:val="0001718D"/>
    <w:rsid w:val="00017256"/>
    <w:rsid w:val="0001728A"/>
    <w:rsid w:val="00017429"/>
    <w:rsid w:val="00017470"/>
    <w:rsid w:val="0001748D"/>
    <w:rsid w:val="000176FD"/>
    <w:rsid w:val="00017838"/>
    <w:rsid w:val="00017994"/>
    <w:rsid w:val="0001799E"/>
    <w:rsid w:val="00017C1A"/>
    <w:rsid w:val="0002009C"/>
    <w:rsid w:val="000200AD"/>
    <w:rsid w:val="000201C5"/>
    <w:rsid w:val="000202A0"/>
    <w:rsid w:val="000202B2"/>
    <w:rsid w:val="00020509"/>
    <w:rsid w:val="00020528"/>
    <w:rsid w:val="0002060A"/>
    <w:rsid w:val="00020649"/>
    <w:rsid w:val="000207A5"/>
    <w:rsid w:val="0002080B"/>
    <w:rsid w:val="000208F4"/>
    <w:rsid w:val="0002090F"/>
    <w:rsid w:val="00020B5E"/>
    <w:rsid w:val="00020C34"/>
    <w:rsid w:val="00020C5E"/>
    <w:rsid w:val="00020D63"/>
    <w:rsid w:val="00020D65"/>
    <w:rsid w:val="00020DAC"/>
    <w:rsid w:val="0002104E"/>
    <w:rsid w:val="000210F9"/>
    <w:rsid w:val="000213A6"/>
    <w:rsid w:val="00021407"/>
    <w:rsid w:val="00021771"/>
    <w:rsid w:val="000217AA"/>
    <w:rsid w:val="000218FC"/>
    <w:rsid w:val="0002196B"/>
    <w:rsid w:val="0002199D"/>
    <w:rsid w:val="000219CD"/>
    <w:rsid w:val="00021CF7"/>
    <w:rsid w:val="00021E6B"/>
    <w:rsid w:val="00021FA4"/>
    <w:rsid w:val="0002200E"/>
    <w:rsid w:val="000220BF"/>
    <w:rsid w:val="000222B1"/>
    <w:rsid w:val="000222C0"/>
    <w:rsid w:val="00022329"/>
    <w:rsid w:val="00022375"/>
    <w:rsid w:val="0002265E"/>
    <w:rsid w:val="00022720"/>
    <w:rsid w:val="00022819"/>
    <w:rsid w:val="0002283A"/>
    <w:rsid w:val="000228BC"/>
    <w:rsid w:val="00022AC8"/>
    <w:rsid w:val="00022B1B"/>
    <w:rsid w:val="00022D87"/>
    <w:rsid w:val="00022DF0"/>
    <w:rsid w:val="00022DF9"/>
    <w:rsid w:val="00022E47"/>
    <w:rsid w:val="00022EDD"/>
    <w:rsid w:val="00022F00"/>
    <w:rsid w:val="00022F05"/>
    <w:rsid w:val="00022F62"/>
    <w:rsid w:val="00023084"/>
    <w:rsid w:val="000230CC"/>
    <w:rsid w:val="000230E5"/>
    <w:rsid w:val="0002325B"/>
    <w:rsid w:val="0002327B"/>
    <w:rsid w:val="000233A7"/>
    <w:rsid w:val="00023453"/>
    <w:rsid w:val="00023595"/>
    <w:rsid w:val="00023666"/>
    <w:rsid w:val="00023761"/>
    <w:rsid w:val="000237FB"/>
    <w:rsid w:val="000238BB"/>
    <w:rsid w:val="000238DF"/>
    <w:rsid w:val="00023913"/>
    <w:rsid w:val="00023946"/>
    <w:rsid w:val="00023A9C"/>
    <w:rsid w:val="00023B53"/>
    <w:rsid w:val="00023CF9"/>
    <w:rsid w:val="00024273"/>
    <w:rsid w:val="0002441F"/>
    <w:rsid w:val="0002449F"/>
    <w:rsid w:val="0002467A"/>
    <w:rsid w:val="00024793"/>
    <w:rsid w:val="00024805"/>
    <w:rsid w:val="00024B8A"/>
    <w:rsid w:val="00024C61"/>
    <w:rsid w:val="00024F57"/>
    <w:rsid w:val="00025012"/>
    <w:rsid w:val="000250F1"/>
    <w:rsid w:val="0002526B"/>
    <w:rsid w:val="000252A2"/>
    <w:rsid w:val="0002592E"/>
    <w:rsid w:val="00025965"/>
    <w:rsid w:val="00025A39"/>
    <w:rsid w:val="00025B28"/>
    <w:rsid w:val="00025B5F"/>
    <w:rsid w:val="00025CBA"/>
    <w:rsid w:val="00025E87"/>
    <w:rsid w:val="00025FC3"/>
    <w:rsid w:val="00026004"/>
    <w:rsid w:val="0002614D"/>
    <w:rsid w:val="00026284"/>
    <w:rsid w:val="000264D1"/>
    <w:rsid w:val="00026577"/>
    <w:rsid w:val="0002683F"/>
    <w:rsid w:val="00026956"/>
    <w:rsid w:val="00026ABF"/>
    <w:rsid w:val="00026CB3"/>
    <w:rsid w:val="00026CFB"/>
    <w:rsid w:val="00026E31"/>
    <w:rsid w:val="00026E94"/>
    <w:rsid w:val="00026F9F"/>
    <w:rsid w:val="00026FD5"/>
    <w:rsid w:val="000271DA"/>
    <w:rsid w:val="000271F5"/>
    <w:rsid w:val="000272F4"/>
    <w:rsid w:val="000273A1"/>
    <w:rsid w:val="0002748C"/>
    <w:rsid w:val="00027615"/>
    <w:rsid w:val="00027629"/>
    <w:rsid w:val="0002764E"/>
    <w:rsid w:val="000276CD"/>
    <w:rsid w:val="0002770E"/>
    <w:rsid w:val="000278C5"/>
    <w:rsid w:val="0002795C"/>
    <w:rsid w:val="00027982"/>
    <w:rsid w:val="000279BB"/>
    <w:rsid w:val="00027C57"/>
    <w:rsid w:val="00027CA0"/>
    <w:rsid w:val="00027E4E"/>
    <w:rsid w:val="00027FAD"/>
    <w:rsid w:val="000301E3"/>
    <w:rsid w:val="000302EC"/>
    <w:rsid w:val="000303D0"/>
    <w:rsid w:val="0003063B"/>
    <w:rsid w:val="000306F1"/>
    <w:rsid w:val="000307C8"/>
    <w:rsid w:val="00030938"/>
    <w:rsid w:val="00030A06"/>
    <w:rsid w:val="00030C9C"/>
    <w:rsid w:val="00030EBD"/>
    <w:rsid w:val="00030EDA"/>
    <w:rsid w:val="0003110C"/>
    <w:rsid w:val="00031118"/>
    <w:rsid w:val="000311F9"/>
    <w:rsid w:val="00031551"/>
    <w:rsid w:val="000315B0"/>
    <w:rsid w:val="0003170C"/>
    <w:rsid w:val="00031765"/>
    <w:rsid w:val="000318CD"/>
    <w:rsid w:val="00031AB4"/>
    <w:rsid w:val="00031ED8"/>
    <w:rsid w:val="00031EDB"/>
    <w:rsid w:val="00031F65"/>
    <w:rsid w:val="00031FAD"/>
    <w:rsid w:val="00032008"/>
    <w:rsid w:val="00032027"/>
    <w:rsid w:val="000321D5"/>
    <w:rsid w:val="00032449"/>
    <w:rsid w:val="00032482"/>
    <w:rsid w:val="00032742"/>
    <w:rsid w:val="000329D7"/>
    <w:rsid w:val="00032AD6"/>
    <w:rsid w:val="00032B4F"/>
    <w:rsid w:val="00032B73"/>
    <w:rsid w:val="00032C90"/>
    <w:rsid w:val="00032E19"/>
    <w:rsid w:val="00032E27"/>
    <w:rsid w:val="0003306F"/>
    <w:rsid w:val="00033180"/>
    <w:rsid w:val="0003339F"/>
    <w:rsid w:val="00033587"/>
    <w:rsid w:val="0003360E"/>
    <w:rsid w:val="00033674"/>
    <w:rsid w:val="00033781"/>
    <w:rsid w:val="0003383F"/>
    <w:rsid w:val="00033BA3"/>
    <w:rsid w:val="00033C63"/>
    <w:rsid w:val="00033D8F"/>
    <w:rsid w:val="00033E74"/>
    <w:rsid w:val="00033EC4"/>
    <w:rsid w:val="00033F07"/>
    <w:rsid w:val="00034050"/>
    <w:rsid w:val="0003405E"/>
    <w:rsid w:val="00034104"/>
    <w:rsid w:val="000343F5"/>
    <w:rsid w:val="00034519"/>
    <w:rsid w:val="000348C5"/>
    <w:rsid w:val="00034990"/>
    <w:rsid w:val="00034A9D"/>
    <w:rsid w:val="00034ABA"/>
    <w:rsid w:val="00034CCA"/>
    <w:rsid w:val="00034CE9"/>
    <w:rsid w:val="00035097"/>
    <w:rsid w:val="00035245"/>
    <w:rsid w:val="00035295"/>
    <w:rsid w:val="0003537C"/>
    <w:rsid w:val="00035396"/>
    <w:rsid w:val="0003540D"/>
    <w:rsid w:val="0003545B"/>
    <w:rsid w:val="000354E2"/>
    <w:rsid w:val="0003552E"/>
    <w:rsid w:val="0003563C"/>
    <w:rsid w:val="000359BB"/>
    <w:rsid w:val="00035A5C"/>
    <w:rsid w:val="00035C15"/>
    <w:rsid w:val="00035D1F"/>
    <w:rsid w:val="00035D79"/>
    <w:rsid w:val="00035DD1"/>
    <w:rsid w:val="00035F34"/>
    <w:rsid w:val="00036032"/>
    <w:rsid w:val="000361A2"/>
    <w:rsid w:val="000361AE"/>
    <w:rsid w:val="00036501"/>
    <w:rsid w:val="0003651C"/>
    <w:rsid w:val="00036523"/>
    <w:rsid w:val="000365B9"/>
    <w:rsid w:val="0003667B"/>
    <w:rsid w:val="000367B1"/>
    <w:rsid w:val="0003681A"/>
    <w:rsid w:val="00036AD9"/>
    <w:rsid w:val="00036B3A"/>
    <w:rsid w:val="00036B72"/>
    <w:rsid w:val="00036C01"/>
    <w:rsid w:val="00036CAB"/>
    <w:rsid w:val="00036DF3"/>
    <w:rsid w:val="00036E77"/>
    <w:rsid w:val="00036F12"/>
    <w:rsid w:val="00036F73"/>
    <w:rsid w:val="00036F9B"/>
    <w:rsid w:val="00036FE9"/>
    <w:rsid w:val="0003700D"/>
    <w:rsid w:val="00037014"/>
    <w:rsid w:val="000370B9"/>
    <w:rsid w:val="00037146"/>
    <w:rsid w:val="00037172"/>
    <w:rsid w:val="000372B1"/>
    <w:rsid w:val="00037466"/>
    <w:rsid w:val="000376AA"/>
    <w:rsid w:val="000378B0"/>
    <w:rsid w:val="0003798E"/>
    <w:rsid w:val="000379E8"/>
    <w:rsid w:val="00037A14"/>
    <w:rsid w:val="00037B59"/>
    <w:rsid w:val="00037C22"/>
    <w:rsid w:val="00037C8D"/>
    <w:rsid w:val="00037CD9"/>
    <w:rsid w:val="00037E5C"/>
    <w:rsid w:val="00037FAB"/>
    <w:rsid w:val="00040172"/>
    <w:rsid w:val="000402BF"/>
    <w:rsid w:val="00040380"/>
    <w:rsid w:val="000404E7"/>
    <w:rsid w:val="00040964"/>
    <w:rsid w:val="000409E1"/>
    <w:rsid w:val="00040E7F"/>
    <w:rsid w:val="00041275"/>
    <w:rsid w:val="000412D6"/>
    <w:rsid w:val="0004133D"/>
    <w:rsid w:val="00041409"/>
    <w:rsid w:val="00041466"/>
    <w:rsid w:val="00041523"/>
    <w:rsid w:val="000415BA"/>
    <w:rsid w:val="0004160F"/>
    <w:rsid w:val="00041646"/>
    <w:rsid w:val="000417EF"/>
    <w:rsid w:val="000419DE"/>
    <w:rsid w:val="00041F8B"/>
    <w:rsid w:val="000422EE"/>
    <w:rsid w:val="00042301"/>
    <w:rsid w:val="000425D1"/>
    <w:rsid w:val="00042608"/>
    <w:rsid w:val="00042621"/>
    <w:rsid w:val="000426F6"/>
    <w:rsid w:val="000428A4"/>
    <w:rsid w:val="00042968"/>
    <w:rsid w:val="000429AA"/>
    <w:rsid w:val="00042A8C"/>
    <w:rsid w:val="00042BDE"/>
    <w:rsid w:val="00043025"/>
    <w:rsid w:val="000430DD"/>
    <w:rsid w:val="000430EE"/>
    <w:rsid w:val="000431E2"/>
    <w:rsid w:val="0004357F"/>
    <w:rsid w:val="00043604"/>
    <w:rsid w:val="000436FB"/>
    <w:rsid w:val="000437D5"/>
    <w:rsid w:val="000437E1"/>
    <w:rsid w:val="00043855"/>
    <w:rsid w:val="00043896"/>
    <w:rsid w:val="00043950"/>
    <w:rsid w:val="00043F3D"/>
    <w:rsid w:val="0004406E"/>
    <w:rsid w:val="00044189"/>
    <w:rsid w:val="0004440B"/>
    <w:rsid w:val="000445C5"/>
    <w:rsid w:val="000448E8"/>
    <w:rsid w:val="000449D7"/>
    <w:rsid w:val="00044A02"/>
    <w:rsid w:val="00044A56"/>
    <w:rsid w:val="00044B7A"/>
    <w:rsid w:val="00044B82"/>
    <w:rsid w:val="00044C55"/>
    <w:rsid w:val="00044D1C"/>
    <w:rsid w:val="00044EF6"/>
    <w:rsid w:val="00044F97"/>
    <w:rsid w:val="00045242"/>
    <w:rsid w:val="00045511"/>
    <w:rsid w:val="000455D9"/>
    <w:rsid w:val="00045601"/>
    <w:rsid w:val="00045637"/>
    <w:rsid w:val="0004577F"/>
    <w:rsid w:val="000458C6"/>
    <w:rsid w:val="00045B9B"/>
    <w:rsid w:val="00045D9D"/>
    <w:rsid w:val="00045E9E"/>
    <w:rsid w:val="00046169"/>
    <w:rsid w:val="00046179"/>
    <w:rsid w:val="000462F2"/>
    <w:rsid w:val="00046372"/>
    <w:rsid w:val="0004640B"/>
    <w:rsid w:val="0004662E"/>
    <w:rsid w:val="00046771"/>
    <w:rsid w:val="000468EC"/>
    <w:rsid w:val="000468FD"/>
    <w:rsid w:val="00046900"/>
    <w:rsid w:val="00046A56"/>
    <w:rsid w:val="00046ADC"/>
    <w:rsid w:val="00046B2E"/>
    <w:rsid w:val="00046BCB"/>
    <w:rsid w:val="00046BE7"/>
    <w:rsid w:val="00046CB8"/>
    <w:rsid w:val="00046D28"/>
    <w:rsid w:val="00046D47"/>
    <w:rsid w:val="00046D72"/>
    <w:rsid w:val="0004703B"/>
    <w:rsid w:val="000470E4"/>
    <w:rsid w:val="000470FD"/>
    <w:rsid w:val="0004711D"/>
    <w:rsid w:val="0004714A"/>
    <w:rsid w:val="0004715B"/>
    <w:rsid w:val="000471A2"/>
    <w:rsid w:val="000471B7"/>
    <w:rsid w:val="000472C2"/>
    <w:rsid w:val="0004740E"/>
    <w:rsid w:val="00047647"/>
    <w:rsid w:val="000476A0"/>
    <w:rsid w:val="000477BB"/>
    <w:rsid w:val="000478BF"/>
    <w:rsid w:val="00047A12"/>
    <w:rsid w:val="00047A56"/>
    <w:rsid w:val="00047D3E"/>
    <w:rsid w:val="00050022"/>
    <w:rsid w:val="000500D1"/>
    <w:rsid w:val="00050179"/>
    <w:rsid w:val="0005043A"/>
    <w:rsid w:val="00050484"/>
    <w:rsid w:val="00050820"/>
    <w:rsid w:val="000508A7"/>
    <w:rsid w:val="000509F0"/>
    <w:rsid w:val="00050C36"/>
    <w:rsid w:val="00051259"/>
    <w:rsid w:val="00051496"/>
    <w:rsid w:val="00051624"/>
    <w:rsid w:val="00051720"/>
    <w:rsid w:val="000517C5"/>
    <w:rsid w:val="00051A18"/>
    <w:rsid w:val="00051D58"/>
    <w:rsid w:val="00051E46"/>
    <w:rsid w:val="00051E8C"/>
    <w:rsid w:val="00051F2B"/>
    <w:rsid w:val="000520D7"/>
    <w:rsid w:val="000523B5"/>
    <w:rsid w:val="00052461"/>
    <w:rsid w:val="000525AD"/>
    <w:rsid w:val="00052655"/>
    <w:rsid w:val="00052770"/>
    <w:rsid w:val="00052796"/>
    <w:rsid w:val="000527B3"/>
    <w:rsid w:val="0005284B"/>
    <w:rsid w:val="00052853"/>
    <w:rsid w:val="000528B2"/>
    <w:rsid w:val="0005298B"/>
    <w:rsid w:val="00052ADC"/>
    <w:rsid w:val="00052D80"/>
    <w:rsid w:val="00052D96"/>
    <w:rsid w:val="00052E12"/>
    <w:rsid w:val="000532A7"/>
    <w:rsid w:val="000533D3"/>
    <w:rsid w:val="00053570"/>
    <w:rsid w:val="00053715"/>
    <w:rsid w:val="000538DE"/>
    <w:rsid w:val="00053950"/>
    <w:rsid w:val="000539A4"/>
    <w:rsid w:val="00053BDB"/>
    <w:rsid w:val="00053CC9"/>
    <w:rsid w:val="00053D9B"/>
    <w:rsid w:val="00053E17"/>
    <w:rsid w:val="00053ED7"/>
    <w:rsid w:val="000540E3"/>
    <w:rsid w:val="00054106"/>
    <w:rsid w:val="00054160"/>
    <w:rsid w:val="0005430D"/>
    <w:rsid w:val="00054495"/>
    <w:rsid w:val="00054558"/>
    <w:rsid w:val="0005460B"/>
    <w:rsid w:val="00054675"/>
    <w:rsid w:val="000546E3"/>
    <w:rsid w:val="00054749"/>
    <w:rsid w:val="00054971"/>
    <w:rsid w:val="00054A39"/>
    <w:rsid w:val="00054BA7"/>
    <w:rsid w:val="00054BDD"/>
    <w:rsid w:val="00054C98"/>
    <w:rsid w:val="00054CD8"/>
    <w:rsid w:val="0005515D"/>
    <w:rsid w:val="0005539B"/>
    <w:rsid w:val="000554F1"/>
    <w:rsid w:val="000555C6"/>
    <w:rsid w:val="0005568B"/>
    <w:rsid w:val="0005569A"/>
    <w:rsid w:val="000556D6"/>
    <w:rsid w:val="00055845"/>
    <w:rsid w:val="000558A6"/>
    <w:rsid w:val="00055B73"/>
    <w:rsid w:val="00055D58"/>
    <w:rsid w:val="00055E55"/>
    <w:rsid w:val="00055FA3"/>
    <w:rsid w:val="000561B8"/>
    <w:rsid w:val="000563AC"/>
    <w:rsid w:val="000563C9"/>
    <w:rsid w:val="00056569"/>
    <w:rsid w:val="00056637"/>
    <w:rsid w:val="00056A3B"/>
    <w:rsid w:val="00056BE1"/>
    <w:rsid w:val="00056C35"/>
    <w:rsid w:val="00056D04"/>
    <w:rsid w:val="00056DA1"/>
    <w:rsid w:val="00056EFF"/>
    <w:rsid w:val="00056FBB"/>
    <w:rsid w:val="00057090"/>
    <w:rsid w:val="00057114"/>
    <w:rsid w:val="000571DF"/>
    <w:rsid w:val="000574A4"/>
    <w:rsid w:val="00057996"/>
    <w:rsid w:val="000600B1"/>
    <w:rsid w:val="000600C1"/>
    <w:rsid w:val="000600F5"/>
    <w:rsid w:val="000601CC"/>
    <w:rsid w:val="00060209"/>
    <w:rsid w:val="000602C2"/>
    <w:rsid w:val="000603AB"/>
    <w:rsid w:val="000603DF"/>
    <w:rsid w:val="0006073D"/>
    <w:rsid w:val="000607A1"/>
    <w:rsid w:val="00060922"/>
    <w:rsid w:val="00060B21"/>
    <w:rsid w:val="00060BD9"/>
    <w:rsid w:val="00060D21"/>
    <w:rsid w:val="000610F5"/>
    <w:rsid w:val="0006110F"/>
    <w:rsid w:val="000611D8"/>
    <w:rsid w:val="00061253"/>
    <w:rsid w:val="00061739"/>
    <w:rsid w:val="00061816"/>
    <w:rsid w:val="0006183A"/>
    <w:rsid w:val="000618DC"/>
    <w:rsid w:val="0006192B"/>
    <w:rsid w:val="00061A56"/>
    <w:rsid w:val="00061AA5"/>
    <w:rsid w:val="00061EBC"/>
    <w:rsid w:val="00061F51"/>
    <w:rsid w:val="00061F58"/>
    <w:rsid w:val="000620E1"/>
    <w:rsid w:val="00062113"/>
    <w:rsid w:val="000621E2"/>
    <w:rsid w:val="000625D5"/>
    <w:rsid w:val="00062753"/>
    <w:rsid w:val="000627B1"/>
    <w:rsid w:val="00062920"/>
    <w:rsid w:val="000629E5"/>
    <w:rsid w:val="00062A13"/>
    <w:rsid w:val="00062A74"/>
    <w:rsid w:val="00062C2F"/>
    <w:rsid w:val="00062C40"/>
    <w:rsid w:val="00062C6A"/>
    <w:rsid w:val="00062CA6"/>
    <w:rsid w:val="00062DE4"/>
    <w:rsid w:val="00062ED6"/>
    <w:rsid w:val="00063073"/>
    <w:rsid w:val="00063087"/>
    <w:rsid w:val="00063088"/>
    <w:rsid w:val="00063267"/>
    <w:rsid w:val="00063373"/>
    <w:rsid w:val="00063397"/>
    <w:rsid w:val="0006375C"/>
    <w:rsid w:val="00063773"/>
    <w:rsid w:val="000638C8"/>
    <w:rsid w:val="00063DDD"/>
    <w:rsid w:val="00063E16"/>
    <w:rsid w:val="00064156"/>
    <w:rsid w:val="00064237"/>
    <w:rsid w:val="0006432B"/>
    <w:rsid w:val="00064596"/>
    <w:rsid w:val="00064781"/>
    <w:rsid w:val="0006480F"/>
    <w:rsid w:val="000649E3"/>
    <w:rsid w:val="00064B1A"/>
    <w:rsid w:val="00064B8D"/>
    <w:rsid w:val="00064C05"/>
    <w:rsid w:val="00064E26"/>
    <w:rsid w:val="00064E86"/>
    <w:rsid w:val="00064F16"/>
    <w:rsid w:val="00065004"/>
    <w:rsid w:val="0006516F"/>
    <w:rsid w:val="000651AF"/>
    <w:rsid w:val="00065266"/>
    <w:rsid w:val="000653A2"/>
    <w:rsid w:val="0006546D"/>
    <w:rsid w:val="000655C1"/>
    <w:rsid w:val="00065600"/>
    <w:rsid w:val="00065722"/>
    <w:rsid w:val="00065751"/>
    <w:rsid w:val="000659E3"/>
    <w:rsid w:val="00065AAB"/>
    <w:rsid w:val="00065C29"/>
    <w:rsid w:val="00065C33"/>
    <w:rsid w:val="00065FE8"/>
    <w:rsid w:val="0006608B"/>
    <w:rsid w:val="000660C0"/>
    <w:rsid w:val="000660C7"/>
    <w:rsid w:val="00066617"/>
    <w:rsid w:val="0006690F"/>
    <w:rsid w:val="00066987"/>
    <w:rsid w:val="00066B3E"/>
    <w:rsid w:val="00066B83"/>
    <w:rsid w:val="00066C20"/>
    <w:rsid w:val="00066CCD"/>
    <w:rsid w:val="00066E43"/>
    <w:rsid w:val="00067018"/>
    <w:rsid w:val="000670DA"/>
    <w:rsid w:val="00067211"/>
    <w:rsid w:val="00067214"/>
    <w:rsid w:val="0006727B"/>
    <w:rsid w:val="00067371"/>
    <w:rsid w:val="00067394"/>
    <w:rsid w:val="000673BC"/>
    <w:rsid w:val="00067433"/>
    <w:rsid w:val="000674BF"/>
    <w:rsid w:val="00067726"/>
    <w:rsid w:val="000677B9"/>
    <w:rsid w:val="00067922"/>
    <w:rsid w:val="0006792C"/>
    <w:rsid w:val="00067ACD"/>
    <w:rsid w:val="00067CE3"/>
    <w:rsid w:val="00067D5A"/>
    <w:rsid w:val="00067D6B"/>
    <w:rsid w:val="00067DB8"/>
    <w:rsid w:val="00067F74"/>
    <w:rsid w:val="00070081"/>
    <w:rsid w:val="000700EE"/>
    <w:rsid w:val="00070147"/>
    <w:rsid w:val="00070148"/>
    <w:rsid w:val="000701CA"/>
    <w:rsid w:val="00070305"/>
    <w:rsid w:val="000703E4"/>
    <w:rsid w:val="000708B4"/>
    <w:rsid w:val="0007094C"/>
    <w:rsid w:val="00070966"/>
    <w:rsid w:val="00070986"/>
    <w:rsid w:val="00070A75"/>
    <w:rsid w:val="00070A85"/>
    <w:rsid w:val="00070D3E"/>
    <w:rsid w:val="00070FBC"/>
    <w:rsid w:val="00070FC7"/>
    <w:rsid w:val="00071130"/>
    <w:rsid w:val="0007114D"/>
    <w:rsid w:val="000711C3"/>
    <w:rsid w:val="000711D9"/>
    <w:rsid w:val="000711E1"/>
    <w:rsid w:val="00071254"/>
    <w:rsid w:val="00071292"/>
    <w:rsid w:val="000712F0"/>
    <w:rsid w:val="000714F4"/>
    <w:rsid w:val="00071567"/>
    <w:rsid w:val="00071589"/>
    <w:rsid w:val="00071768"/>
    <w:rsid w:val="00071A7C"/>
    <w:rsid w:val="00071AC8"/>
    <w:rsid w:val="00071AF7"/>
    <w:rsid w:val="00071B54"/>
    <w:rsid w:val="00071B9B"/>
    <w:rsid w:val="00071CDF"/>
    <w:rsid w:val="00071E0A"/>
    <w:rsid w:val="00071EBA"/>
    <w:rsid w:val="00072098"/>
    <w:rsid w:val="0007220C"/>
    <w:rsid w:val="00072420"/>
    <w:rsid w:val="000727EB"/>
    <w:rsid w:val="000727FD"/>
    <w:rsid w:val="00072839"/>
    <w:rsid w:val="0007295F"/>
    <w:rsid w:val="00072973"/>
    <w:rsid w:val="00072C0B"/>
    <w:rsid w:val="00072C6F"/>
    <w:rsid w:val="00072E5B"/>
    <w:rsid w:val="00072E6B"/>
    <w:rsid w:val="00072F84"/>
    <w:rsid w:val="00072FDD"/>
    <w:rsid w:val="00072FE6"/>
    <w:rsid w:val="0007300B"/>
    <w:rsid w:val="00073137"/>
    <w:rsid w:val="000732C3"/>
    <w:rsid w:val="0007342D"/>
    <w:rsid w:val="0007343D"/>
    <w:rsid w:val="000734A5"/>
    <w:rsid w:val="000735B2"/>
    <w:rsid w:val="00073735"/>
    <w:rsid w:val="000737E1"/>
    <w:rsid w:val="00073AAD"/>
    <w:rsid w:val="00073AEB"/>
    <w:rsid w:val="00073CAD"/>
    <w:rsid w:val="00073D4D"/>
    <w:rsid w:val="00073E49"/>
    <w:rsid w:val="00073F5E"/>
    <w:rsid w:val="00074085"/>
    <w:rsid w:val="000740D0"/>
    <w:rsid w:val="000742B2"/>
    <w:rsid w:val="00074346"/>
    <w:rsid w:val="000745F5"/>
    <w:rsid w:val="00074865"/>
    <w:rsid w:val="0007499C"/>
    <w:rsid w:val="00074A23"/>
    <w:rsid w:val="00074C6F"/>
    <w:rsid w:val="00074CEB"/>
    <w:rsid w:val="00074EC3"/>
    <w:rsid w:val="00074FD7"/>
    <w:rsid w:val="00075056"/>
    <w:rsid w:val="00075258"/>
    <w:rsid w:val="00075512"/>
    <w:rsid w:val="00075547"/>
    <w:rsid w:val="000758C7"/>
    <w:rsid w:val="00075A33"/>
    <w:rsid w:val="00075D44"/>
    <w:rsid w:val="00075E34"/>
    <w:rsid w:val="00075FBE"/>
    <w:rsid w:val="00076037"/>
    <w:rsid w:val="00076173"/>
    <w:rsid w:val="00076292"/>
    <w:rsid w:val="00076528"/>
    <w:rsid w:val="00076564"/>
    <w:rsid w:val="00076586"/>
    <w:rsid w:val="000769C5"/>
    <w:rsid w:val="00076BC9"/>
    <w:rsid w:val="00076D31"/>
    <w:rsid w:val="00076E74"/>
    <w:rsid w:val="00077027"/>
    <w:rsid w:val="000772C3"/>
    <w:rsid w:val="00077440"/>
    <w:rsid w:val="0007751F"/>
    <w:rsid w:val="00077558"/>
    <w:rsid w:val="0007761B"/>
    <w:rsid w:val="000777C6"/>
    <w:rsid w:val="000777E5"/>
    <w:rsid w:val="0007785E"/>
    <w:rsid w:val="0007791A"/>
    <w:rsid w:val="00077937"/>
    <w:rsid w:val="00077B8C"/>
    <w:rsid w:val="00077C48"/>
    <w:rsid w:val="00077D1F"/>
    <w:rsid w:val="00077E58"/>
    <w:rsid w:val="00080046"/>
    <w:rsid w:val="00080088"/>
    <w:rsid w:val="0008008C"/>
    <w:rsid w:val="00080702"/>
    <w:rsid w:val="00080740"/>
    <w:rsid w:val="00080979"/>
    <w:rsid w:val="00080E5C"/>
    <w:rsid w:val="00080F1B"/>
    <w:rsid w:val="000810C0"/>
    <w:rsid w:val="00081112"/>
    <w:rsid w:val="0008130F"/>
    <w:rsid w:val="00081470"/>
    <w:rsid w:val="000814B0"/>
    <w:rsid w:val="00081698"/>
    <w:rsid w:val="000816FD"/>
    <w:rsid w:val="00081721"/>
    <w:rsid w:val="00081915"/>
    <w:rsid w:val="000819C6"/>
    <w:rsid w:val="00081A5C"/>
    <w:rsid w:val="00081AD9"/>
    <w:rsid w:val="00081B39"/>
    <w:rsid w:val="00081B85"/>
    <w:rsid w:val="00081C62"/>
    <w:rsid w:val="00081CB1"/>
    <w:rsid w:val="00081CE7"/>
    <w:rsid w:val="00081D2C"/>
    <w:rsid w:val="00081E4B"/>
    <w:rsid w:val="00082155"/>
    <w:rsid w:val="000822DC"/>
    <w:rsid w:val="00082397"/>
    <w:rsid w:val="00082560"/>
    <w:rsid w:val="000825B6"/>
    <w:rsid w:val="00082688"/>
    <w:rsid w:val="0008276E"/>
    <w:rsid w:val="0008278E"/>
    <w:rsid w:val="000828DC"/>
    <w:rsid w:val="000829BD"/>
    <w:rsid w:val="000829DB"/>
    <w:rsid w:val="00082ABF"/>
    <w:rsid w:val="00082CEA"/>
    <w:rsid w:val="00082CF3"/>
    <w:rsid w:val="00082F98"/>
    <w:rsid w:val="000830C7"/>
    <w:rsid w:val="00083420"/>
    <w:rsid w:val="00083529"/>
    <w:rsid w:val="000836C1"/>
    <w:rsid w:val="00083720"/>
    <w:rsid w:val="0008372A"/>
    <w:rsid w:val="0008372C"/>
    <w:rsid w:val="000838BD"/>
    <w:rsid w:val="000838F4"/>
    <w:rsid w:val="00083A06"/>
    <w:rsid w:val="00083C0A"/>
    <w:rsid w:val="00083C9B"/>
    <w:rsid w:val="00083F4E"/>
    <w:rsid w:val="0008409B"/>
    <w:rsid w:val="000842C1"/>
    <w:rsid w:val="000842C9"/>
    <w:rsid w:val="00084470"/>
    <w:rsid w:val="0008447D"/>
    <w:rsid w:val="00084672"/>
    <w:rsid w:val="000846B5"/>
    <w:rsid w:val="0008470E"/>
    <w:rsid w:val="000848A8"/>
    <w:rsid w:val="00084AD6"/>
    <w:rsid w:val="00084B84"/>
    <w:rsid w:val="00084D4C"/>
    <w:rsid w:val="00084DC9"/>
    <w:rsid w:val="00084F3B"/>
    <w:rsid w:val="00084F53"/>
    <w:rsid w:val="00084FD5"/>
    <w:rsid w:val="0008507A"/>
    <w:rsid w:val="00085162"/>
    <w:rsid w:val="0008526A"/>
    <w:rsid w:val="0008527B"/>
    <w:rsid w:val="00085355"/>
    <w:rsid w:val="00085365"/>
    <w:rsid w:val="00085451"/>
    <w:rsid w:val="000856B0"/>
    <w:rsid w:val="000856D5"/>
    <w:rsid w:val="00085797"/>
    <w:rsid w:val="00085D03"/>
    <w:rsid w:val="00085E15"/>
    <w:rsid w:val="00085F33"/>
    <w:rsid w:val="0008612A"/>
    <w:rsid w:val="00086130"/>
    <w:rsid w:val="000863E5"/>
    <w:rsid w:val="00086563"/>
    <w:rsid w:val="0008661A"/>
    <w:rsid w:val="000867DA"/>
    <w:rsid w:val="00086885"/>
    <w:rsid w:val="00086DDE"/>
    <w:rsid w:val="00086EDB"/>
    <w:rsid w:val="000875A9"/>
    <w:rsid w:val="00087631"/>
    <w:rsid w:val="000876CA"/>
    <w:rsid w:val="000877DD"/>
    <w:rsid w:val="0008782E"/>
    <w:rsid w:val="00087940"/>
    <w:rsid w:val="000879B5"/>
    <w:rsid w:val="00087A7B"/>
    <w:rsid w:val="00087AFB"/>
    <w:rsid w:val="00087BA2"/>
    <w:rsid w:val="00087C9B"/>
    <w:rsid w:val="00087CE4"/>
    <w:rsid w:val="00087CF6"/>
    <w:rsid w:val="00087F2A"/>
    <w:rsid w:val="000900A8"/>
    <w:rsid w:val="000903B7"/>
    <w:rsid w:val="00090439"/>
    <w:rsid w:val="0009065E"/>
    <w:rsid w:val="00090677"/>
    <w:rsid w:val="0009068A"/>
    <w:rsid w:val="000906E2"/>
    <w:rsid w:val="00090702"/>
    <w:rsid w:val="00090ED9"/>
    <w:rsid w:val="00090EDD"/>
    <w:rsid w:val="00090FFC"/>
    <w:rsid w:val="000910CD"/>
    <w:rsid w:val="00091148"/>
    <w:rsid w:val="000911E0"/>
    <w:rsid w:val="00091222"/>
    <w:rsid w:val="00091327"/>
    <w:rsid w:val="00091385"/>
    <w:rsid w:val="00091428"/>
    <w:rsid w:val="000915B4"/>
    <w:rsid w:val="00091690"/>
    <w:rsid w:val="00091737"/>
    <w:rsid w:val="000919EE"/>
    <w:rsid w:val="00091A70"/>
    <w:rsid w:val="00091AE1"/>
    <w:rsid w:val="00091CBD"/>
    <w:rsid w:val="00091DAF"/>
    <w:rsid w:val="00091E8D"/>
    <w:rsid w:val="00092052"/>
    <w:rsid w:val="00092125"/>
    <w:rsid w:val="00092189"/>
    <w:rsid w:val="000921EC"/>
    <w:rsid w:val="0009232E"/>
    <w:rsid w:val="000924CF"/>
    <w:rsid w:val="0009262F"/>
    <w:rsid w:val="00092744"/>
    <w:rsid w:val="000928A3"/>
    <w:rsid w:val="00092914"/>
    <w:rsid w:val="00092AED"/>
    <w:rsid w:val="00092AF3"/>
    <w:rsid w:val="00092D15"/>
    <w:rsid w:val="00092E9C"/>
    <w:rsid w:val="00092FFF"/>
    <w:rsid w:val="0009310F"/>
    <w:rsid w:val="00093230"/>
    <w:rsid w:val="00093300"/>
    <w:rsid w:val="000933D0"/>
    <w:rsid w:val="000933E7"/>
    <w:rsid w:val="00093531"/>
    <w:rsid w:val="000936AD"/>
    <w:rsid w:val="000936C6"/>
    <w:rsid w:val="000936F4"/>
    <w:rsid w:val="0009389B"/>
    <w:rsid w:val="0009389F"/>
    <w:rsid w:val="00093AE6"/>
    <w:rsid w:val="00093B80"/>
    <w:rsid w:val="00093CDA"/>
    <w:rsid w:val="00094040"/>
    <w:rsid w:val="00094057"/>
    <w:rsid w:val="000940A5"/>
    <w:rsid w:val="0009443F"/>
    <w:rsid w:val="00094446"/>
    <w:rsid w:val="0009445B"/>
    <w:rsid w:val="00094583"/>
    <w:rsid w:val="0009458D"/>
    <w:rsid w:val="000945D0"/>
    <w:rsid w:val="000945DD"/>
    <w:rsid w:val="000945F8"/>
    <w:rsid w:val="00094643"/>
    <w:rsid w:val="000948D9"/>
    <w:rsid w:val="00094A1C"/>
    <w:rsid w:val="00094B78"/>
    <w:rsid w:val="00094B93"/>
    <w:rsid w:val="00094BBD"/>
    <w:rsid w:val="00094F85"/>
    <w:rsid w:val="00095041"/>
    <w:rsid w:val="0009504E"/>
    <w:rsid w:val="00095056"/>
    <w:rsid w:val="0009527B"/>
    <w:rsid w:val="0009550B"/>
    <w:rsid w:val="0009555D"/>
    <w:rsid w:val="00095566"/>
    <w:rsid w:val="0009557B"/>
    <w:rsid w:val="000955D9"/>
    <w:rsid w:val="00095847"/>
    <w:rsid w:val="00095900"/>
    <w:rsid w:val="00095946"/>
    <w:rsid w:val="000959C7"/>
    <w:rsid w:val="00095AE3"/>
    <w:rsid w:val="00095AFB"/>
    <w:rsid w:val="00095B4C"/>
    <w:rsid w:val="00095C3D"/>
    <w:rsid w:val="00095C71"/>
    <w:rsid w:val="00095CB3"/>
    <w:rsid w:val="00095D70"/>
    <w:rsid w:val="00095D7D"/>
    <w:rsid w:val="00095EB8"/>
    <w:rsid w:val="00095F8D"/>
    <w:rsid w:val="00096363"/>
    <w:rsid w:val="00096415"/>
    <w:rsid w:val="0009648F"/>
    <w:rsid w:val="000964CA"/>
    <w:rsid w:val="00096551"/>
    <w:rsid w:val="0009658D"/>
    <w:rsid w:val="000965A9"/>
    <w:rsid w:val="000966B9"/>
    <w:rsid w:val="0009681F"/>
    <w:rsid w:val="00096960"/>
    <w:rsid w:val="00096A1A"/>
    <w:rsid w:val="00096B23"/>
    <w:rsid w:val="00096C80"/>
    <w:rsid w:val="00096CBA"/>
    <w:rsid w:val="0009704C"/>
    <w:rsid w:val="000972D3"/>
    <w:rsid w:val="000974A1"/>
    <w:rsid w:val="000974C7"/>
    <w:rsid w:val="00097532"/>
    <w:rsid w:val="0009767D"/>
    <w:rsid w:val="00097766"/>
    <w:rsid w:val="00097963"/>
    <w:rsid w:val="00097B50"/>
    <w:rsid w:val="00097BCD"/>
    <w:rsid w:val="00097CB5"/>
    <w:rsid w:val="00097CF3"/>
    <w:rsid w:val="00097E32"/>
    <w:rsid w:val="00097FA6"/>
    <w:rsid w:val="00097FB4"/>
    <w:rsid w:val="000A0040"/>
    <w:rsid w:val="000A0457"/>
    <w:rsid w:val="000A05F8"/>
    <w:rsid w:val="000A0693"/>
    <w:rsid w:val="000A06EC"/>
    <w:rsid w:val="000A0773"/>
    <w:rsid w:val="000A07CC"/>
    <w:rsid w:val="000A0AEF"/>
    <w:rsid w:val="000A0D09"/>
    <w:rsid w:val="000A0DC6"/>
    <w:rsid w:val="000A0EB3"/>
    <w:rsid w:val="000A0F87"/>
    <w:rsid w:val="000A0FF9"/>
    <w:rsid w:val="000A102F"/>
    <w:rsid w:val="000A13F6"/>
    <w:rsid w:val="000A1997"/>
    <w:rsid w:val="000A1AE2"/>
    <w:rsid w:val="000A1B0E"/>
    <w:rsid w:val="000A1C2E"/>
    <w:rsid w:val="000A1D33"/>
    <w:rsid w:val="000A1D55"/>
    <w:rsid w:val="000A1F64"/>
    <w:rsid w:val="000A1FF6"/>
    <w:rsid w:val="000A219A"/>
    <w:rsid w:val="000A258C"/>
    <w:rsid w:val="000A264F"/>
    <w:rsid w:val="000A291D"/>
    <w:rsid w:val="000A2E0C"/>
    <w:rsid w:val="000A2EE2"/>
    <w:rsid w:val="000A2F46"/>
    <w:rsid w:val="000A3032"/>
    <w:rsid w:val="000A315C"/>
    <w:rsid w:val="000A32F5"/>
    <w:rsid w:val="000A3575"/>
    <w:rsid w:val="000A3590"/>
    <w:rsid w:val="000A38FA"/>
    <w:rsid w:val="000A3A4D"/>
    <w:rsid w:val="000A3BB3"/>
    <w:rsid w:val="000A3F34"/>
    <w:rsid w:val="000A3F93"/>
    <w:rsid w:val="000A4431"/>
    <w:rsid w:val="000A446D"/>
    <w:rsid w:val="000A457F"/>
    <w:rsid w:val="000A4697"/>
    <w:rsid w:val="000A4BBE"/>
    <w:rsid w:val="000A4C2A"/>
    <w:rsid w:val="000A4C53"/>
    <w:rsid w:val="000A4D17"/>
    <w:rsid w:val="000A4DEF"/>
    <w:rsid w:val="000A4F59"/>
    <w:rsid w:val="000A4FA6"/>
    <w:rsid w:val="000A5158"/>
    <w:rsid w:val="000A52A7"/>
    <w:rsid w:val="000A5390"/>
    <w:rsid w:val="000A53FA"/>
    <w:rsid w:val="000A541F"/>
    <w:rsid w:val="000A5528"/>
    <w:rsid w:val="000A5533"/>
    <w:rsid w:val="000A5572"/>
    <w:rsid w:val="000A56B7"/>
    <w:rsid w:val="000A56DE"/>
    <w:rsid w:val="000A570A"/>
    <w:rsid w:val="000A5B22"/>
    <w:rsid w:val="000A5B57"/>
    <w:rsid w:val="000A5BA0"/>
    <w:rsid w:val="000A5CB2"/>
    <w:rsid w:val="000A5DC9"/>
    <w:rsid w:val="000A5EBF"/>
    <w:rsid w:val="000A5F2D"/>
    <w:rsid w:val="000A630D"/>
    <w:rsid w:val="000A6361"/>
    <w:rsid w:val="000A64D0"/>
    <w:rsid w:val="000A6561"/>
    <w:rsid w:val="000A6673"/>
    <w:rsid w:val="000A6882"/>
    <w:rsid w:val="000A68B1"/>
    <w:rsid w:val="000A6B3C"/>
    <w:rsid w:val="000A6B8C"/>
    <w:rsid w:val="000A6C12"/>
    <w:rsid w:val="000A6FC1"/>
    <w:rsid w:val="000A70E9"/>
    <w:rsid w:val="000A718F"/>
    <w:rsid w:val="000A7302"/>
    <w:rsid w:val="000A732E"/>
    <w:rsid w:val="000A73C6"/>
    <w:rsid w:val="000A74D0"/>
    <w:rsid w:val="000A756C"/>
    <w:rsid w:val="000A75DF"/>
    <w:rsid w:val="000A760E"/>
    <w:rsid w:val="000A7838"/>
    <w:rsid w:val="000A7844"/>
    <w:rsid w:val="000A7999"/>
    <w:rsid w:val="000A79EC"/>
    <w:rsid w:val="000A7BB6"/>
    <w:rsid w:val="000A7E70"/>
    <w:rsid w:val="000B02C4"/>
    <w:rsid w:val="000B045B"/>
    <w:rsid w:val="000B0467"/>
    <w:rsid w:val="000B06C9"/>
    <w:rsid w:val="000B07A5"/>
    <w:rsid w:val="000B08F2"/>
    <w:rsid w:val="000B0AC6"/>
    <w:rsid w:val="000B0D3E"/>
    <w:rsid w:val="000B0D69"/>
    <w:rsid w:val="000B0E42"/>
    <w:rsid w:val="000B0EBC"/>
    <w:rsid w:val="000B0F9E"/>
    <w:rsid w:val="000B1273"/>
    <w:rsid w:val="000B12AB"/>
    <w:rsid w:val="000B132B"/>
    <w:rsid w:val="000B1351"/>
    <w:rsid w:val="000B14E1"/>
    <w:rsid w:val="000B156F"/>
    <w:rsid w:val="000B16E3"/>
    <w:rsid w:val="000B1814"/>
    <w:rsid w:val="000B1D35"/>
    <w:rsid w:val="000B1D61"/>
    <w:rsid w:val="000B1DDC"/>
    <w:rsid w:val="000B1E38"/>
    <w:rsid w:val="000B1F6C"/>
    <w:rsid w:val="000B20AD"/>
    <w:rsid w:val="000B218B"/>
    <w:rsid w:val="000B2214"/>
    <w:rsid w:val="000B22F0"/>
    <w:rsid w:val="000B22F6"/>
    <w:rsid w:val="000B2347"/>
    <w:rsid w:val="000B235E"/>
    <w:rsid w:val="000B239C"/>
    <w:rsid w:val="000B244C"/>
    <w:rsid w:val="000B2459"/>
    <w:rsid w:val="000B2654"/>
    <w:rsid w:val="000B265E"/>
    <w:rsid w:val="000B288A"/>
    <w:rsid w:val="000B2A74"/>
    <w:rsid w:val="000B2B35"/>
    <w:rsid w:val="000B2C7F"/>
    <w:rsid w:val="000B2E7C"/>
    <w:rsid w:val="000B2F1A"/>
    <w:rsid w:val="000B2F1E"/>
    <w:rsid w:val="000B2F1F"/>
    <w:rsid w:val="000B2FDB"/>
    <w:rsid w:val="000B32B2"/>
    <w:rsid w:val="000B33E7"/>
    <w:rsid w:val="000B3460"/>
    <w:rsid w:val="000B3471"/>
    <w:rsid w:val="000B3616"/>
    <w:rsid w:val="000B3623"/>
    <w:rsid w:val="000B36C8"/>
    <w:rsid w:val="000B399E"/>
    <w:rsid w:val="000B3AE9"/>
    <w:rsid w:val="000B3DD3"/>
    <w:rsid w:val="000B3FC2"/>
    <w:rsid w:val="000B4147"/>
    <w:rsid w:val="000B415C"/>
    <w:rsid w:val="000B42B2"/>
    <w:rsid w:val="000B42B7"/>
    <w:rsid w:val="000B4359"/>
    <w:rsid w:val="000B43D8"/>
    <w:rsid w:val="000B44B8"/>
    <w:rsid w:val="000B4576"/>
    <w:rsid w:val="000B4A53"/>
    <w:rsid w:val="000B4AA2"/>
    <w:rsid w:val="000B4C3C"/>
    <w:rsid w:val="000B4CAB"/>
    <w:rsid w:val="000B4D33"/>
    <w:rsid w:val="000B4E72"/>
    <w:rsid w:val="000B4EB9"/>
    <w:rsid w:val="000B4F1F"/>
    <w:rsid w:val="000B515F"/>
    <w:rsid w:val="000B5215"/>
    <w:rsid w:val="000B522B"/>
    <w:rsid w:val="000B5315"/>
    <w:rsid w:val="000B5379"/>
    <w:rsid w:val="000B5466"/>
    <w:rsid w:val="000B5575"/>
    <w:rsid w:val="000B55BD"/>
    <w:rsid w:val="000B55DB"/>
    <w:rsid w:val="000B5768"/>
    <w:rsid w:val="000B57AB"/>
    <w:rsid w:val="000B57EE"/>
    <w:rsid w:val="000B5933"/>
    <w:rsid w:val="000B5AD0"/>
    <w:rsid w:val="000B5E5B"/>
    <w:rsid w:val="000B5F62"/>
    <w:rsid w:val="000B5FAC"/>
    <w:rsid w:val="000B5FDD"/>
    <w:rsid w:val="000B60A7"/>
    <w:rsid w:val="000B60F6"/>
    <w:rsid w:val="000B618C"/>
    <w:rsid w:val="000B6306"/>
    <w:rsid w:val="000B6679"/>
    <w:rsid w:val="000B66D2"/>
    <w:rsid w:val="000B6774"/>
    <w:rsid w:val="000B677C"/>
    <w:rsid w:val="000B686D"/>
    <w:rsid w:val="000B68A4"/>
    <w:rsid w:val="000B691B"/>
    <w:rsid w:val="000B6946"/>
    <w:rsid w:val="000B69EC"/>
    <w:rsid w:val="000B6AE3"/>
    <w:rsid w:val="000B6B6E"/>
    <w:rsid w:val="000B6DBE"/>
    <w:rsid w:val="000B6DC7"/>
    <w:rsid w:val="000B6E11"/>
    <w:rsid w:val="000B6EF0"/>
    <w:rsid w:val="000B7040"/>
    <w:rsid w:val="000B70C5"/>
    <w:rsid w:val="000B70D0"/>
    <w:rsid w:val="000B72E0"/>
    <w:rsid w:val="000B72EF"/>
    <w:rsid w:val="000B72FD"/>
    <w:rsid w:val="000B7513"/>
    <w:rsid w:val="000B758B"/>
    <w:rsid w:val="000B776B"/>
    <w:rsid w:val="000B7872"/>
    <w:rsid w:val="000B78CA"/>
    <w:rsid w:val="000B79A2"/>
    <w:rsid w:val="000B7A8C"/>
    <w:rsid w:val="000B7CF5"/>
    <w:rsid w:val="000B7D49"/>
    <w:rsid w:val="000B7E3D"/>
    <w:rsid w:val="000C02B0"/>
    <w:rsid w:val="000C0374"/>
    <w:rsid w:val="000C05F9"/>
    <w:rsid w:val="000C092C"/>
    <w:rsid w:val="000C0BEF"/>
    <w:rsid w:val="000C0E42"/>
    <w:rsid w:val="000C0E92"/>
    <w:rsid w:val="000C0ECB"/>
    <w:rsid w:val="000C0F5D"/>
    <w:rsid w:val="000C10EA"/>
    <w:rsid w:val="000C116B"/>
    <w:rsid w:val="000C127D"/>
    <w:rsid w:val="000C12A4"/>
    <w:rsid w:val="000C1377"/>
    <w:rsid w:val="000C1434"/>
    <w:rsid w:val="000C1509"/>
    <w:rsid w:val="000C15F5"/>
    <w:rsid w:val="000C1644"/>
    <w:rsid w:val="000C1911"/>
    <w:rsid w:val="000C193C"/>
    <w:rsid w:val="000C1A33"/>
    <w:rsid w:val="000C1D35"/>
    <w:rsid w:val="000C1DE1"/>
    <w:rsid w:val="000C1E4F"/>
    <w:rsid w:val="000C1FB7"/>
    <w:rsid w:val="000C2187"/>
    <w:rsid w:val="000C22B2"/>
    <w:rsid w:val="000C240C"/>
    <w:rsid w:val="000C259C"/>
    <w:rsid w:val="000C27C1"/>
    <w:rsid w:val="000C2964"/>
    <w:rsid w:val="000C2ABF"/>
    <w:rsid w:val="000C2C19"/>
    <w:rsid w:val="000C2CB3"/>
    <w:rsid w:val="000C2DC3"/>
    <w:rsid w:val="000C2E10"/>
    <w:rsid w:val="000C3004"/>
    <w:rsid w:val="000C3259"/>
    <w:rsid w:val="000C325C"/>
    <w:rsid w:val="000C3322"/>
    <w:rsid w:val="000C34BC"/>
    <w:rsid w:val="000C3500"/>
    <w:rsid w:val="000C359B"/>
    <w:rsid w:val="000C363D"/>
    <w:rsid w:val="000C36E8"/>
    <w:rsid w:val="000C36FD"/>
    <w:rsid w:val="000C39F4"/>
    <w:rsid w:val="000C3AFF"/>
    <w:rsid w:val="000C3C64"/>
    <w:rsid w:val="000C3C93"/>
    <w:rsid w:val="000C3CF8"/>
    <w:rsid w:val="000C4014"/>
    <w:rsid w:val="000C40AA"/>
    <w:rsid w:val="000C41B1"/>
    <w:rsid w:val="000C4219"/>
    <w:rsid w:val="000C462A"/>
    <w:rsid w:val="000C4839"/>
    <w:rsid w:val="000C4983"/>
    <w:rsid w:val="000C4A45"/>
    <w:rsid w:val="000C4B5D"/>
    <w:rsid w:val="000C4C36"/>
    <w:rsid w:val="000C4C37"/>
    <w:rsid w:val="000C4C74"/>
    <w:rsid w:val="000C4D4A"/>
    <w:rsid w:val="000C4DA2"/>
    <w:rsid w:val="000C4DF5"/>
    <w:rsid w:val="000C4F77"/>
    <w:rsid w:val="000C5060"/>
    <w:rsid w:val="000C51F7"/>
    <w:rsid w:val="000C5226"/>
    <w:rsid w:val="000C5252"/>
    <w:rsid w:val="000C5280"/>
    <w:rsid w:val="000C5406"/>
    <w:rsid w:val="000C5508"/>
    <w:rsid w:val="000C5521"/>
    <w:rsid w:val="000C556D"/>
    <w:rsid w:val="000C56E3"/>
    <w:rsid w:val="000C59A6"/>
    <w:rsid w:val="000C59D2"/>
    <w:rsid w:val="000C5D9F"/>
    <w:rsid w:val="000C600A"/>
    <w:rsid w:val="000C6205"/>
    <w:rsid w:val="000C66A8"/>
    <w:rsid w:val="000C66EC"/>
    <w:rsid w:val="000C67B1"/>
    <w:rsid w:val="000C67D2"/>
    <w:rsid w:val="000C6951"/>
    <w:rsid w:val="000C698C"/>
    <w:rsid w:val="000C6A22"/>
    <w:rsid w:val="000C6A29"/>
    <w:rsid w:val="000C6A30"/>
    <w:rsid w:val="000C6C53"/>
    <w:rsid w:val="000C6D7A"/>
    <w:rsid w:val="000C6E5D"/>
    <w:rsid w:val="000C6EF0"/>
    <w:rsid w:val="000C6FA6"/>
    <w:rsid w:val="000C7048"/>
    <w:rsid w:val="000C7189"/>
    <w:rsid w:val="000C71D6"/>
    <w:rsid w:val="000C72D4"/>
    <w:rsid w:val="000C72F4"/>
    <w:rsid w:val="000C738A"/>
    <w:rsid w:val="000C739E"/>
    <w:rsid w:val="000C7523"/>
    <w:rsid w:val="000C7751"/>
    <w:rsid w:val="000C7A00"/>
    <w:rsid w:val="000C7A76"/>
    <w:rsid w:val="000C7A9B"/>
    <w:rsid w:val="000C7C07"/>
    <w:rsid w:val="000C7C6B"/>
    <w:rsid w:val="000C7FEB"/>
    <w:rsid w:val="000D001A"/>
    <w:rsid w:val="000D0199"/>
    <w:rsid w:val="000D023F"/>
    <w:rsid w:val="000D03ED"/>
    <w:rsid w:val="000D0444"/>
    <w:rsid w:val="000D0549"/>
    <w:rsid w:val="000D068C"/>
    <w:rsid w:val="000D0868"/>
    <w:rsid w:val="000D08D0"/>
    <w:rsid w:val="000D0944"/>
    <w:rsid w:val="000D0954"/>
    <w:rsid w:val="000D0AEF"/>
    <w:rsid w:val="000D0B31"/>
    <w:rsid w:val="000D0DCC"/>
    <w:rsid w:val="000D0F8C"/>
    <w:rsid w:val="000D102D"/>
    <w:rsid w:val="000D115B"/>
    <w:rsid w:val="000D1163"/>
    <w:rsid w:val="000D12DB"/>
    <w:rsid w:val="000D1669"/>
    <w:rsid w:val="000D16D5"/>
    <w:rsid w:val="000D183B"/>
    <w:rsid w:val="000D1859"/>
    <w:rsid w:val="000D195E"/>
    <w:rsid w:val="000D1ABF"/>
    <w:rsid w:val="000D1B21"/>
    <w:rsid w:val="000D1F16"/>
    <w:rsid w:val="000D2062"/>
    <w:rsid w:val="000D2283"/>
    <w:rsid w:val="000D231A"/>
    <w:rsid w:val="000D2324"/>
    <w:rsid w:val="000D232D"/>
    <w:rsid w:val="000D2454"/>
    <w:rsid w:val="000D245D"/>
    <w:rsid w:val="000D27D6"/>
    <w:rsid w:val="000D28E6"/>
    <w:rsid w:val="000D2952"/>
    <w:rsid w:val="000D296C"/>
    <w:rsid w:val="000D2C2D"/>
    <w:rsid w:val="000D2DB6"/>
    <w:rsid w:val="000D3046"/>
    <w:rsid w:val="000D3142"/>
    <w:rsid w:val="000D31E9"/>
    <w:rsid w:val="000D325D"/>
    <w:rsid w:val="000D3319"/>
    <w:rsid w:val="000D33FB"/>
    <w:rsid w:val="000D355B"/>
    <w:rsid w:val="000D3586"/>
    <w:rsid w:val="000D364A"/>
    <w:rsid w:val="000D36C2"/>
    <w:rsid w:val="000D36D7"/>
    <w:rsid w:val="000D36E2"/>
    <w:rsid w:val="000D36FE"/>
    <w:rsid w:val="000D3823"/>
    <w:rsid w:val="000D3A8C"/>
    <w:rsid w:val="000D3B28"/>
    <w:rsid w:val="000D3B5F"/>
    <w:rsid w:val="000D3D34"/>
    <w:rsid w:val="000D3D3B"/>
    <w:rsid w:val="000D3E17"/>
    <w:rsid w:val="000D40B4"/>
    <w:rsid w:val="000D4149"/>
    <w:rsid w:val="000D42CD"/>
    <w:rsid w:val="000D4408"/>
    <w:rsid w:val="000D4553"/>
    <w:rsid w:val="000D465D"/>
    <w:rsid w:val="000D4745"/>
    <w:rsid w:val="000D47BA"/>
    <w:rsid w:val="000D47D5"/>
    <w:rsid w:val="000D48B1"/>
    <w:rsid w:val="000D4929"/>
    <w:rsid w:val="000D495D"/>
    <w:rsid w:val="000D49A3"/>
    <w:rsid w:val="000D4A16"/>
    <w:rsid w:val="000D4B5D"/>
    <w:rsid w:val="000D4C8E"/>
    <w:rsid w:val="000D4E3B"/>
    <w:rsid w:val="000D4EC5"/>
    <w:rsid w:val="000D4F4B"/>
    <w:rsid w:val="000D4FBF"/>
    <w:rsid w:val="000D5076"/>
    <w:rsid w:val="000D519D"/>
    <w:rsid w:val="000D52AC"/>
    <w:rsid w:val="000D52D9"/>
    <w:rsid w:val="000D535C"/>
    <w:rsid w:val="000D5488"/>
    <w:rsid w:val="000D54AA"/>
    <w:rsid w:val="000D55EC"/>
    <w:rsid w:val="000D5673"/>
    <w:rsid w:val="000D57D8"/>
    <w:rsid w:val="000D598F"/>
    <w:rsid w:val="000D5B93"/>
    <w:rsid w:val="000D5C51"/>
    <w:rsid w:val="000D5EEC"/>
    <w:rsid w:val="000D6053"/>
    <w:rsid w:val="000D60C5"/>
    <w:rsid w:val="000D6246"/>
    <w:rsid w:val="000D6266"/>
    <w:rsid w:val="000D6681"/>
    <w:rsid w:val="000D66CE"/>
    <w:rsid w:val="000D69BB"/>
    <w:rsid w:val="000D6B88"/>
    <w:rsid w:val="000D6D26"/>
    <w:rsid w:val="000D6DC7"/>
    <w:rsid w:val="000D6FEC"/>
    <w:rsid w:val="000D7003"/>
    <w:rsid w:val="000D711F"/>
    <w:rsid w:val="000D7140"/>
    <w:rsid w:val="000D7149"/>
    <w:rsid w:val="000D71CD"/>
    <w:rsid w:val="000D733F"/>
    <w:rsid w:val="000D7413"/>
    <w:rsid w:val="000D7601"/>
    <w:rsid w:val="000D7AEC"/>
    <w:rsid w:val="000D7BD1"/>
    <w:rsid w:val="000D7BDF"/>
    <w:rsid w:val="000D7D1A"/>
    <w:rsid w:val="000D7EE8"/>
    <w:rsid w:val="000E01F6"/>
    <w:rsid w:val="000E0532"/>
    <w:rsid w:val="000E0653"/>
    <w:rsid w:val="000E09DD"/>
    <w:rsid w:val="000E0B50"/>
    <w:rsid w:val="000E0BD8"/>
    <w:rsid w:val="000E0BDE"/>
    <w:rsid w:val="000E0D0F"/>
    <w:rsid w:val="000E0D24"/>
    <w:rsid w:val="000E0D4C"/>
    <w:rsid w:val="000E0EC2"/>
    <w:rsid w:val="000E1077"/>
    <w:rsid w:val="000E135D"/>
    <w:rsid w:val="000E13EC"/>
    <w:rsid w:val="000E14DE"/>
    <w:rsid w:val="000E15B8"/>
    <w:rsid w:val="000E15F5"/>
    <w:rsid w:val="000E1753"/>
    <w:rsid w:val="000E17DF"/>
    <w:rsid w:val="000E1AC3"/>
    <w:rsid w:val="000E1E45"/>
    <w:rsid w:val="000E210A"/>
    <w:rsid w:val="000E2125"/>
    <w:rsid w:val="000E2164"/>
    <w:rsid w:val="000E21BA"/>
    <w:rsid w:val="000E21BD"/>
    <w:rsid w:val="000E21C6"/>
    <w:rsid w:val="000E230D"/>
    <w:rsid w:val="000E24D2"/>
    <w:rsid w:val="000E25EE"/>
    <w:rsid w:val="000E260D"/>
    <w:rsid w:val="000E26F4"/>
    <w:rsid w:val="000E27F1"/>
    <w:rsid w:val="000E29A8"/>
    <w:rsid w:val="000E2ADF"/>
    <w:rsid w:val="000E2AE9"/>
    <w:rsid w:val="000E2B52"/>
    <w:rsid w:val="000E2B6C"/>
    <w:rsid w:val="000E2D5C"/>
    <w:rsid w:val="000E2D96"/>
    <w:rsid w:val="000E3061"/>
    <w:rsid w:val="000E30F1"/>
    <w:rsid w:val="000E3170"/>
    <w:rsid w:val="000E31EA"/>
    <w:rsid w:val="000E35FC"/>
    <w:rsid w:val="000E3801"/>
    <w:rsid w:val="000E38A2"/>
    <w:rsid w:val="000E396F"/>
    <w:rsid w:val="000E3C7D"/>
    <w:rsid w:val="000E3CA5"/>
    <w:rsid w:val="000E3E65"/>
    <w:rsid w:val="000E4208"/>
    <w:rsid w:val="000E4227"/>
    <w:rsid w:val="000E432E"/>
    <w:rsid w:val="000E44B0"/>
    <w:rsid w:val="000E44FA"/>
    <w:rsid w:val="000E45CF"/>
    <w:rsid w:val="000E46B5"/>
    <w:rsid w:val="000E487A"/>
    <w:rsid w:val="000E4BDB"/>
    <w:rsid w:val="000E4C14"/>
    <w:rsid w:val="000E4C4E"/>
    <w:rsid w:val="000E4CD8"/>
    <w:rsid w:val="000E4F42"/>
    <w:rsid w:val="000E50B0"/>
    <w:rsid w:val="000E510C"/>
    <w:rsid w:val="000E5162"/>
    <w:rsid w:val="000E525C"/>
    <w:rsid w:val="000E54CE"/>
    <w:rsid w:val="000E55A9"/>
    <w:rsid w:val="000E5762"/>
    <w:rsid w:val="000E588E"/>
    <w:rsid w:val="000E5A63"/>
    <w:rsid w:val="000E5DFD"/>
    <w:rsid w:val="000E5FF1"/>
    <w:rsid w:val="000E60E7"/>
    <w:rsid w:val="000E6195"/>
    <w:rsid w:val="000E635A"/>
    <w:rsid w:val="000E6547"/>
    <w:rsid w:val="000E65FA"/>
    <w:rsid w:val="000E66C0"/>
    <w:rsid w:val="000E6A0A"/>
    <w:rsid w:val="000E6C22"/>
    <w:rsid w:val="000E6C3A"/>
    <w:rsid w:val="000E6D9F"/>
    <w:rsid w:val="000E7145"/>
    <w:rsid w:val="000E717A"/>
    <w:rsid w:val="000E72CB"/>
    <w:rsid w:val="000E7435"/>
    <w:rsid w:val="000E745B"/>
    <w:rsid w:val="000E76FC"/>
    <w:rsid w:val="000E77B0"/>
    <w:rsid w:val="000E77B2"/>
    <w:rsid w:val="000E7915"/>
    <w:rsid w:val="000E79A6"/>
    <w:rsid w:val="000E7D18"/>
    <w:rsid w:val="000E7E94"/>
    <w:rsid w:val="000E7FB5"/>
    <w:rsid w:val="000F0032"/>
    <w:rsid w:val="000F0186"/>
    <w:rsid w:val="000F01ED"/>
    <w:rsid w:val="000F0774"/>
    <w:rsid w:val="000F090D"/>
    <w:rsid w:val="000F0A2D"/>
    <w:rsid w:val="000F0A98"/>
    <w:rsid w:val="000F0BF9"/>
    <w:rsid w:val="000F0C62"/>
    <w:rsid w:val="000F0C9E"/>
    <w:rsid w:val="000F0D57"/>
    <w:rsid w:val="000F10BC"/>
    <w:rsid w:val="000F10E7"/>
    <w:rsid w:val="000F11F0"/>
    <w:rsid w:val="000F148F"/>
    <w:rsid w:val="000F1BB4"/>
    <w:rsid w:val="000F1CC4"/>
    <w:rsid w:val="000F1D23"/>
    <w:rsid w:val="000F1D25"/>
    <w:rsid w:val="000F1E17"/>
    <w:rsid w:val="000F2077"/>
    <w:rsid w:val="000F2211"/>
    <w:rsid w:val="000F2422"/>
    <w:rsid w:val="000F245F"/>
    <w:rsid w:val="000F2484"/>
    <w:rsid w:val="000F2544"/>
    <w:rsid w:val="000F25D5"/>
    <w:rsid w:val="000F2994"/>
    <w:rsid w:val="000F2AD1"/>
    <w:rsid w:val="000F2BCA"/>
    <w:rsid w:val="000F2D8C"/>
    <w:rsid w:val="000F2E2F"/>
    <w:rsid w:val="000F2F3F"/>
    <w:rsid w:val="000F2F42"/>
    <w:rsid w:val="000F2F51"/>
    <w:rsid w:val="000F2F58"/>
    <w:rsid w:val="000F2FBD"/>
    <w:rsid w:val="000F3108"/>
    <w:rsid w:val="000F31F8"/>
    <w:rsid w:val="000F340F"/>
    <w:rsid w:val="000F3426"/>
    <w:rsid w:val="000F34B1"/>
    <w:rsid w:val="000F3533"/>
    <w:rsid w:val="000F3544"/>
    <w:rsid w:val="000F373D"/>
    <w:rsid w:val="000F3ADA"/>
    <w:rsid w:val="000F3B4E"/>
    <w:rsid w:val="000F3C12"/>
    <w:rsid w:val="000F3CC2"/>
    <w:rsid w:val="000F3EAD"/>
    <w:rsid w:val="000F3F69"/>
    <w:rsid w:val="000F4234"/>
    <w:rsid w:val="000F44A7"/>
    <w:rsid w:val="000F4586"/>
    <w:rsid w:val="000F464A"/>
    <w:rsid w:val="000F48DD"/>
    <w:rsid w:val="000F4A62"/>
    <w:rsid w:val="000F4BA2"/>
    <w:rsid w:val="000F4C7F"/>
    <w:rsid w:val="000F4CE8"/>
    <w:rsid w:val="000F4D63"/>
    <w:rsid w:val="000F4E11"/>
    <w:rsid w:val="000F4EC6"/>
    <w:rsid w:val="000F4FCA"/>
    <w:rsid w:val="000F4FFF"/>
    <w:rsid w:val="000F50E7"/>
    <w:rsid w:val="000F526C"/>
    <w:rsid w:val="000F53A3"/>
    <w:rsid w:val="000F5400"/>
    <w:rsid w:val="000F5630"/>
    <w:rsid w:val="000F57C6"/>
    <w:rsid w:val="000F5975"/>
    <w:rsid w:val="000F59B7"/>
    <w:rsid w:val="000F6021"/>
    <w:rsid w:val="000F6058"/>
    <w:rsid w:val="000F60C1"/>
    <w:rsid w:val="000F6136"/>
    <w:rsid w:val="000F61A6"/>
    <w:rsid w:val="000F6202"/>
    <w:rsid w:val="000F6239"/>
    <w:rsid w:val="000F6288"/>
    <w:rsid w:val="000F62CA"/>
    <w:rsid w:val="000F65AB"/>
    <w:rsid w:val="000F67DC"/>
    <w:rsid w:val="000F67F4"/>
    <w:rsid w:val="000F6A6E"/>
    <w:rsid w:val="000F6C30"/>
    <w:rsid w:val="000F6D21"/>
    <w:rsid w:val="000F6F67"/>
    <w:rsid w:val="000F6FC4"/>
    <w:rsid w:val="000F6FD4"/>
    <w:rsid w:val="000F70CD"/>
    <w:rsid w:val="000F73F3"/>
    <w:rsid w:val="000F74FC"/>
    <w:rsid w:val="000F752B"/>
    <w:rsid w:val="000F7561"/>
    <w:rsid w:val="000F782F"/>
    <w:rsid w:val="000F7993"/>
    <w:rsid w:val="000F7A35"/>
    <w:rsid w:val="000F7A87"/>
    <w:rsid w:val="000F7C56"/>
    <w:rsid w:val="000F7D00"/>
    <w:rsid w:val="000F7DED"/>
    <w:rsid w:val="000F7E05"/>
    <w:rsid w:val="0010032A"/>
    <w:rsid w:val="00100471"/>
    <w:rsid w:val="00100485"/>
    <w:rsid w:val="001005C7"/>
    <w:rsid w:val="0010072F"/>
    <w:rsid w:val="0010083A"/>
    <w:rsid w:val="001009AF"/>
    <w:rsid w:val="00100B1D"/>
    <w:rsid w:val="00100B2F"/>
    <w:rsid w:val="00100B69"/>
    <w:rsid w:val="00100B78"/>
    <w:rsid w:val="00100EA8"/>
    <w:rsid w:val="00100ED6"/>
    <w:rsid w:val="00100FAD"/>
    <w:rsid w:val="00101171"/>
    <w:rsid w:val="00101292"/>
    <w:rsid w:val="0010129F"/>
    <w:rsid w:val="001012F4"/>
    <w:rsid w:val="00101491"/>
    <w:rsid w:val="001014CB"/>
    <w:rsid w:val="0010160F"/>
    <w:rsid w:val="001017D4"/>
    <w:rsid w:val="001017E0"/>
    <w:rsid w:val="001018D6"/>
    <w:rsid w:val="00101954"/>
    <w:rsid w:val="001019F0"/>
    <w:rsid w:val="00101B6D"/>
    <w:rsid w:val="00101C09"/>
    <w:rsid w:val="00101CFB"/>
    <w:rsid w:val="00101D3B"/>
    <w:rsid w:val="00102357"/>
    <w:rsid w:val="00102715"/>
    <w:rsid w:val="00102718"/>
    <w:rsid w:val="0010271E"/>
    <w:rsid w:val="00102CB6"/>
    <w:rsid w:val="00102DA3"/>
    <w:rsid w:val="00102E5C"/>
    <w:rsid w:val="00102F03"/>
    <w:rsid w:val="001030CE"/>
    <w:rsid w:val="0010312A"/>
    <w:rsid w:val="001031B5"/>
    <w:rsid w:val="001031BE"/>
    <w:rsid w:val="0010323F"/>
    <w:rsid w:val="001033A7"/>
    <w:rsid w:val="0010344B"/>
    <w:rsid w:val="001034CF"/>
    <w:rsid w:val="00103764"/>
    <w:rsid w:val="001038CB"/>
    <w:rsid w:val="00103AA2"/>
    <w:rsid w:val="00103AE0"/>
    <w:rsid w:val="00103B68"/>
    <w:rsid w:val="00103D10"/>
    <w:rsid w:val="00103DA6"/>
    <w:rsid w:val="00103E64"/>
    <w:rsid w:val="00103E9A"/>
    <w:rsid w:val="00103F5C"/>
    <w:rsid w:val="00103FCD"/>
    <w:rsid w:val="0010416B"/>
    <w:rsid w:val="001041D9"/>
    <w:rsid w:val="001042E0"/>
    <w:rsid w:val="001042F6"/>
    <w:rsid w:val="0010442A"/>
    <w:rsid w:val="001044CD"/>
    <w:rsid w:val="00104638"/>
    <w:rsid w:val="00104857"/>
    <w:rsid w:val="001049D2"/>
    <w:rsid w:val="001049EB"/>
    <w:rsid w:val="001049F3"/>
    <w:rsid w:val="00104A2C"/>
    <w:rsid w:val="00104A3E"/>
    <w:rsid w:val="00104AA2"/>
    <w:rsid w:val="00104C24"/>
    <w:rsid w:val="00104DA1"/>
    <w:rsid w:val="00104EA4"/>
    <w:rsid w:val="00104EE3"/>
    <w:rsid w:val="00104F61"/>
    <w:rsid w:val="00105156"/>
    <w:rsid w:val="00105442"/>
    <w:rsid w:val="001054B8"/>
    <w:rsid w:val="00105545"/>
    <w:rsid w:val="00105553"/>
    <w:rsid w:val="001055A7"/>
    <w:rsid w:val="001055AE"/>
    <w:rsid w:val="001056BC"/>
    <w:rsid w:val="001057BC"/>
    <w:rsid w:val="00105AFE"/>
    <w:rsid w:val="00105B2E"/>
    <w:rsid w:val="00105CFC"/>
    <w:rsid w:val="00105D05"/>
    <w:rsid w:val="00105D12"/>
    <w:rsid w:val="00105F0D"/>
    <w:rsid w:val="001060AF"/>
    <w:rsid w:val="0010618D"/>
    <w:rsid w:val="0010630D"/>
    <w:rsid w:val="0010634E"/>
    <w:rsid w:val="00106385"/>
    <w:rsid w:val="001064BE"/>
    <w:rsid w:val="001066A6"/>
    <w:rsid w:val="00106A9A"/>
    <w:rsid w:val="00106B13"/>
    <w:rsid w:val="00106C12"/>
    <w:rsid w:val="00106DD3"/>
    <w:rsid w:val="001070FD"/>
    <w:rsid w:val="00107236"/>
    <w:rsid w:val="0010727F"/>
    <w:rsid w:val="001072A6"/>
    <w:rsid w:val="001072F7"/>
    <w:rsid w:val="00107535"/>
    <w:rsid w:val="00107CE4"/>
    <w:rsid w:val="00107D59"/>
    <w:rsid w:val="00107DA0"/>
    <w:rsid w:val="00107E46"/>
    <w:rsid w:val="00107E91"/>
    <w:rsid w:val="00107F34"/>
    <w:rsid w:val="00107FA9"/>
    <w:rsid w:val="00110347"/>
    <w:rsid w:val="001108E6"/>
    <w:rsid w:val="00110B66"/>
    <w:rsid w:val="00110BD1"/>
    <w:rsid w:val="00110C51"/>
    <w:rsid w:val="00110DD1"/>
    <w:rsid w:val="00110E90"/>
    <w:rsid w:val="001110B6"/>
    <w:rsid w:val="00111606"/>
    <w:rsid w:val="00111658"/>
    <w:rsid w:val="00111BBB"/>
    <w:rsid w:val="00111C2F"/>
    <w:rsid w:val="00111F91"/>
    <w:rsid w:val="001121A7"/>
    <w:rsid w:val="001123B4"/>
    <w:rsid w:val="00112410"/>
    <w:rsid w:val="0011246C"/>
    <w:rsid w:val="0011263E"/>
    <w:rsid w:val="001126D2"/>
    <w:rsid w:val="00112A70"/>
    <w:rsid w:val="00112BB2"/>
    <w:rsid w:val="00112C93"/>
    <w:rsid w:val="00112DF2"/>
    <w:rsid w:val="00112EFB"/>
    <w:rsid w:val="0011311F"/>
    <w:rsid w:val="0011314E"/>
    <w:rsid w:val="00113326"/>
    <w:rsid w:val="0011372E"/>
    <w:rsid w:val="00113848"/>
    <w:rsid w:val="0011387B"/>
    <w:rsid w:val="0011392A"/>
    <w:rsid w:val="00113B43"/>
    <w:rsid w:val="00113C75"/>
    <w:rsid w:val="00113E24"/>
    <w:rsid w:val="00114060"/>
    <w:rsid w:val="0011412D"/>
    <w:rsid w:val="0011424D"/>
    <w:rsid w:val="001142C4"/>
    <w:rsid w:val="0011431E"/>
    <w:rsid w:val="0011436E"/>
    <w:rsid w:val="00114445"/>
    <w:rsid w:val="00114492"/>
    <w:rsid w:val="0011469F"/>
    <w:rsid w:val="001146E9"/>
    <w:rsid w:val="00114751"/>
    <w:rsid w:val="0011478A"/>
    <w:rsid w:val="00114792"/>
    <w:rsid w:val="001147D4"/>
    <w:rsid w:val="001148A8"/>
    <w:rsid w:val="001148AB"/>
    <w:rsid w:val="00114976"/>
    <w:rsid w:val="001149E3"/>
    <w:rsid w:val="00114A73"/>
    <w:rsid w:val="00114AD5"/>
    <w:rsid w:val="00114D3E"/>
    <w:rsid w:val="00114D51"/>
    <w:rsid w:val="00114DE4"/>
    <w:rsid w:val="00115051"/>
    <w:rsid w:val="00115148"/>
    <w:rsid w:val="00115302"/>
    <w:rsid w:val="001153C4"/>
    <w:rsid w:val="0011540B"/>
    <w:rsid w:val="0011546B"/>
    <w:rsid w:val="001154B1"/>
    <w:rsid w:val="001156DA"/>
    <w:rsid w:val="0011571A"/>
    <w:rsid w:val="00115857"/>
    <w:rsid w:val="00115876"/>
    <w:rsid w:val="00115961"/>
    <w:rsid w:val="0011596D"/>
    <w:rsid w:val="001159C8"/>
    <w:rsid w:val="00115A60"/>
    <w:rsid w:val="00115B0C"/>
    <w:rsid w:val="00115D5E"/>
    <w:rsid w:val="00115DB5"/>
    <w:rsid w:val="00115F83"/>
    <w:rsid w:val="00116069"/>
    <w:rsid w:val="0011615A"/>
    <w:rsid w:val="001161A3"/>
    <w:rsid w:val="0011637A"/>
    <w:rsid w:val="001165D9"/>
    <w:rsid w:val="00116649"/>
    <w:rsid w:val="0011669C"/>
    <w:rsid w:val="0011679D"/>
    <w:rsid w:val="00116848"/>
    <w:rsid w:val="00116889"/>
    <w:rsid w:val="00116960"/>
    <w:rsid w:val="00116B2C"/>
    <w:rsid w:val="00116D82"/>
    <w:rsid w:val="00116DBA"/>
    <w:rsid w:val="00116EF1"/>
    <w:rsid w:val="00116F16"/>
    <w:rsid w:val="00116F23"/>
    <w:rsid w:val="00116F53"/>
    <w:rsid w:val="00116F7A"/>
    <w:rsid w:val="00116FB2"/>
    <w:rsid w:val="00116FFC"/>
    <w:rsid w:val="001170F7"/>
    <w:rsid w:val="00117194"/>
    <w:rsid w:val="001174C6"/>
    <w:rsid w:val="001175E6"/>
    <w:rsid w:val="00117625"/>
    <w:rsid w:val="001177BC"/>
    <w:rsid w:val="001177C6"/>
    <w:rsid w:val="001179C4"/>
    <w:rsid w:val="00117AFE"/>
    <w:rsid w:val="00117B73"/>
    <w:rsid w:val="00117B9F"/>
    <w:rsid w:val="00117C4D"/>
    <w:rsid w:val="00117D1C"/>
    <w:rsid w:val="001200F7"/>
    <w:rsid w:val="00120294"/>
    <w:rsid w:val="0012035C"/>
    <w:rsid w:val="00120558"/>
    <w:rsid w:val="00120A81"/>
    <w:rsid w:val="00120C1A"/>
    <w:rsid w:val="00120CB4"/>
    <w:rsid w:val="00120DAC"/>
    <w:rsid w:val="00120EAD"/>
    <w:rsid w:val="00120F2C"/>
    <w:rsid w:val="001210C8"/>
    <w:rsid w:val="00121183"/>
    <w:rsid w:val="001212A0"/>
    <w:rsid w:val="001217B8"/>
    <w:rsid w:val="00121883"/>
    <w:rsid w:val="00121891"/>
    <w:rsid w:val="0012189D"/>
    <w:rsid w:val="00121967"/>
    <w:rsid w:val="00121B05"/>
    <w:rsid w:val="00121B32"/>
    <w:rsid w:val="00121B40"/>
    <w:rsid w:val="00121F9C"/>
    <w:rsid w:val="00122015"/>
    <w:rsid w:val="001220C0"/>
    <w:rsid w:val="001221BB"/>
    <w:rsid w:val="001222D6"/>
    <w:rsid w:val="001224DC"/>
    <w:rsid w:val="00122551"/>
    <w:rsid w:val="00122702"/>
    <w:rsid w:val="0012287A"/>
    <w:rsid w:val="0012287C"/>
    <w:rsid w:val="001228AF"/>
    <w:rsid w:val="0012292B"/>
    <w:rsid w:val="00122977"/>
    <w:rsid w:val="00122A9B"/>
    <w:rsid w:val="00122B28"/>
    <w:rsid w:val="00122B67"/>
    <w:rsid w:val="00122D51"/>
    <w:rsid w:val="00122D7E"/>
    <w:rsid w:val="00123168"/>
    <w:rsid w:val="001231F7"/>
    <w:rsid w:val="00123253"/>
    <w:rsid w:val="001234CD"/>
    <w:rsid w:val="00123586"/>
    <w:rsid w:val="001235BA"/>
    <w:rsid w:val="0012363C"/>
    <w:rsid w:val="00123693"/>
    <w:rsid w:val="00123751"/>
    <w:rsid w:val="00123835"/>
    <w:rsid w:val="0012388B"/>
    <w:rsid w:val="00123A15"/>
    <w:rsid w:val="00123CED"/>
    <w:rsid w:val="00123D1A"/>
    <w:rsid w:val="00123DB7"/>
    <w:rsid w:val="00123E64"/>
    <w:rsid w:val="00123E79"/>
    <w:rsid w:val="00123E85"/>
    <w:rsid w:val="00123F19"/>
    <w:rsid w:val="00124114"/>
    <w:rsid w:val="001242B9"/>
    <w:rsid w:val="001244E7"/>
    <w:rsid w:val="001245B7"/>
    <w:rsid w:val="001245B9"/>
    <w:rsid w:val="00124899"/>
    <w:rsid w:val="001248A6"/>
    <w:rsid w:val="00124ABF"/>
    <w:rsid w:val="00124CCE"/>
    <w:rsid w:val="00124D63"/>
    <w:rsid w:val="00124D81"/>
    <w:rsid w:val="00124EAF"/>
    <w:rsid w:val="00124F1F"/>
    <w:rsid w:val="00125139"/>
    <w:rsid w:val="0012516C"/>
    <w:rsid w:val="001251ED"/>
    <w:rsid w:val="00125306"/>
    <w:rsid w:val="00125450"/>
    <w:rsid w:val="00125498"/>
    <w:rsid w:val="00125673"/>
    <w:rsid w:val="0012582D"/>
    <w:rsid w:val="0012586B"/>
    <w:rsid w:val="001258B7"/>
    <w:rsid w:val="001258DA"/>
    <w:rsid w:val="00125999"/>
    <w:rsid w:val="00125B47"/>
    <w:rsid w:val="00125B5E"/>
    <w:rsid w:val="00125D51"/>
    <w:rsid w:val="00125E4E"/>
    <w:rsid w:val="00125E5E"/>
    <w:rsid w:val="00126028"/>
    <w:rsid w:val="0012618B"/>
    <w:rsid w:val="00126303"/>
    <w:rsid w:val="0012658B"/>
    <w:rsid w:val="00126972"/>
    <w:rsid w:val="00126A11"/>
    <w:rsid w:val="00126B11"/>
    <w:rsid w:val="00126C6B"/>
    <w:rsid w:val="00126CA5"/>
    <w:rsid w:val="00126D57"/>
    <w:rsid w:val="00126EFA"/>
    <w:rsid w:val="001270F5"/>
    <w:rsid w:val="001271FC"/>
    <w:rsid w:val="00127774"/>
    <w:rsid w:val="001277DC"/>
    <w:rsid w:val="0012783F"/>
    <w:rsid w:val="001278A3"/>
    <w:rsid w:val="00127977"/>
    <w:rsid w:val="001279DC"/>
    <w:rsid w:val="00127A88"/>
    <w:rsid w:val="00127C1D"/>
    <w:rsid w:val="00127CD2"/>
    <w:rsid w:val="00127CD3"/>
    <w:rsid w:val="00127CF3"/>
    <w:rsid w:val="00127D40"/>
    <w:rsid w:val="00127DF0"/>
    <w:rsid w:val="00127FF3"/>
    <w:rsid w:val="001302AF"/>
    <w:rsid w:val="0013039E"/>
    <w:rsid w:val="001303B6"/>
    <w:rsid w:val="00130426"/>
    <w:rsid w:val="00130499"/>
    <w:rsid w:val="00130562"/>
    <w:rsid w:val="00130607"/>
    <w:rsid w:val="00130629"/>
    <w:rsid w:val="0013065F"/>
    <w:rsid w:val="001307E2"/>
    <w:rsid w:val="0013094E"/>
    <w:rsid w:val="001309F1"/>
    <w:rsid w:val="00130A43"/>
    <w:rsid w:val="00130A88"/>
    <w:rsid w:val="00130AE6"/>
    <w:rsid w:val="00130D32"/>
    <w:rsid w:val="00130DAE"/>
    <w:rsid w:val="00130E98"/>
    <w:rsid w:val="00130EBB"/>
    <w:rsid w:val="0013109E"/>
    <w:rsid w:val="00131199"/>
    <w:rsid w:val="001311A7"/>
    <w:rsid w:val="001312A2"/>
    <w:rsid w:val="001313C9"/>
    <w:rsid w:val="001313F1"/>
    <w:rsid w:val="0013141B"/>
    <w:rsid w:val="001315E0"/>
    <w:rsid w:val="001316E1"/>
    <w:rsid w:val="001318CF"/>
    <w:rsid w:val="00131B94"/>
    <w:rsid w:val="00131E33"/>
    <w:rsid w:val="00131E6D"/>
    <w:rsid w:val="00131F05"/>
    <w:rsid w:val="00132302"/>
    <w:rsid w:val="0013236C"/>
    <w:rsid w:val="001323A2"/>
    <w:rsid w:val="001323B1"/>
    <w:rsid w:val="001323C8"/>
    <w:rsid w:val="0013247D"/>
    <w:rsid w:val="001326CB"/>
    <w:rsid w:val="00132831"/>
    <w:rsid w:val="001329B1"/>
    <w:rsid w:val="00132AB7"/>
    <w:rsid w:val="00132DFC"/>
    <w:rsid w:val="00133208"/>
    <w:rsid w:val="001332C9"/>
    <w:rsid w:val="001333D7"/>
    <w:rsid w:val="001334D4"/>
    <w:rsid w:val="0013367C"/>
    <w:rsid w:val="001337E2"/>
    <w:rsid w:val="001337E6"/>
    <w:rsid w:val="0013388B"/>
    <w:rsid w:val="0013391C"/>
    <w:rsid w:val="00133C07"/>
    <w:rsid w:val="00133D40"/>
    <w:rsid w:val="00133DBF"/>
    <w:rsid w:val="00133E8B"/>
    <w:rsid w:val="00133EA0"/>
    <w:rsid w:val="00133F3C"/>
    <w:rsid w:val="00133F53"/>
    <w:rsid w:val="00134065"/>
    <w:rsid w:val="0013406A"/>
    <w:rsid w:val="001341E5"/>
    <w:rsid w:val="001342C7"/>
    <w:rsid w:val="0013434A"/>
    <w:rsid w:val="00134395"/>
    <w:rsid w:val="001343DA"/>
    <w:rsid w:val="00134419"/>
    <w:rsid w:val="001345BD"/>
    <w:rsid w:val="0013469C"/>
    <w:rsid w:val="001346AA"/>
    <w:rsid w:val="0013472E"/>
    <w:rsid w:val="00134777"/>
    <w:rsid w:val="0013479B"/>
    <w:rsid w:val="0013482E"/>
    <w:rsid w:val="001348C2"/>
    <w:rsid w:val="00134A64"/>
    <w:rsid w:val="00134B7D"/>
    <w:rsid w:val="00134C0C"/>
    <w:rsid w:val="00134DCF"/>
    <w:rsid w:val="00134EB6"/>
    <w:rsid w:val="00134FDF"/>
    <w:rsid w:val="00135027"/>
    <w:rsid w:val="001350F1"/>
    <w:rsid w:val="00135234"/>
    <w:rsid w:val="001353C2"/>
    <w:rsid w:val="001353D7"/>
    <w:rsid w:val="0013556C"/>
    <w:rsid w:val="001355C3"/>
    <w:rsid w:val="00135732"/>
    <w:rsid w:val="00135755"/>
    <w:rsid w:val="001357BF"/>
    <w:rsid w:val="00135884"/>
    <w:rsid w:val="00135A5A"/>
    <w:rsid w:val="00135CA5"/>
    <w:rsid w:val="00135ED5"/>
    <w:rsid w:val="00135F70"/>
    <w:rsid w:val="00135FC1"/>
    <w:rsid w:val="001360D5"/>
    <w:rsid w:val="00136238"/>
    <w:rsid w:val="001362D0"/>
    <w:rsid w:val="001362D7"/>
    <w:rsid w:val="001365A9"/>
    <w:rsid w:val="001365CB"/>
    <w:rsid w:val="001366E9"/>
    <w:rsid w:val="001367BC"/>
    <w:rsid w:val="001368DB"/>
    <w:rsid w:val="00136908"/>
    <w:rsid w:val="0013697A"/>
    <w:rsid w:val="00136A0B"/>
    <w:rsid w:val="00136C60"/>
    <w:rsid w:val="00136C8E"/>
    <w:rsid w:val="00136E4E"/>
    <w:rsid w:val="00136ED6"/>
    <w:rsid w:val="00136EFC"/>
    <w:rsid w:val="00136FBE"/>
    <w:rsid w:val="001370C5"/>
    <w:rsid w:val="0013710A"/>
    <w:rsid w:val="0013712A"/>
    <w:rsid w:val="0013716F"/>
    <w:rsid w:val="001372D1"/>
    <w:rsid w:val="001372DB"/>
    <w:rsid w:val="0013735B"/>
    <w:rsid w:val="0013779E"/>
    <w:rsid w:val="00137823"/>
    <w:rsid w:val="00137986"/>
    <w:rsid w:val="001379D5"/>
    <w:rsid w:val="00137C50"/>
    <w:rsid w:val="00137D67"/>
    <w:rsid w:val="00137DED"/>
    <w:rsid w:val="00137EB7"/>
    <w:rsid w:val="00137EC7"/>
    <w:rsid w:val="00137FBC"/>
    <w:rsid w:val="00137FD8"/>
    <w:rsid w:val="00140274"/>
    <w:rsid w:val="001403CB"/>
    <w:rsid w:val="001403F6"/>
    <w:rsid w:val="00140461"/>
    <w:rsid w:val="0014048F"/>
    <w:rsid w:val="001405A3"/>
    <w:rsid w:val="0014061F"/>
    <w:rsid w:val="0014073B"/>
    <w:rsid w:val="001408E7"/>
    <w:rsid w:val="001409D2"/>
    <w:rsid w:val="00140BBA"/>
    <w:rsid w:val="00140BFF"/>
    <w:rsid w:val="00140DE5"/>
    <w:rsid w:val="00140FA4"/>
    <w:rsid w:val="00140FF7"/>
    <w:rsid w:val="0014104A"/>
    <w:rsid w:val="001410D0"/>
    <w:rsid w:val="00141193"/>
    <w:rsid w:val="001411B2"/>
    <w:rsid w:val="001416DC"/>
    <w:rsid w:val="001417C2"/>
    <w:rsid w:val="0014184E"/>
    <w:rsid w:val="001418A1"/>
    <w:rsid w:val="001419B5"/>
    <w:rsid w:val="00141A21"/>
    <w:rsid w:val="00141A4E"/>
    <w:rsid w:val="00141B18"/>
    <w:rsid w:val="00141C26"/>
    <w:rsid w:val="00141DA1"/>
    <w:rsid w:val="00141FC1"/>
    <w:rsid w:val="00142027"/>
    <w:rsid w:val="001420A4"/>
    <w:rsid w:val="001420D6"/>
    <w:rsid w:val="001422B8"/>
    <w:rsid w:val="001423B6"/>
    <w:rsid w:val="001424A1"/>
    <w:rsid w:val="001426DD"/>
    <w:rsid w:val="00142760"/>
    <w:rsid w:val="00142822"/>
    <w:rsid w:val="0014288C"/>
    <w:rsid w:val="00142A36"/>
    <w:rsid w:val="00142B71"/>
    <w:rsid w:val="00142E30"/>
    <w:rsid w:val="00142E40"/>
    <w:rsid w:val="00142E6C"/>
    <w:rsid w:val="001430AE"/>
    <w:rsid w:val="0014316B"/>
    <w:rsid w:val="0014329C"/>
    <w:rsid w:val="0014333B"/>
    <w:rsid w:val="00143341"/>
    <w:rsid w:val="001433AD"/>
    <w:rsid w:val="00143794"/>
    <w:rsid w:val="00143C20"/>
    <w:rsid w:val="00143F65"/>
    <w:rsid w:val="001442E1"/>
    <w:rsid w:val="00144477"/>
    <w:rsid w:val="00144528"/>
    <w:rsid w:val="0014457C"/>
    <w:rsid w:val="00144599"/>
    <w:rsid w:val="001445DE"/>
    <w:rsid w:val="00144608"/>
    <w:rsid w:val="00144701"/>
    <w:rsid w:val="001447A5"/>
    <w:rsid w:val="00144876"/>
    <w:rsid w:val="001448E0"/>
    <w:rsid w:val="001449E7"/>
    <w:rsid w:val="00144A36"/>
    <w:rsid w:val="00144A8F"/>
    <w:rsid w:val="00144C9E"/>
    <w:rsid w:val="00144D77"/>
    <w:rsid w:val="001453D8"/>
    <w:rsid w:val="00145520"/>
    <w:rsid w:val="00145794"/>
    <w:rsid w:val="00145957"/>
    <w:rsid w:val="00145982"/>
    <w:rsid w:val="00145B7D"/>
    <w:rsid w:val="00145DF8"/>
    <w:rsid w:val="00145E15"/>
    <w:rsid w:val="0014608A"/>
    <w:rsid w:val="0014608E"/>
    <w:rsid w:val="001460E3"/>
    <w:rsid w:val="00146198"/>
    <w:rsid w:val="00146259"/>
    <w:rsid w:val="001462CC"/>
    <w:rsid w:val="00146353"/>
    <w:rsid w:val="001463BF"/>
    <w:rsid w:val="001465B2"/>
    <w:rsid w:val="001466D4"/>
    <w:rsid w:val="001467BF"/>
    <w:rsid w:val="001467D0"/>
    <w:rsid w:val="0014691B"/>
    <w:rsid w:val="00146A29"/>
    <w:rsid w:val="00146AB0"/>
    <w:rsid w:val="00146CF7"/>
    <w:rsid w:val="00146D68"/>
    <w:rsid w:val="00146E51"/>
    <w:rsid w:val="00146F97"/>
    <w:rsid w:val="00146FD5"/>
    <w:rsid w:val="00147151"/>
    <w:rsid w:val="00147315"/>
    <w:rsid w:val="001473B4"/>
    <w:rsid w:val="001473C9"/>
    <w:rsid w:val="00147458"/>
    <w:rsid w:val="001476DE"/>
    <w:rsid w:val="0014776E"/>
    <w:rsid w:val="001477B2"/>
    <w:rsid w:val="00147C5D"/>
    <w:rsid w:val="00147CBD"/>
    <w:rsid w:val="00147CBE"/>
    <w:rsid w:val="00147D51"/>
    <w:rsid w:val="00147D5E"/>
    <w:rsid w:val="00147ED2"/>
    <w:rsid w:val="00147F2D"/>
    <w:rsid w:val="001500C5"/>
    <w:rsid w:val="0015011F"/>
    <w:rsid w:val="001501B9"/>
    <w:rsid w:val="00150238"/>
    <w:rsid w:val="00150497"/>
    <w:rsid w:val="001504A6"/>
    <w:rsid w:val="001504BC"/>
    <w:rsid w:val="00150832"/>
    <w:rsid w:val="001509F3"/>
    <w:rsid w:val="00150AC9"/>
    <w:rsid w:val="00150AE7"/>
    <w:rsid w:val="00150BBB"/>
    <w:rsid w:val="00150C02"/>
    <w:rsid w:val="00150CCE"/>
    <w:rsid w:val="00150D43"/>
    <w:rsid w:val="00150F71"/>
    <w:rsid w:val="00151016"/>
    <w:rsid w:val="00151043"/>
    <w:rsid w:val="001510B8"/>
    <w:rsid w:val="00151159"/>
    <w:rsid w:val="00151364"/>
    <w:rsid w:val="001513C6"/>
    <w:rsid w:val="0015156C"/>
    <w:rsid w:val="001515DA"/>
    <w:rsid w:val="0015192F"/>
    <w:rsid w:val="00151B77"/>
    <w:rsid w:val="00151B7B"/>
    <w:rsid w:val="00151D30"/>
    <w:rsid w:val="00151D8E"/>
    <w:rsid w:val="00151DE9"/>
    <w:rsid w:val="00152317"/>
    <w:rsid w:val="00152338"/>
    <w:rsid w:val="00152775"/>
    <w:rsid w:val="00152777"/>
    <w:rsid w:val="0015279A"/>
    <w:rsid w:val="0015284D"/>
    <w:rsid w:val="00152DBB"/>
    <w:rsid w:val="00152E77"/>
    <w:rsid w:val="0015300D"/>
    <w:rsid w:val="00153078"/>
    <w:rsid w:val="00153093"/>
    <w:rsid w:val="00153121"/>
    <w:rsid w:val="00153403"/>
    <w:rsid w:val="0015343E"/>
    <w:rsid w:val="0015346D"/>
    <w:rsid w:val="001535AE"/>
    <w:rsid w:val="001535D7"/>
    <w:rsid w:val="00153885"/>
    <w:rsid w:val="00153B18"/>
    <w:rsid w:val="00153B5A"/>
    <w:rsid w:val="00153B6B"/>
    <w:rsid w:val="00153F63"/>
    <w:rsid w:val="00153FFF"/>
    <w:rsid w:val="001541DD"/>
    <w:rsid w:val="001542D1"/>
    <w:rsid w:val="00154310"/>
    <w:rsid w:val="0015447F"/>
    <w:rsid w:val="001545C9"/>
    <w:rsid w:val="0015462D"/>
    <w:rsid w:val="001547DE"/>
    <w:rsid w:val="001548BB"/>
    <w:rsid w:val="00154964"/>
    <w:rsid w:val="00154969"/>
    <w:rsid w:val="00154999"/>
    <w:rsid w:val="00154A64"/>
    <w:rsid w:val="00154C51"/>
    <w:rsid w:val="00154D92"/>
    <w:rsid w:val="00154DE5"/>
    <w:rsid w:val="00154E07"/>
    <w:rsid w:val="00154E6E"/>
    <w:rsid w:val="00154ECE"/>
    <w:rsid w:val="00154EE9"/>
    <w:rsid w:val="0015503D"/>
    <w:rsid w:val="00155078"/>
    <w:rsid w:val="00155222"/>
    <w:rsid w:val="00155385"/>
    <w:rsid w:val="00155434"/>
    <w:rsid w:val="00155489"/>
    <w:rsid w:val="00155514"/>
    <w:rsid w:val="001555D6"/>
    <w:rsid w:val="001555E7"/>
    <w:rsid w:val="00155737"/>
    <w:rsid w:val="001557AC"/>
    <w:rsid w:val="00155947"/>
    <w:rsid w:val="00155A8B"/>
    <w:rsid w:val="00155BED"/>
    <w:rsid w:val="00155C9D"/>
    <w:rsid w:val="00155EE2"/>
    <w:rsid w:val="00155F08"/>
    <w:rsid w:val="00156697"/>
    <w:rsid w:val="00156765"/>
    <w:rsid w:val="00156A20"/>
    <w:rsid w:val="00156B5D"/>
    <w:rsid w:val="00156CD7"/>
    <w:rsid w:val="00156DAB"/>
    <w:rsid w:val="00156DE8"/>
    <w:rsid w:val="00156ECE"/>
    <w:rsid w:val="00157003"/>
    <w:rsid w:val="00157277"/>
    <w:rsid w:val="00157281"/>
    <w:rsid w:val="0015735E"/>
    <w:rsid w:val="00157429"/>
    <w:rsid w:val="00157451"/>
    <w:rsid w:val="001575F4"/>
    <w:rsid w:val="001576F9"/>
    <w:rsid w:val="0015777E"/>
    <w:rsid w:val="00157815"/>
    <w:rsid w:val="00157907"/>
    <w:rsid w:val="001579AC"/>
    <w:rsid w:val="00157B24"/>
    <w:rsid w:val="00157C66"/>
    <w:rsid w:val="00157D40"/>
    <w:rsid w:val="00157E51"/>
    <w:rsid w:val="00157E56"/>
    <w:rsid w:val="00157E5C"/>
    <w:rsid w:val="00160244"/>
    <w:rsid w:val="0016038F"/>
    <w:rsid w:val="00160518"/>
    <w:rsid w:val="001606C8"/>
    <w:rsid w:val="001607B5"/>
    <w:rsid w:val="0016080E"/>
    <w:rsid w:val="00160861"/>
    <w:rsid w:val="00160BBF"/>
    <w:rsid w:val="00160C09"/>
    <w:rsid w:val="00160CD2"/>
    <w:rsid w:val="00160D5A"/>
    <w:rsid w:val="00160DE6"/>
    <w:rsid w:val="00160E79"/>
    <w:rsid w:val="00160F26"/>
    <w:rsid w:val="00160FAD"/>
    <w:rsid w:val="001610DE"/>
    <w:rsid w:val="0016119F"/>
    <w:rsid w:val="001612BE"/>
    <w:rsid w:val="001613EB"/>
    <w:rsid w:val="00161723"/>
    <w:rsid w:val="0016179F"/>
    <w:rsid w:val="00161946"/>
    <w:rsid w:val="0016199D"/>
    <w:rsid w:val="001619D9"/>
    <w:rsid w:val="00161A39"/>
    <w:rsid w:val="00161C8F"/>
    <w:rsid w:val="00161D12"/>
    <w:rsid w:val="00161E8D"/>
    <w:rsid w:val="00161F59"/>
    <w:rsid w:val="00161FBF"/>
    <w:rsid w:val="00162346"/>
    <w:rsid w:val="00162387"/>
    <w:rsid w:val="001623C5"/>
    <w:rsid w:val="00162498"/>
    <w:rsid w:val="00162532"/>
    <w:rsid w:val="00162563"/>
    <w:rsid w:val="001625F3"/>
    <w:rsid w:val="00162927"/>
    <w:rsid w:val="00162993"/>
    <w:rsid w:val="001629F9"/>
    <w:rsid w:val="00162BFA"/>
    <w:rsid w:val="00162CE2"/>
    <w:rsid w:val="00162DE7"/>
    <w:rsid w:val="00162E53"/>
    <w:rsid w:val="00162E9C"/>
    <w:rsid w:val="00162FBC"/>
    <w:rsid w:val="00162FF0"/>
    <w:rsid w:val="00163080"/>
    <w:rsid w:val="00163285"/>
    <w:rsid w:val="001632DE"/>
    <w:rsid w:val="001633E3"/>
    <w:rsid w:val="00163660"/>
    <w:rsid w:val="00163798"/>
    <w:rsid w:val="00163899"/>
    <w:rsid w:val="00163983"/>
    <w:rsid w:val="00163A29"/>
    <w:rsid w:val="00163C25"/>
    <w:rsid w:val="00163C6C"/>
    <w:rsid w:val="00163D39"/>
    <w:rsid w:val="00163D52"/>
    <w:rsid w:val="00163DD4"/>
    <w:rsid w:val="00163E3B"/>
    <w:rsid w:val="00163E9F"/>
    <w:rsid w:val="001641DE"/>
    <w:rsid w:val="00164309"/>
    <w:rsid w:val="001643F4"/>
    <w:rsid w:val="0016448C"/>
    <w:rsid w:val="001645C5"/>
    <w:rsid w:val="00164A79"/>
    <w:rsid w:val="00164E78"/>
    <w:rsid w:val="00164F11"/>
    <w:rsid w:val="00165013"/>
    <w:rsid w:val="0016517B"/>
    <w:rsid w:val="00165484"/>
    <w:rsid w:val="001654AD"/>
    <w:rsid w:val="0016553F"/>
    <w:rsid w:val="001656A2"/>
    <w:rsid w:val="00165791"/>
    <w:rsid w:val="0016592C"/>
    <w:rsid w:val="00165939"/>
    <w:rsid w:val="00165AF2"/>
    <w:rsid w:val="00165B53"/>
    <w:rsid w:val="00165C45"/>
    <w:rsid w:val="00165C76"/>
    <w:rsid w:val="00165D5F"/>
    <w:rsid w:val="00165E1A"/>
    <w:rsid w:val="00165E29"/>
    <w:rsid w:val="00165F5F"/>
    <w:rsid w:val="0016620E"/>
    <w:rsid w:val="001663A0"/>
    <w:rsid w:val="001663BF"/>
    <w:rsid w:val="00166452"/>
    <w:rsid w:val="0016663B"/>
    <w:rsid w:val="001666B7"/>
    <w:rsid w:val="00166ADE"/>
    <w:rsid w:val="00166B4D"/>
    <w:rsid w:val="00166C20"/>
    <w:rsid w:val="00166F48"/>
    <w:rsid w:val="00166FC1"/>
    <w:rsid w:val="00167078"/>
    <w:rsid w:val="001671B6"/>
    <w:rsid w:val="00167244"/>
    <w:rsid w:val="0016724B"/>
    <w:rsid w:val="00167332"/>
    <w:rsid w:val="00167339"/>
    <w:rsid w:val="001673B7"/>
    <w:rsid w:val="001675D5"/>
    <w:rsid w:val="00167663"/>
    <w:rsid w:val="00167738"/>
    <w:rsid w:val="00167825"/>
    <w:rsid w:val="0016798E"/>
    <w:rsid w:val="00167AE9"/>
    <w:rsid w:val="00167B4A"/>
    <w:rsid w:val="00167C91"/>
    <w:rsid w:val="00167CF5"/>
    <w:rsid w:val="00167E79"/>
    <w:rsid w:val="00167ECD"/>
    <w:rsid w:val="00170337"/>
    <w:rsid w:val="001703DF"/>
    <w:rsid w:val="0017051E"/>
    <w:rsid w:val="001709DD"/>
    <w:rsid w:val="00170BD8"/>
    <w:rsid w:val="00170FDF"/>
    <w:rsid w:val="00170FFA"/>
    <w:rsid w:val="00171369"/>
    <w:rsid w:val="001713E1"/>
    <w:rsid w:val="00171465"/>
    <w:rsid w:val="001714CF"/>
    <w:rsid w:val="00171532"/>
    <w:rsid w:val="00171551"/>
    <w:rsid w:val="001716E3"/>
    <w:rsid w:val="00171995"/>
    <w:rsid w:val="0017199B"/>
    <w:rsid w:val="00171C58"/>
    <w:rsid w:val="00171CBD"/>
    <w:rsid w:val="00171CEE"/>
    <w:rsid w:val="00171FE8"/>
    <w:rsid w:val="0017239D"/>
    <w:rsid w:val="001723CC"/>
    <w:rsid w:val="00172413"/>
    <w:rsid w:val="0017255D"/>
    <w:rsid w:val="001726FA"/>
    <w:rsid w:val="001727E4"/>
    <w:rsid w:val="00172813"/>
    <w:rsid w:val="001728F1"/>
    <w:rsid w:val="00172BF9"/>
    <w:rsid w:val="00172C5A"/>
    <w:rsid w:val="00172F0C"/>
    <w:rsid w:val="00173020"/>
    <w:rsid w:val="00173208"/>
    <w:rsid w:val="0017324B"/>
    <w:rsid w:val="00173302"/>
    <w:rsid w:val="001733C8"/>
    <w:rsid w:val="0017341E"/>
    <w:rsid w:val="0017361E"/>
    <w:rsid w:val="00173652"/>
    <w:rsid w:val="001736D0"/>
    <w:rsid w:val="001739A8"/>
    <w:rsid w:val="00173F73"/>
    <w:rsid w:val="00173FAA"/>
    <w:rsid w:val="0017400C"/>
    <w:rsid w:val="0017406B"/>
    <w:rsid w:val="0017413E"/>
    <w:rsid w:val="001746CD"/>
    <w:rsid w:val="00174798"/>
    <w:rsid w:val="00174AF3"/>
    <w:rsid w:val="00174BE8"/>
    <w:rsid w:val="00174C92"/>
    <w:rsid w:val="00174D7B"/>
    <w:rsid w:val="00174EDF"/>
    <w:rsid w:val="00175094"/>
    <w:rsid w:val="001750AF"/>
    <w:rsid w:val="001750BC"/>
    <w:rsid w:val="001750E7"/>
    <w:rsid w:val="0017519C"/>
    <w:rsid w:val="00175354"/>
    <w:rsid w:val="00175394"/>
    <w:rsid w:val="00175421"/>
    <w:rsid w:val="00175474"/>
    <w:rsid w:val="0017548A"/>
    <w:rsid w:val="001755A6"/>
    <w:rsid w:val="001755FE"/>
    <w:rsid w:val="00175611"/>
    <w:rsid w:val="00175631"/>
    <w:rsid w:val="001756D0"/>
    <w:rsid w:val="00175737"/>
    <w:rsid w:val="001758D0"/>
    <w:rsid w:val="00175C85"/>
    <w:rsid w:val="00175E7E"/>
    <w:rsid w:val="00175E89"/>
    <w:rsid w:val="00175F9C"/>
    <w:rsid w:val="001760A3"/>
    <w:rsid w:val="00176166"/>
    <w:rsid w:val="00176225"/>
    <w:rsid w:val="00176610"/>
    <w:rsid w:val="00176658"/>
    <w:rsid w:val="00176705"/>
    <w:rsid w:val="00176793"/>
    <w:rsid w:val="001767E3"/>
    <w:rsid w:val="00176D5A"/>
    <w:rsid w:val="00176DE2"/>
    <w:rsid w:val="00176F68"/>
    <w:rsid w:val="001770C3"/>
    <w:rsid w:val="001770D6"/>
    <w:rsid w:val="0017722A"/>
    <w:rsid w:val="001772B7"/>
    <w:rsid w:val="001772EB"/>
    <w:rsid w:val="0017730C"/>
    <w:rsid w:val="0017735C"/>
    <w:rsid w:val="001773A1"/>
    <w:rsid w:val="001773B0"/>
    <w:rsid w:val="00177483"/>
    <w:rsid w:val="00177555"/>
    <w:rsid w:val="001775A7"/>
    <w:rsid w:val="0017775B"/>
    <w:rsid w:val="001777D3"/>
    <w:rsid w:val="001777F5"/>
    <w:rsid w:val="001778E0"/>
    <w:rsid w:val="001778EC"/>
    <w:rsid w:val="0017792E"/>
    <w:rsid w:val="00177AD4"/>
    <w:rsid w:val="00177ADA"/>
    <w:rsid w:val="00177AF1"/>
    <w:rsid w:val="00177C1E"/>
    <w:rsid w:val="00177CAA"/>
    <w:rsid w:val="00177E31"/>
    <w:rsid w:val="00177EB3"/>
    <w:rsid w:val="00177F9C"/>
    <w:rsid w:val="0018011A"/>
    <w:rsid w:val="0018019E"/>
    <w:rsid w:val="001801E2"/>
    <w:rsid w:val="00180396"/>
    <w:rsid w:val="001804D6"/>
    <w:rsid w:val="00180623"/>
    <w:rsid w:val="001807A2"/>
    <w:rsid w:val="001808EA"/>
    <w:rsid w:val="00180A3E"/>
    <w:rsid w:val="00180A81"/>
    <w:rsid w:val="00180B75"/>
    <w:rsid w:val="00180CD1"/>
    <w:rsid w:val="00180D31"/>
    <w:rsid w:val="00180F4F"/>
    <w:rsid w:val="00181039"/>
    <w:rsid w:val="00181137"/>
    <w:rsid w:val="00181180"/>
    <w:rsid w:val="00181315"/>
    <w:rsid w:val="00181389"/>
    <w:rsid w:val="001814AE"/>
    <w:rsid w:val="00181525"/>
    <w:rsid w:val="001815C8"/>
    <w:rsid w:val="001815D7"/>
    <w:rsid w:val="00181950"/>
    <w:rsid w:val="001819A2"/>
    <w:rsid w:val="00181A91"/>
    <w:rsid w:val="00181CA6"/>
    <w:rsid w:val="00181CDE"/>
    <w:rsid w:val="00181DE3"/>
    <w:rsid w:val="00181E9E"/>
    <w:rsid w:val="00181EC1"/>
    <w:rsid w:val="001820C0"/>
    <w:rsid w:val="00182104"/>
    <w:rsid w:val="0018214D"/>
    <w:rsid w:val="00182227"/>
    <w:rsid w:val="00182569"/>
    <w:rsid w:val="001828D1"/>
    <w:rsid w:val="00182959"/>
    <w:rsid w:val="0018295A"/>
    <w:rsid w:val="00182ADC"/>
    <w:rsid w:val="00182B08"/>
    <w:rsid w:val="00182BB2"/>
    <w:rsid w:val="00182F90"/>
    <w:rsid w:val="00183120"/>
    <w:rsid w:val="001832EA"/>
    <w:rsid w:val="001833A4"/>
    <w:rsid w:val="00183425"/>
    <w:rsid w:val="001834D5"/>
    <w:rsid w:val="001835ED"/>
    <w:rsid w:val="00183620"/>
    <w:rsid w:val="0018366D"/>
    <w:rsid w:val="001836DC"/>
    <w:rsid w:val="001836DD"/>
    <w:rsid w:val="0018371F"/>
    <w:rsid w:val="001837D9"/>
    <w:rsid w:val="00183926"/>
    <w:rsid w:val="001839A8"/>
    <w:rsid w:val="00183A4D"/>
    <w:rsid w:val="00183AEC"/>
    <w:rsid w:val="00183AF9"/>
    <w:rsid w:val="00183BF8"/>
    <w:rsid w:val="00183C8A"/>
    <w:rsid w:val="00183CE3"/>
    <w:rsid w:val="00183FCD"/>
    <w:rsid w:val="00184002"/>
    <w:rsid w:val="00184132"/>
    <w:rsid w:val="001841FF"/>
    <w:rsid w:val="001843CF"/>
    <w:rsid w:val="00184487"/>
    <w:rsid w:val="00184E5E"/>
    <w:rsid w:val="00184E9F"/>
    <w:rsid w:val="00184EFD"/>
    <w:rsid w:val="00184FFB"/>
    <w:rsid w:val="00185125"/>
    <w:rsid w:val="001852D4"/>
    <w:rsid w:val="001853B5"/>
    <w:rsid w:val="00185512"/>
    <w:rsid w:val="00185574"/>
    <w:rsid w:val="00185648"/>
    <w:rsid w:val="0018567B"/>
    <w:rsid w:val="00185732"/>
    <w:rsid w:val="001858CC"/>
    <w:rsid w:val="0018591E"/>
    <w:rsid w:val="00185969"/>
    <w:rsid w:val="00185AAD"/>
    <w:rsid w:val="00185AD9"/>
    <w:rsid w:val="00185B3C"/>
    <w:rsid w:val="00185ED5"/>
    <w:rsid w:val="00185EF1"/>
    <w:rsid w:val="0018604D"/>
    <w:rsid w:val="0018643D"/>
    <w:rsid w:val="001864CB"/>
    <w:rsid w:val="00186511"/>
    <w:rsid w:val="0018672D"/>
    <w:rsid w:val="00186731"/>
    <w:rsid w:val="00186777"/>
    <w:rsid w:val="00186965"/>
    <w:rsid w:val="001869F6"/>
    <w:rsid w:val="00186B51"/>
    <w:rsid w:val="00187059"/>
    <w:rsid w:val="001870EE"/>
    <w:rsid w:val="001873B2"/>
    <w:rsid w:val="001874A4"/>
    <w:rsid w:val="001876B6"/>
    <w:rsid w:val="00187A0C"/>
    <w:rsid w:val="00187C11"/>
    <w:rsid w:val="00187C86"/>
    <w:rsid w:val="00187DD1"/>
    <w:rsid w:val="00187DED"/>
    <w:rsid w:val="00187FEC"/>
    <w:rsid w:val="0019008D"/>
    <w:rsid w:val="00190182"/>
    <w:rsid w:val="001901CF"/>
    <w:rsid w:val="0019043E"/>
    <w:rsid w:val="0019045B"/>
    <w:rsid w:val="001905E0"/>
    <w:rsid w:val="001908CF"/>
    <w:rsid w:val="001909C5"/>
    <w:rsid w:val="00190A6F"/>
    <w:rsid w:val="00190BB1"/>
    <w:rsid w:val="00190CA4"/>
    <w:rsid w:val="00190E07"/>
    <w:rsid w:val="00190E62"/>
    <w:rsid w:val="00190F05"/>
    <w:rsid w:val="0019105D"/>
    <w:rsid w:val="00191185"/>
    <w:rsid w:val="00191194"/>
    <w:rsid w:val="001911C2"/>
    <w:rsid w:val="00191357"/>
    <w:rsid w:val="0019145C"/>
    <w:rsid w:val="001914E0"/>
    <w:rsid w:val="0019164D"/>
    <w:rsid w:val="00191714"/>
    <w:rsid w:val="001917D1"/>
    <w:rsid w:val="00191A78"/>
    <w:rsid w:val="00191B92"/>
    <w:rsid w:val="00191BA2"/>
    <w:rsid w:val="00191D2A"/>
    <w:rsid w:val="00191E2D"/>
    <w:rsid w:val="00191F09"/>
    <w:rsid w:val="001921F2"/>
    <w:rsid w:val="0019224B"/>
    <w:rsid w:val="00192251"/>
    <w:rsid w:val="00192353"/>
    <w:rsid w:val="0019242A"/>
    <w:rsid w:val="0019243F"/>
    <w:rsid w:val="0019250B"/>
    <w:rsid w:val="00192543"/>
    <w:rsid w:val="001927D3"/>
    <w:rsid w:val="001927DA"/>
    <w:rsid w:val="00192BAE"/>
    <w:rsid w:val="00192CA5"/>
    <w:rsid w:val="00192D90"/>
    <w:rsid w:val="001930D9"/>
    <w:rsid w:val="00193243"/>
    <w:rsid w:val="001932F6"/>
    <w:rsid w:val="00193372"/>
    <w:rsid w:val="0019355E"/>
    <w:rsid w:val="00193615"/>
    <w:rsid w:val="0019362D"/>
    <w:rsid w:val="00193652"/>
    <w:rsid w:val="001937DE"/>
    <w:rsid w:val="00193824"/>
    <w:rsid w:val="00193960"/>
    <w:rsid w:val="00193A49"/>
    <w:rsid w:val="00193ACA"/>
    <w:rsid w:val="00193B5A"/>
    <w:rsid w:val="00193C4B"/>
    <w:rsid w:val="00193D1E"/>
    <w:rsid w:val="00193F1E"/>
    <w:rsid w:val="00194332"/>
    <w:rsid w:val="001945D0"/>
    <w:rsid w:val="0019467A"/>
    <w:rsid w:val="001948C9"/>
    <w:rsid w:val="0019491C"/>
    <w:rsid w:val="00194D29"/>
    <w:rsid w:val="00194EC6"/>
    <w:rsid w:val="00194FFC"/>
    <w:rsid w:val="00195322"/>
    <w:rsid w:val="0019551F"/>
    <w:rsid w:val="0019553F"/>
    <w:rsid w:val="0019555D"/>
    <w:rsid w:val="00195560"/>
    <w:rsid w:val="001956E6"/>
    <w:rsid w:val="001958EB"/>
    <w:rsid w:val="00195AAA"/>
    <w:rsid w:val="00195D13"/>
    <w:rsid w:val="00195EDE"/>
    <w:rsid w:val="00195F3F"/>
    <w:rsid w:val="00196316"/>
    <w:rsid w:val="001965E8"/>
    <w:rsid w:val="00196634"/>
    <w:rsid w:val="0019672B"/>
    <w:rsid w:val="00196877"/>
    <w:rsid w:val="001968EB"/>
    <w:rsid w:val="00196B63"/>
    <w:rsid w:val="00196BF8"/>
    <w:rsid w:val="00196CD3"/>
    <w:rsid w:val="00196E67"/>
    <w:rsid w:val="00196F53"/>
    <w:rsid w:val="001970AF"/>
    <w:rsid w:val="001972C9"/>
    <w:rsid w:val="00197420"/>
    <w:rsid w:val="00197423"/>
    <w:rsid w:val="00197538"/>
    <w:rsid w:val="0019798B"/>
    <w:rsid w:val="00197A3D"/>
    <w:rsid w:val="00197BB3"/>
    <w:rsid w:val="00197C55"/>
    <w:rsid w:val="00197D7E"/>
    <w:rsid w:val="00197ED8"/>
    <w:rsid w:val="00197FA0"/>
    <w:rsid w:val="001A0248"/>
    <w:rsid w:val="001A0249"/>
    <w:rsid w:val="001A049E"/>
    <w:rsid w:val="001A0508"/>
    <w:rsid w:val="001A052C"/>
    <w:rsid w:val="001A0574"/>
    <w:rsid w:val="001A0580"/>
    <w:rsid w:val="001A05A5"/>
    <w:rsid w:val="001A0615"/>
    <w:rsid w:val="001A0737"/>
    <w:rsid w:val="001A0743"/>
    <w:rsid w:val="001A079F"/>
    <w:rsid w:val="001A0BCE"/>
    <w:rsid w:val="001A0F75"/>
    <w:rsid w:val="001A126C"/>
    <w:rsid w:val="001A13B0"/>
    <w:rsid w:val="001A17B6"/>
    <w:rsid w:val="001A17CD"/>
    <w:rsid w:val="001A1937"/>
    <w:rsid w:val="001A1989"/>
    <w:rsid w:val="001A198B"/>
    <w:rsid w:val="001A1AB1"/>
    <w:rsid w:val="001A1D37"/>
    <w:rsid w:val="001A1D87"/>
    <w:rsid w:val="001A1E6B"/>
    <w:rsid w:val="001A1E94"/>
    <w:rsid w:val="001A2021"/>
    <w:rsid w:val="001A20B3"/>
    <w:rsid w:val="001A220F"/>
    <w:rsid w:val="001A2279"/>
    <w:rsid w:val="001A22B5"/>
    <w:rsid w:val="001A23F4"/>
    <w:rsid w:val="001A250F"/>
    <w:rsid w:val="001A2673"/>
    <w:rsid w:val="001A2797"/>
    <w:rsid w:val="001A27B2"/>
    <w:rsid w:val="001A27BE"/>
    <w:rsid w:val="001A29A3"/>
    <w:rsid w:val="001A2A15"/>
    <w:rsid w:val="001A2A20"/>
    <w:rsid w:val="001A2A8B"/>
    <w:rsid w:val="001A2BEF"/>
    <w:rsid w:val="001A2CE2"/>
    <w:rsid w:val="001A2D6F"/>
    <w:rsid w:val="001A3236"/>
    <w:rsid w:val="001A32AC"/>
    <w:rsid w:val="001A32C9"/>
    <w:rsid w:val="001A33DD"/>
    <w:rsid w:val="001A3762"/>
    <w:rsid w:val="001A378A"/>
    <w:rsid w:val="001A39C6"/>
    <w:rsid w:val="001A3B64"/>
    <w:rsid w:val="001A3DBE"/>
    <w:rsid w:val="001A3EF3"/>
    <w:rsid w:val="001A416B"/>
    <w:rsid w:val="001A420F"/>
    <w:rsid w:val="001A421D"/>
    <w:rsid w:val="001A42B4"/>
    <w:rsid w:val="001A4B46"/>
    <w:rsid w:val="001A4C48"/>
    <w:rsid w:val="001A4D3A"/>
    <w:rsid w:val="001A5090"/>
    <w:rsid w:val="001A54E4"/>
    <w:rsid w:val="001A58B5"/>
    <w:rsid w:val="001A58D1"/>
    <w:rsid w:val="001A59EE"/>
    <w:rsid w:val="001A59FD"/>
    <w:rsid w:val="001A5B92"/>
    <w:rsid w:val="001A5CE2"/>
    <w:rsid w:val="001A5DD2"/>
    <w:rsid w:val="001A5E0F"/>
    <w:rsid w:val="001A5F0D"/>
    <w:rsid w:val="001A644E"/>
    <w:rsid w:val="001A65DA"/>
    <w:rsid w:val="001A67BD"/>
    <w:rsid w:val="001A69E7"/>
    <w:rsid w:val="001A6A38"/>
    <w:rsid w:val="001A6C10"/>
    <w:rsid w:val="001A6CF0"/>
    <w:rsid w:val="001A6E3D"/>
    <w:rsid w:val="001A7169"/>
    <w:rsid w:val="001A72C9"/>
    <w:rsid w:val="001A73A4"/>
    <w:rsid w:val="001A74C2"/>
    <w:rsid w:val="001A74FE"/>
    <w:rsid w:val="001A750C"/>
    <w:rsid w:val="001A7516"/>
    <w:rsid w:val="001A76F3"/>
    <w:rsid w:val="001A79F1"/>
    <w:rsid w:val="001A7AB7"/>
    <w:rsid w:val="001A7AC6"/>
    <w:rsid w:val="001A7D51"/>
    <w:rsid w:val="001B0048"/>
    <w:rsid w:val="001B01E7"/>
    <w:rsid w:val="001B055C"/>
    <w:rsid w:val="001B06EC"/>
    <w:rsid w:val="001B0782"/>
    <w:rsid w:val="001B0A6A"/>
    <w:rsid w:val="001B0D5F"/>
    <w:rsid w:val="001B0D76"/>
    <w:rsid w:val="001B101A"/>
    <w:rsid w:val="001B121B"/>
    <w:rsid w:val="001B12FD"/>
    <w:rsid w:val="001B134E"/>
    <w:rsid w:val="001B13FA"/>
    <w:rsid w:val="001B1434"/>
    <w:rsid w:val="001B148B"/>
    <w:rsid w:val="001B14E1"/>
    <w:rsid w:val="001B15D2"/>
    <w:rsid w:val="001B176C"/>
    <w:rsid w:val="001B1AFE"/>
    <w:rsid w:val="001B1B31"/>
    <w:rsid w:val="001B1C23"/>
    <w:rsid w:val="001B1D85"/>
    <w:rsid w:val="001B1E8C"/>
    <w:rsid w:val="001B204C"/>
    <w:rsid w:val="001B214B"/>
    <w:rsid w:val="001B219E"/>
    <w:rsid w:val="001B2239"/>
    <w:rsid w:val="001B2279"/>
    <w:rsid w:val="001B24D1"/>
    <w:rsid w:val="001B277C"/>
    <w:rsid w:val="001B2780"/>
    <w:rsid w:val="001B29B2"/>
    <w:rsid w:val="001B2A76"/>
    <w:rsid w:val="001B2B69"/>
    <w:rsid w:val="001B2C9B"/>
    <w:rsid w:val="001B2CD8"/>
    <w:rsid w:val="001B2E40"/>
    <w:rsid w:val="001B2EAB"/>
    <w:rsid w:val="001B30EE"/>
    <w:rsid w:val="001B3172"/>
    <w:rsid w:val="001B31B8"/>
    <w:rsid w:val="001B3253"/>
    <w:rsid w:val="001B33B1"/>
    <w:rsid w:val="001B3409"/>
    <w:rsid w:val="001B3489"/>
    <w:rsid w:val="001B3652"/>
    <w:rsid w:val="001B366F"/>
    <w:rsid w:val="001B38E9"/>
    <w:rsid w:val="001B3B8F"/>
    <w:rsid w:val="001B3B91"/>
    <w:rsid w:val="001B3BED"/>
    <w:rsid w:val="001B3DDB"/>
    <w:rsid w:val="001B3FD0"/>
    <w:rsid w:val="001B4107"/>
    <w:rsid w:val="001B4201"/>
    <w:rsid w:val="001B46FD"/>
    <w:rsid w:val="001B47E9"/>
    <w:rsid w:val="001B47F7"/>
    <w:rsid w:val="001B4A20"/>
    <w:rsid w:val="001B4C23"/>
    <w:rsid w:val="001B4DF3"/>
    <w:rsid w:val="001B4EF0"/>
    <w:rsid w:val="001B509B"/>
    <w:rsid w:val="001B50B0"/>
    <w:rsid w:val="001B50C1"/>
    <w:rsid w:val="001B5139"/>
    <w:rsid w:val="001B5264"/>
    <w:rsid w:val="001B53C1"/>
    <w:rsid w:val="001B5420"/>
    <w:rsid w:val="001B5589"/>
    <w:rsid w:val="001B5695"/>
    <w:rsid w:val="001B5805"/>
    <w:rsid w:val="001B58E1"/>
    <w:rsid w:val="001B5BF2"/>
    <w:rsid w:val="001B5D24"/>
    <w:rsid w:val="001B5D63"/>
    <w:rsid w:val="001B5D74"/>
    <w:rsid w:val="001B5D76"/>
    <w:rsid w:val="001B5EA4"/>
    <w:rsid w:val="001B5F43"/>
    <w:rsid w:val="001B6034"/>
    <w:rsid w:val="001B6138"/>
    <w:rsid w:val="001B6214"/>
    <w:rsid w:val="001B626B"/>
    <w:rsid w:val="001B6511"/>
    <w:rsid w:val="001B652C"/>
    <w:rsid w:val="001B657D"/>
    <w:rsid w:val="001B6723"/>
    <w:rsid w:val="001B67DC"/>
    <w:rsid w:val="001B68B2"/>
    <w:rsid w:val="001B68D6"/>
    <w:rsid w:val="001B6A74"/>
    <w:rsid w:val="001B6B27"/>
    <w:rsid w:val="001B6C31"/>
    <w:rsid w:val="001B6C53"/>
    <w:rsid w:val="001B6C5B"/>
    <w:rsid w:val="001B6C99"/>
    <w:rsid w:val="001B6F4D"/>
    <w:rsid w:val="001B6F7F"/>
    <w:rsid w:val="001B6FD5"/>
    <w:rsid w:val="001B73B0"/>
    <w:rsid w:val="001B73D8"/>
    <w:rsid w:val="001B73EE"/>
    <w:rsid w:val="001B771F"/>
    <w:rsid w:val="001B7755"/>
    <w:rsid w:val="001B78BC"/>
    <w:rsid w:val="001B78F4"/>
    <w:rsid w:val="001B7A6C"/>
    <w:rsid w:val="001B7B7E"/>
    <w:rsid w:val="001B7C18"/>
    <w:rsid w:val="001B7C36"/>
    <w:rsid w:val="001B7C75"/>
    <w:rsid w:val="001B7D29"/>
    <w:rsid w:val="001B7FB0"/>
    <w:rsid w:val="001C0042"/>
    <w:rsid w:val="001C0160"/>
    <w:rsid w:val="001C06F8"/>
    <w:rsid w:val="001C07C3"/>
    <w:rsid w:val="001C08EB"/>
    <w:rsid w:val="001C093F"/>
    <w:rsid w:val="001C0AF9"/>
    <w:rsid w:val="001C0B58"/>
    <w:rsid w:val="001C0C1D"/>
    <w:rsid w:val="001C0C8C"/>
    <w:rsid w:val="001C0D5B"/>
    <w:rsid w:val="001C10B5"/>
    <w:rsid w:val="001C119D"/>
    <w:rsid w:val="001C1290"/>
    <w:rsid w:val="001C139F"/>
    <w:rsid w:val="001C1421"/>
    <w:rsid w:val="001C1449"/>
    <w:rsid w:val="001C15D2"/>
    <w:rsid w:val="001C184C"/>
    <w:rsid w:val="001C1887"/>
    <w:rsid w:val="001C18CA"/>
    <w:rsid w:val="001C196D"/>
    <w:rsid w:val="001C1A7B"/>
    <w:rsid w:val="001C1AA6"/>
    <w:rsid w:val="001C1C15"/>
    <w:rsid w:val="001C1CE4"/>
    <w:rsid w:val="001C1F38"/>
    <w:rsid w:val="001C1FFF"/>
    <w:rsid w:val="001C2077"/>
    <w:rsid w:val="001C20B2"/>
    <w:rsid w:val="001C2390"/>
    <w:rsid w:val="001C23B9"/>
    <w:rsid w:val="001C26FD"/>
    <w:rsid w:val="001C2808"/>
    <w:rsid w:val="001C2831"/>
    <w:rsid w:val="001C29A0"/>
    <w:rsid w:val="001C29A3"/>
    <w:rsid w:val="001C2DA5"/>
    <w:rsid w:val="001C30A1"/>
    <w:rsid w:val="001C32A9"/>
    <w:rsid w:val="001C33B2"/>
    <w:rsid w:val="001C36C9"/>
    <w:rsid w:val="001C381B"/>
    <w:rsid w:val="001C3860"/>
    <w:rsid w:val="001C398C"/>
    <w:rsid w:val="001C3B41"/>
    <w:rsid w:val="001C3D03"/>
    <w:rsid w:val="001C3D88"/>
    <w:rsid w:val="001C3DE2"/>
    <w:rsid w:val="001C3DE5"/>
    <w:rsid w:val="001C40F0"/>
    <w:rsid w:val="001C4201"/>
    <w:rsid w:val="001C4399"/>
    <w:rsid w:val="001C4459"/>
    <w:rsid w:val="001C45FC"/>
    <w:rsid w:val="001C47BC"/>
    <w:rsid w:val="001C497D"/>
    <w:rsid w:val="001C4A29"/>
    <w:rsid w:val="001C4ADF"/>
    <w:rsid w:val="001C4AF7"/>
    <w:rsid w:val="001C4D5A"/>
    <w:rsid w:val="001C4D79"/>
    <w:rsid w:val="001C4EF2"/>
    <w:rsid w:val="001C4FAF"/>
    <w:rsid w:val="001C5318"/>
    <w:rsid w:val="001C542B"/>
    <w:rsid w:val="001C5454"/>
    <w:rsid w:val="001C55A3"/>
    <w:rsid w:val="001C5625"/>
    <w:rsid w:val="001C56A1"/>
    <w:rsid w:val="001C5860"/>
    <w:rsid w:val="001C588F"/>
    <w:rsid w:val="001C58F5"/>
    <w:rsid w:val="001C5A10"/>
    <w:rsid w:val="001C5D69"/>
    <w:rsid w:val="001C612E"/>
    <w:rsid w:val="001C616A"/>
    <w:rsid w:val="001C663F"/>
    <w:rsid w:val="001C6897"/>
    <w:rsid w:val="001C691E"/>
    <w:rsid w:val="001C6D0C"/>
    <w:rsid w:val="001C6E90"/>
    <w:rsid w:val="001C6F77"/>
    <w:rsid w:val="001C6FA4"/>
    <w:rsid w:val="001C6FAC"/>
    <w:rsid w:val="001C6FB2"/>
    <w:rsid w:val="001C704A"/>
    <w:rsid w:val="001C70A1"/>
    <w:rsid w:val="001C7379"/>
    <w:rsid w:val="001C73C5"/>
    <w:rsid w:val="001C755A"/>
    <w:rsid w:val="001C76D2"/>
    <w:rsid w:val="001C7718"/>
    <w:rsid w:val="001C7730"/>
    <w:rsid w:val="001C795C"/>
    <w:rsid w:val="001C79C6"/>
    <w:rsid w:val="001C7A06"/>
    <w:rsid w:val="001C7C23"/>
    <w:rsid w:val="001C7C2F"/>
    <w:rsid w:val="001C7CDD"/>
    <w:rsid w:val="001C7F21"/>
    <w:rsid w:val="001D00B9"/>
    <w:rsid w:val="001D00CA"/>
    <w:rsid w:val="001D0108"/>
    <w:rsid w:val="001D014B"/>
    <w:rsid w:val="001D01FF"/>
    <w:rsid w:val="001D028E"/>
    <w:rsid w:val="001D02D8"/>
    <w:rsid w:val="001D03A7"/>
    <w:rsid w:val="001D061E"/>
    <w:rsid w:val="001D0752"/>
    <w:rsid w:val="001D085B"/>
    <w:rsid w:val="001D089F"/>
    <w:rsid w:val="001D0AC9"/>
    <w:rsid w:val="001D0B0A"/>
    <w:rsid w:val="001D0E35"/>
    <w:rsid w:val="001D0F58"/>
    <w:rsid w:val="001D10E0"/>
    <w:rsid w:val="001D11CE"/>
    <w:rsid w:val="001D121F"/>
    <w:rsid w:val="001D12B1"/>
    <w:rsid w:val="001D1341"/>
    <w:rsid w:val="001D13D0"/>
    <w:rsid w:val="001D1417"/>
    <w:rsid w:val="001D1467"/>
    <w:rsid w:val="001D1545"/>
    <w:rsid w:val="001D1625"/>
    <w:rsid w:val="001D1829"/>
    <w:rsid w:val="001D1894"/>
    <w:rsid w:val="001D18B5"/>
    <w:rsid w:val="001D1A04"/>
    <w:rsid w:val="001D1DBA"/>
    <w:rsid w:val="001D1FE6"/>
    <w:rsid w:val="001D212D"/>
    <w:rsid w:val="001D21CB"/>
    <w:rsid w:val="001D22FF"/>
    <w:rsid w:val="001D2311"/>
    <w:rsid w:val="001D24CC"/>
    <w:rsid w:val="001D24EF"/>
    <w:rsid w:val="001D2593"/>
    <w:rsid w:val="001D25D1"/>
    <w:rsid w:val="001D266B"/>
    <w:rsid w:val="001D2687"/>
    <w:rsid w:val="001D269E"/>
    <w:rsid w:val="001D272C"/>
    <w:rsid w:val="001D291A"/>
    <w:rsid w:val="001D292B"/>
    <w:rsid w:val="001D2B4F"/>
    <w:rsid w:val="001D2D5E"/>
    <w:rsid w:val="001D2D73"/>
    <w:rsid w:val="001D2D86"/>
    <w:rsid w:val="001D2E62"/>
    <w:rsid w:val="001D2E8C"/>
    <w:rsid w:val="001D30CF"/>
    <w:rsid w:val="001D3138"/>
    <w:rsid w:val="001D3402"/>
    <w:rsid w:val="001D3433"/>
    <w:rsid w:val="001D3763"/>
    <w:rsid w:val="001D3843"/>
    <w:rsid w:val="001D3A2F"/>
    <w:rsid w:val="001D3A39"/>
    <w:rsid w:val="001D3BBD"/>
    <w:rsid w:val="001D3BD5"/>
    <w:rsid w:val="001D3C13"/>
    <w:rsid w:val="001D3D0D"/>
    <w:rsid w:val="001D4005"/>
    <w:rsid w:val="001D4324"/>
    <w:rsid w:val="001D433E"/>
    <w:rsid w:val="001D43C6"/>
    <w:rsid w:val="001D44A6"/>
    <w:rsid w:val="001D4670"/>
    <w:rsid w:val="001D4954"/>
    <w:rsid w:val="001D49B6"/>
    <w:rsid w:val="001D4D2D"/>
    <w:rsid w:val="001D4DC0"/>
    <w:rsid w:val="001D4DE0"/>
    <w:rsid w:val="001D4E67"/>
    <w:rsid w:val="001D4EE7"/>
    <w:rsid w:val="001D522E"/>
    <w:rsid w:val="001D5364"/>
    <w:rsid w:val="001D576F"/>
    <w:rsid w:val="001D57B2"/>
    <w:rsid w:val="001D582B"/>
    <w:rsid w:val="001D5965"/>
    <w:rsid w:val="001D597D"/>
    <w:rsid w:val="001D59A1"/>
    <w:rsid w:val="001D5A3B"/>
    <w:rsid w:val="001D5AD7"/>
    <w:rsid w:val="001D5DFA"/>
    <w:rsid w:val="001D5E4C"/>
    <w:rsid w:val="001D5EF3"/>
    <w:rsid w:val="001D5FDB"/>
    <w:rsid w:val="001D610F"/>
    <w:rsid w:val="001D6708"/>
    <w:rsid w:val="001D672F"/>
    <w:rsid w:val="001D6779"/>
    <w:rsid w:val="001D69A3"/>
    <w:rsid w:val="001D6C1B"/>
    <w:rsid w:val="001D6CD8"/>
    <w:rsid w:val="001D6E0A"/>
    <w:rsid w:val="001D6E27"/>
    <w:rsid w:val="001D6FEA"/>
    <w:rsid w:val="001D7069"/>
    <w:rsid w:val="001D70D3"/>
    <w:rsid w:val="001D71D5"/>
    <w:rsid w:val="001D71E8"/>
    <w:rsid w:val="001D7274"/>
    <w:rsid w:val="001D73A4"/>
    <w:rsid w:val="001D7667"/>
    <w:rsid w:val="001D7789"/>
    <w:rsid w:val="001D798C"/>
    <w:rsid w:val="001D7EFB"/>
    <w:rsid w:val="001D7FC3"/>
    <w:rsid w:val="001D7FCC"/>
    <w:rsid w:val="001E01DE"/>
    <w:rsid w:val="001E02E4"/>
    <w:rsid w:val="001E04F0"/>
    <w:rsid w:val="001E05A5"/>
    <w:rsid w:val="001E05E9"/>
    <w:rsid w:val="001E0635"/>
    <w:rsid w:val="001E0802"/>
    <w:rsid w:val="001E0832"/>
    <w:rsid w:val="001E0A88"/>
    <w:rsid w:val="001E0B07"/>
    <w:rsid w:val="001E0B3C"/>
    <w:rsid w:val="001E0DF4"/>
    <w:rsid w:val="001E0EF7"/>
    <w:rsid w:val="001E0FC2"/>
    <w:rsid w:val="001E109E"/>
    <w:rsid w:val="001E125A"/>
    <w:rsid w:val="001E1280"/>
    <w:rsid w:val="001E14D5"/>
    <w:rsid w:val="001E1690"/>
    <w:rsid w:val="001E16DA"/>
    <w:rsid w:val="001E1758"/>
    <w:rsid w:val="001E1871"/>
    <w:rsid w:val="001E1A13"/>
    <w:rsid w:val="001E1AF7"/>
    <w:rsid w:val="001E1BBB"/>
    <w:rsid w:val="001E1C3D"/>
    <w:rsid w:val="001E1D79"/>
    <w:rsid w:val="001E1DFC"/>
    <w:rsid w:val="001E1ED3"/>
    <w:rsid w:val="001E1EDC"/>
    <w:rsid w:val="001E2114"/>
    <w:rsid w:val="001E2237"/>
    <w:rsid w:val="001E2281"/>
    <w:rsid w:val="001E2308"/>
    <w:rsid w:val="001E25E7"/>
    <w:rsid w:val="001E2682"/>
    <w:rsid w:val="001E290B"/>
    <w:rsid w:val="001E2A7C"/>
    <w:rsid w:val="001E2BBC"/>
    <w:rsid w:val="001E2D1E"/>
    <w:rsid w:val="001E2DCF"/>
    <w:rsid w:val="001E2E3D"/>
    <w:rsid w:val="001E2F18"/>
    <w:rsid w:val="001E32EE"/>
    <w:rsid w:val="001E33E9"/>
    <w:rsid w:val="001E34DD"/>
    <w:rsid w:val="001E3541"/>
    <w:rsid w:val="001E361D"/>
    <w:rsid w:val="001E3627"/>
    <w:rsid w:val="001E39C3"/>
    <w:rsid w:val="001E3A64"/>
    <w:rsid w:val="001E3BBF"/>
    <w:rsid w:val="001E3D82"/>
    <w:rsid w:val="001E3DE0"/>
    <w:rsid w:val="001E4088"/>
    <w:rsid w:val="001E4333"/>
    <w:rsid w:val="001E469D"/>
    <w:rsid w:val="001E4719"/>
    <w:rsid w:val="001E47A8"/>
    <w:rsid w:val="001E491D"/>
    <w:rsid w:val="001E4922"/>
    <w:rsid w:val="001E4B56"/>
    <w:rsid w:val="001E4B66"/>
    <w:rsid w:val="001E4C1F"/>
    <w:rsid w:val="001E4C2A"/>
    <w:rsid w:val="001E4CD5"/>
    <w:rsid w:val="001E4E1B"/>
    <w:rsid w:val="001E4FE0"/>
    <w:rsid w:val="001E5050"/>
    <w:rsid w:val="001E519C"/>
    <w:rsid w:val="001E523D"/>
    <w:rsid w:val="001E5244"/>
    <w:rsid w:val="001E57A6"/>
    <w:rsid w:val="001E5B7A"/>
    <w:rsid w:val="001E5D47"/>
    <w:rsid w:val="001E5EFB"/>
    <w:rsid w:val="001E5EFE"/>
    <w:rsid w:val="001E6046"/>
    <w:rsid w:val="001E6105"/>
    <w:rsid w:val="001E622C"/>
    <w:rsid w:val="001E6357"/>
    <w:rsid w:val="001E635C"/>
    <w:rsid w:val="001E6377"/>
    <w:rsid w:val="001E6438"/>
    <w:rsid w:val="001E643A"/>
    <w:rsid w:val="001E64BC"/>
    <w:rsid w:val="001E64FC"/>
    <w:rsid w:val="001E6542"/>
    <w:rsid w:val="001E663D"/>
    <w:rsid w:val="001E6997"/>
    <w:rsid w:val="001E6A69"/>
    <w:rsid w:val="001E6E38"/>
    <w:rsid w:val="001E6F75"/>
    <w:rsid w:val="001E7222"/>
    <w:rsid w:val="001E7445"/>
    <w:rsid w:val="001E747F"/>
    <w:rsid w:val="001E74B6"/>
    <w:rsid w:val="001E765D"/>
    <w:rsid w:val="001E7802"/>
    <w:rsid w:val="001E781B"/>
    <w:rsid w:val="001E7896"/>
    <w:rsid w:val="001E7898"/>
    <w:rsid w:val="001E7A63"/>
    <w:rsid w:val="001E7CC0"/>
    <w:rsid w:val="001E7D01"/>
    <w:rsid w:val="001E7D45"/>
    <w:rsid w:val="001E7ED1"/>
    <w:rsid w:val="001E7F21"/>
    <w:rsid w:val="001E7F8D"/>
    <w:rsid w:val="001E7FF3"/>
    <w:rsid w:val="001F0019"/>
    <w:rsid w:val="001F015D"/>
    <w:rsid w:val="001F0403"/>
    <w:rsid w:val="001F0644"/>
    <w:rsid w:val="001F073F"/>
    <w:rsid w:val="001F0995"/>
    <w:rsid w:val="001F09E5"/>
    <w:rsid w:val="001F0C92"/>
    <w:rsid w:val="001F0F3F"/>
    <w:rsid w:val="001F160D"/>
    <w:rsid w:val="001F197A"/>
    <w:rsid w:val="001F19C5"/>
    <w:rsid w:val="001F19CA"/>
    <w:rsid w:val="001F1ACD"/>
    <w:rsid w:val="001F1E86"/>
    <w:rsid w:val="001F1F5A"/>
    <w:rsid w:val="001F1F9B"/>
    <w:rsid w:val="001F204E"/>
    <w:rsid w:val="001F22D5"/>
    <w:rsid w:val="001F241F"/>
    <w:rsid w:val="001F2436"/>
    <w:rsid w:val="001F2573"/>
    <w:rsid w:val="001F25F4"/>
    <w:rsid w:val="001F2601"/>
    <w:rsid w:val="001F267C"/>
    <w:rsid w:val="001F2805"/>
    <w:rsid w:val="001F280F"/>
    <w:rsid w:val="001F29B1"/>
    <w:rsid w:val="001F2B7B"/>
    <w:rsid w:val="001F2B8F"/>
    <w:rsid w:val="001F2DB3"/>
    <w:rsid w:val="001F2E8E"/>
    <w:rsid w:val="001F2F1D"/>
    <w:rsid w:val="001F3038"/>
    <w:rsid w:val="001F33E0"/>
    <w:rsid w:val="001F35FE"/>
    <w:rsid w:val="001F373D"/>
    <w:rsid w:val="001F37B2"/>
    <w:rsid w:val="001F37EE"/>
    <w:rsid w:val="001F3877"/>
    <w:rsid w:val="001F38F6"/>
    <w:rsid w:val="001F3A09"/>
    <w:rsid w:val="001F3A1D"/>
    <w:rsid w:val="001F3C01"/>
    <w:rsid w:val="001F3C2B"/>
    <w:rsid w:val="001F3DAC"/>
    <w:rsid w:val="001F3DCE"/>
    <w:rsid w:val="001F3F56"/>
    <w:rsid w:val="001F3FF1"/>
    <w:rsid w:val="001F4077"/>
    <w:rsid w:val="001F407B"/>
    <w:rsid w:val="001F4164"/>
    <w:rsid w:val="001F4185"/>
    <w:rsid w:val="001F4214"/>
    <w:rsid w:val="001F425A"/>
    <w:rsid w:val="001F4282"/>
    <w:rsid w:val="001F4314"/>
    <w:rsid w:val="001F43F9"/>
    <w:rsid w:val="001F4446"/>
    <w:rsid w:val="001F45B2"/>
    <w:rsid w:val="001F4665"/>
    <w:rsid w:val="001F468F"/>
    <w:rsid w:val="001F4919"/>
    <w:rsid w:val="001F4A36"/>
    <w:rsid w:val="001F4AAC"/>
    <w:rsid w:val="001F4B1D"/>
    <w:rsid w:val="001F4BE5"/>
    <w:rsid w:val="001F4CD6"/>
    <w:rsid w:val="001F4D59"/>
    <w:rsid w:val="001F4DEF"/>
    <w:rsid w:val="001F5353"/>
    <w:rsid w:val="001F5516"/>
    <w:rsid w:val="001F589C"/>
    <w:rsid w:val="001F5A10"/>
    <w:rsid w:val="001F5DE7"/>
    <w:rsid w:val="001F5ECF"/>
    <w:rsid w:val="001F5F04"/>
    <w:rsid w:val="001F5FA4"/>
    <w:rsid w:val="001F60AF"/>
    <w:rsid w:val="001F60D9"/>
    <w:rsid w:val="001F6131"/>
    <w:rsid w:val="001F6193"/>
    <w:rsid w:val="001F634B"/>
    <w:rsid w:val="001F63AA"/>
    <w:rsid w:val="001F648C"/>
    <w:rsid w:val="001F64E6"/>
    <w:rsid w:val="001F65F6"/>
    <w:rsid w:val="001F6902"/>
    <w:rsid w:val="001F6A1A"/>
    <w:rsid w:val="001F6A3D"/>
    <w:rsid w:val="001F6A83"/>
    <w:rsid w:val="001F6B89"/>
    <w:rsid w:val="001F6D36"/>
    <w:rsid w:val="001F7092"/>
    <w:rsid w:val="001F7329"/>
    <w:rsid w:val="001F73CF"/>
    <w:rsid w:val="001F73D1"/>
    <w:rsid w:val="001F7400"/>
    <w:rsid w:val="001F75DB"/>
    <w:rsid w:val="001F7625"/>
    <w:rsid w:val="001F7674"/>
    <w:rsid w:val="001F76C8"/>
    <w:rsid w:val="001F77DF"/>
    <w:rsid w:val="001F7B0D"/>
    <w:rsid w:val="001F7D86"/>
    <w:rsid w:val="0020024E"/>
    <w:rsid w:val="0020033A"/>
    <w:rsid w:val="002004EA"/>
    <w:rsid w:val="0020054B"/>
    <w:rsid w:val="00200577"/>
    <w:rsid w:val="002006B0"/>
    <w:rsid w:val="0020077C"/>
    <w:rsid w:val="00200846"/>
    <w:rsid w:val="00200866"/>
    <w:rsid w:val="00200884"/>
    <w:rsid w:val="00200AD9"/>
    <w:rsid w:val="00200BC5"/>
    <w:rsid w:val="00200C0A"/>
    <w:rsid w:val="00200D9F"/>
    <w:rsid w:val="00200E8C"/>
    <w:rsid w:val="00200ECA"/>
    <w:rsid w:val="00200F85"/>
    <w:rsid w:val="00200FD1"/>
    <w:rsid w:val="00201293"/>
    <w:rsid w:val="002013B2"/>
    <w:rsid w:val="002016B3"/>
    <w:rsid w:val="00201AE4"/>
    <w:rsid w:val="00201D7B"/>
    <w:rsid w:val="00201F65"/>
    <w:rsid w:val="00202189"/>
    <w:rsid w:val="00202229"/>
    <w:rsid w:val="0020238E"/>
    <w:rsid w:val="00202495"/>
    <w:rsid w:val="002024C0"/>
    <w:rsid w:val="002026DC"/>
    <w:rsid w:val="00202A17"/>
    <w:rsid w:val="00202A8B"/>
    <w:rsid w:val="00202AF1"/>
    <w:rsid w:val="00202C3F"/>
    <w:rsid w:val="00202D78"/>
    <w:rsid w:val="00202DD2"/>
    <w:rsid w:val="00202F91"/>
    <w:rsid w:val="00203369"/>
    <w:rsid w:val="002033B7"/>
    <w:rsid w:val="00203575"/>
    <w:rsid w:val="00203715"/>
    <w:rsid w:val="00203841"/>
    <w:rsid w:val="00203901"/>
    <w:rsid w:val="00203D62"/>
    <w:rsid w:val="00204056"/>
    <w:rsid w:val="0020407F"/>
    <w:rsid w:val="00204093"/>
    <w:rsid w:val="0020429F"/>
    <w:rsid w:val="002044E4"/>
    <w:rsid w:val="002046E4"/>
    <w:rsid w:val="002047FA"/>
    <w:rsid w:val="00204A10"/>
    <w:rsid w:val="00204A82"/>
    <w:rsid w:val="00204A8C"/>
    <w:rsid w:val="00204B4F"/>
    <w:rsid w:val="00204B66"/>
    <w:rsid w:val="00204BB5"/>
    <w:rsid w:val="00204CDB"/>
    <w:rsid w:val="00204D88"/>
    <w:rsid w:val="00204F24"/>
    <w:rsid w:val="002050A2"/>
    <w:rsid w:val="002050AD"/>
    <w:rsid w:val="00205236"/>
    <w:rsid w:val="0020524D"/>
    <w:rsid w:val="00205291"/>
    <w:rsid w:val="0020562A"/>
    <w:rsid w:val="002057CD"/>
    <w:rsid w:val="002059B7"/>
    <w:rsid w:val="00205B65"/>
    <w:rsid w:val="00205F36"/>
    <w:rsid w:val="00206007"/>
    <w:rsid w:val="002060A7"/>
    <w:rsid w:val="0020615E"/>
    <w:rsid w:val="00206203"/>
    <w:rsid w:val="002062E8"/>
    <w:rsid w:val="00206341"/>
    <w:rsid w:val="00206370"/>
    <w:rsid w:val="0020638F"/>
    <w:rsid w:val="0020639B"/>
    <w:rsid w:val="00206414"/>
    <w:rsid w:val="0020675F"/>
    <w:rsid w:val="0020679E"/>
    <w:rsid w:val="0020687E"/>
    <w:rsid w:val="00206A5A"/>
    <w:rsid w:val="00206A9E"/>
    <w:rsid w:val="00206B62"/>
    <w:rsid w:val="00206BA6"/>
    <w:rsid w:val="00206F9B"/>
    <w:rsid w:val="00207319"/>
    <w:rsid w:val="002077E5"/>
    <w:rsid w:val="00207A16"/>
    <w:rsid w:val="00207BAF"/>
    <w:rsid w:val="00207BD1"/>
    <w:rsid w:val="00207D57"/>
    <w:rsid w:val="00207E09"/>
    <w:rsid w:val="00207F0C"/>
    <w:rsid w:val="00207F84"/>
    <w:rsid w:val="002100AC"/>
    <w:rsid w:val="0021022C"/>
    <w:rsid w:val="0021038F"/>
    <w:rsid w:val="0021042E"/>
    <w:rsid w:val="00210511"/>
    <w:rsid w:val="002107CC"/>
    <w:rsid w:val="00210871"/>
    <w:rsid w:val="002108D0"/>
    <w:rsid w:val="00210A9B"/>
    <w:rsid w:val="00210AD4"/>
    <w:rsid w:val="00210B03"/>
    <w:rsid w:val="00210C63"/>
    <w:rsid w:val="00210D4E"/>
    <w:rsid w:val="00210D86"/>
    <w:rsid w:val="00210E7C"/>
    <w:rsid w:val="00210E9A"/>
    <w:rsid w:val="00210FAB"/>
    <w:rsid w:val="0021113F"/>
    <w:rsid w:val="00211159"/>
    <w:rsid w:val="00211280"/>
    <w:rsid w:val="00211284"/>
    <w:rsid w:val="00211319"/>
    <w:rsid w:val="002114E0"/>
    <w:rsid w:val="00211521"/>
    <w:rsid w:val="002117AD"/>
    <w:rsid w:val="002118C5"/>
    <w:rsid w:val="00211945"/>
    <w:rsid w:val="00211A94"/>
    <w:rsid w:val="00211AC8"/>
    <w:rsid w:val="00211B1B"/>
    <w:rsid w:val="00211BE6"/>
    <w:rsid w:val="00211CA0"/>
    <w:rsid w:val="00211D01"/>
    <w:rsid w:val="0021202B"/>
    <w:rsid w:val="002121EE"/>
    <w:rsid w:val="002122B4"/>
    <w:rsid w:val="00212497"/>
    <w:rsid w:val="002125B0"/>
    <w:rsid w:val="0021267A"/>
    <w:rsid w:val="0021270A"/>
    <w:rsid w:val="00212936"/>
    <w:rsid w:val="002129B7"/>
    <w:rsid w:val="00212AA8"/>
    <w:rsid w:val="00212B82"/>
    <w:rsid w:val="00212D09"/>
    <w:rsid w:val="00212F07"/>
    <w:rsid w:val="00212F68"/>
    <w:rsid w:val="00213007"/>
    <w:rsid w:val="0021327D"/>
    <w:rsid w:val="0021352A"/>
    <w:rsid w:val="0021361C"/>
    <w:rsid w:val="0021370C"/>
    <w:rsid w:val="00213849"/>
    <w:rsid w:val="00213AE8"/>
    <w:rsid w:val="00213B3F"/>
    <w:rsid w:val="00213E43"/>
    <w:rsid w:val="00213E87"/>
    <w:rsid w:val="00213EAC"/>
    <w:rsid w:val="00213F43"/>
    <w:rsid w:val="00213FFA"/>
    <w:rsid w:val="00214037"/>
    <w:rsid w:val="002140C3"/>
    <w:rsid w:val="0021417D"/>
    <w:rsid w:val="0021428F"/>
    <w:rsid w:val="00214342"/>
    <w:rsid w:val="0021451B"/>
    <w:rsid w:val="0021455F"/>
    <w:rsid w:val="0021497F"/>
    <w:rsid w:val="002149EE"/>
    <w:rsid w:val="00214BA9"/>
    <w:rsid w:val="00214BB3"/>
    <w:rsid w:val="00214BE4"/>
    <w:rsid w:val="00214CC8"/>
    <w:rsid w:val="00214D38"/>
    <w:rsid w:val="00214E9F"/>
    <w:rsid w:val="00214ED1"/>
    <w:rsid w:val="002150B9"/>
    <w:rsid w:val="002150D3"/>
    <w:rsid w:val="0021515D"/>
    <w:rsid w:val="002152F7"/>
    <w:rsid w:val="0021539A"/>
    <w:rsid w:val="002153C8"/>
    <w:rsid w:val="002154F2"/>
    <w:rsid w:val="00215673"/>
    <w:rsid w:val="00215744"/>
    <w:rsid w:val="002158C7"/>
    <w:rsid w:val="0021593B"/>
    <w:rsid w:val="00215A13"/>
    <w:rsid w:val="00215A67"/>
    <w:rsid w:val="00215EB1"/>
    <w:rsid w:val="0021617A"/>
    <w:rsid w:val="002161D6"/>
    <w:rsid w:val="002162E2"/>
    <w:rsid w:val="00216403"/>
    <w:rsid w:val="0021647F"/>
    <w:rsid w:val="00216496"/>
    <w:rsid w:val="002164C2"/>
    <w:rsid w:val="0021668D"/>
    <w:rsid w:val="00216831"/>
    <w:rsid w:val="0021691C"/>
    <w:rsid w:val="00216A5B"/>
    <w:rsid w:val="00216BD9"/>
    <w:rsid w:val="00216D33"/>
    <w:rsid w:val="00216D34"/>
    <w:rsid w:val="00216D6C"/>
    <w:rsid w:val="00216DB2"/>
    <w:rsid w:val="00216E10"/>
    <w:rsid w:val="002170BB"/>
    <w:rsid w:val="0021718F"/>
    <w:rsid w:val="00217324"/>
    <w:rsid w:val="002175E4"/>
    <w:rsid w:val="002178F2"/>
    <w:rsid w:val="00217A0E"/>
    <w:rsid w:val="00217C77"/>
    <w:rsid w:val="00217E66"/>
    <w:rsid w:val="00217F34"/>
    <w:rsid w:val="00220082"/>
    <w:rsid w:val="00220146"/>
    <w:rsid w:val="0022028A"/>
    <w:rsid w:val="002202C0"/>
    <w:rsid w:val="0022031A"/>
    <w:rsid w:val="00220338"/>
    <w:rsid w:val="002203B6"/>
    <w:rsid w:val="002203E7"/>
    <w:rsid w:val="00220473"/>
    <w:rsid w:val="002204F7"/>
    <w:rsid w:val="00220528"/>
    <w:rsid w:val="00220650"/>
    <w:rsid w:val="00220849"/>
    <w:rsid w:val="002208F9"/>
    <w:rsid w:val="002209AB"/>
    <w:rsid w:val="00220A8F"/>
    <w:rsid w:val="00220DBE"/>
    <w:rsid w:val="00220E6D"/>
    <w:rsid w:val="00220EC2"/>
    <w:rsid w:val="00220F58"/>
    <w:rsid w:val="002210A6"/>
    <w:rsid w:val="002210AD"/>
    <w:rsid w:val="002210C4"/>
    <w:rsid w:val="00221392"/>
    <w:rsid w:val="00221415"/>
    <w:rsid w:val="00221447"/>
    <w:rsid w:val="002214ED"/>
    <w:rsid w:val="0022154F"/>
    <w:rsid w:val="0022163E"/>
    <w:rsid w:val="00221682"/>
    <w:rsid w:val="002216BB"/>
    <w:rsid w:val="002217D5"/>
    <w:rsid w:val="00221839"/>
    <w:rsid w:val="00221B11"/>
    <w:rsid w:val="00221B96"/>
    <w:rsid w:val="00221BD1"/>
    <w:rsid w:val="00221D3D"/>
    <w:rsid w:val="00221FC8"/>
    <w:rsid w:val="002220AC"/>
    <w:rsid w:val="00222127"/>
    <w:rsid w:val="00222142"/>
    <w:rsid w:val="00222671"/>
    <w:rsid w:val="00222681"/>
    <w:rsid w:val="002226C4"/>
    <w:rsid w:val="00222731"/>
    <w:rsid w:val="00222B18"/>
    <w:rsid w:val="00222BB7"/>
    <w:rsid w:val="00222BB8"/>
    <w:rsid w:val="00222BC4"/>
    <w:rsid w:val="00222DFE"/>
    <w:rsid w:val="00222F1E"/>
    <w:rsid w:val="0022303F"/>
    <w:rsid w:val="0022317C"/>
    <w:rsid w:val="002231D4"/>
    <w:rsid w:val="0022324D"/>
    <w:rsid w:val="0022338B"/>
    <w:rsid w:val="00223683"/>
    <w:rsid w:val="00223930"/>
    <w:rsid w:val="00223B98"/>
    <w:rsid w:val="00223BD6"/>
    <w:rsid w:val="00223E93"/>
    <w:rsid w:val="00223EC9"/>
    <w:rsid w:val="00223F57"/>
    <w:rsid w:val="00224030"/>
    <w:rsid w:val="002240CD"/>
    <w:rsid w:val="0022412E"/>
    <w:rsid w:val="002244E1"/>
    <w:rsid w:val="00224545"/>
    <w:rsid w:val="0022454E"/>
    <w:rsid w:val="00224558"/>
    <w:rsid w:val="00224571"/>
    <w:rsid w:val="00224628"/>
    <w:rsid w:val="002246DB"/>
    <w:rsid w:val="00224706"/>
    <w:rsid w:val="002248A4"/>
    <w:rsid w:val="002248D2"/>
    <w:rsid w:val="002248E6"/>
    <w:rsid w:val="00224922"/>
    <w:rsid w:val="0022498D"/>
    <w:rsid w:val="00224AFA"/>
    <w:rsid w:val="00224B39"/>
    <w:rsid w:val="00224EB8"/>
    <w:rsid w:val="0022513A"/>
    <w:rsid w:val="0022515B"/>
    <w:rsid w:val="0022526E"/>
    <w:rsid w:val="00225361"/>
    <w:rsid w:val="002253D5"/>
    <w:rsid w:val="002255EB"/>
    <w:rsid w:val="00225612"/>
    <w:rsid w:val="002257B1"/>
    <w:rsid w:val="00225A7E"/>
    <w:rsid w:val="00225C9B"/>
    <w:rsid w:val="00225DE7"/>
    <w:rsid w:val="00225F7A"/>
    <w:rsid w:val="00225FB2"/>
    <w:rsid w:val="002262B5"/>
    <w:rsid w:val="0022634C"/>
    <w:rsid w:val="00226463"/>
    <w:rsid w:val="002266E1"/>
    <w:rsid w:val="00226804"/>
    <w:rsid w:val="00226981"/>
    <w:rsid w:val="00226BBB"/>
    <w:rsid w:val="00226F85"/>
    <w:rsid w:val="00227071"/>
    <w:rsid w:val="0022744F"/>
    <w:rsid w:val="0022749B"/>
    <w:rsid w:val="0022775E"/>
    <w:rsid w:val="00227839"/>
    <w:rsid w:val="002278FE"/>
    <w:rsid w:val="002279CC"/>
    <w:rsid w:val="002279D4"/>
    <w:rsid w:val="00227C34"/>
    <w:rsid w:val="00227E4A"/>
    <w:rsid w:val="00227F98"/>
    <w:rsid w:val="002300EC"/>
    <w:rsid w:val="00230292"/>
    <w:rsid w:val="00230302"/>
    <w:rsid w:val="002303E3"/>
    <w:rsid w:val="0023047D"/>
    <w:rsid w:val="002305E0"/>
    <w:rsid w:val="00230640"/>
    <w:rsid w:val="002307C3"/>
    <w:rsid w:val="002308FB"/>
    <w:rsid w:val="00230922"/>
    <w:rsid w:val="00230985"/>
    <w:rsid w:val="002309C6"/>
    <w:rsid w:val="002309CC"/>
    <w:rsid w:val="00230A34"/>
    <w:rsid w:val="00230BA3"/>
    <w:rsid w:val="00230BDC"/>
    <w:rsid w:val="00230C12"/>
    <w:rsid w:val="002310D6"/>
    <w:rsid w:val="00231120"/>
    <w:rsid w:val="00231590"/>
    <w:rsid w:val="002317F4"/>
    <w:rsid w:val="00231AC7"/>
    <w:rsid w:val="00231B07"/>
    <w:rsid w:val="00231C05"/>
    <w:rsid w:val="00231DC4"/>
    <w:rsid w:val="00231E42"/>
    <w:rsid w:val="00231FEB"/>
    <w:rsid w:val="00232043"/>
    <w:rsid w:val="002320C9"/>
    <w:rsid w:val="0023225D"/>
    <w:rsid w:val="002322C6"/>
    <w:rsid w:val="002323B6"/>
    <w:rsid w:val="00232468"/>
    <w:rsid w:val="0023255F"/>
    <w:rsid w:val="00232823"/>
    <w:rsid w:val="002328D5"/>
    <w:rsid w:val="00232A5F"/>
    <w:rsid w:val="00232A64"/>
    <w:rsid w:val="00232A7A"/>
    <w:rsid w:val="00232A85"/>
    <w:rsid w:val="00232BA9"/>
    <w:rsid w:val="00232C09"/>
    <w:rsid w:val="00232D99"/>
    <w:rsid w:val="00232E38"/>
    <w:rsid w:val="0023322B"/>
    <w:rsid w:val="00233269"/>
    <w:rsid w:val="0023328F"/>
    <w:rsid w:val="0023352E"/>
    <w:rsid w:val="00233562"/>
    <w:rsid w:val="00233648"/>
    <w:rsid w:val="0023372F"/>
    <w:rsid w:val="0023395D"/>
    <w:rsid w:val="00233C98"/>
    <w:rsid w:val="00233D5B"/>
    <w:rsid w:val="00233E22"/>
    <w:rsid w:val="00233E2E"/>
    <w:rsid w:val="00233EE1"/>
    <w:rsid w:val="0023401F"/>
    <w:rsid w:val="00234104"/>
    <w:rsid w:val="00234380"/>
    <w:rsid w:val="002343EA"/>
    <w:rsid w:val="00234576"/>
    <w:rsid w:val="00234662"/>
    <w:rsid w:val="00234859"/>
    <w:rsid w:val="002348D1"/>
    <w:rsid w:val="00234A50"/>
    <w:rsid w:val="00234AA2"/>
    <w:rsid w:val="00234AC2"/>
    <w:rsid w:val="00234B3A"/>
    <w:rsid w:val="00234BC6"/>
    <w:rsid w:val="00234BF2"/>
    <w:rsid w:val="00234DD1"/>
    <w:rsid w:val="00234F1E"/>
    <w:rsid w:val="002350C5"/>
    <w:rsid w:val="002350EE"/>
    <w:rsid w:val="00235154"/>
    <w:rsid w:val="002351B6"/>
    <w:rsid w:val="00235541"/>
    <w:rsid w:val="00235602"/>
    <w:rsid w:val="0023567F"/>
    <w:rsid w:val="00235782"/>
    <w:rsid w:val="002357E6"/>
    <w:rsid w:val="00235924"/>
    <w:rsid w:val="00235B8B"/>
    <w:rsid w:val="00235C12"/>
    <w:rsid w:val="00235F6C"/>
    <w:rsid w:val="00236054"/>
    <w:rsid w:val="0023618A"/>
    <w:rsid w:val="002363A9"/>
    <w:rsid w:val="002363DB"/>
    <w:rsid w:val="002364AF"/>
    <w:rsid w:val="00236602"/>
    <w:rsid w:val="002367E7"/>
    <w:rsid w:val="00236872"/>
    <w:rsid w:val="00236923"/>
    <w:rsid w:val="0023692A"/>
    <w:rsid w:val="002369B6"/>
    <w:rsid w:val="00236D26"/>
    <w:rsid w:val="00236DC6"/>
    <w:rsid w:val="00236E1C"/>
    <w:rsid w:val="002370FC"/>
    <w:rsid w:val="00237159"/>
    <w:rsid w:val="00237205"/>
    <w:rsid w:val="00237248"/>
    <w:rsid w:val="002375C3"/>
    <w:rsid w:val="002376D6"/>
    <w:rsid w:val="002377A7"/>
    <w:rsid w:val="0023784E"/>
    <w:rsid w:val="00237997"/>
    <w:rsid w:val="002379A7"/>
    <w:rsid w:val="002379C8"/>
    <w:rsid w:val="00237A18"/>
    <w:rsid w:val="00237A3F"/>
    <w:rsid w:val="00237AC8"/>
    <w:rsid w:val="00237C35"/>
    <w:rsid w:val="00237C7D"/>
    <w:rsid w:val="00237C85"/>
    <w:rsid w:val="00237D28"/>
    <w:rsid w:val="00237DE2"/>
    <w:rsid w:val="00237E6D"/>
    <w:rsid w:val="00237EAA"/>
    <w:rsid w:val="0024016F"/>
    <w:rsid w:val="0024028E"/>
    <w:rsid w:val="00240434"/>
    <w:rsid w:val="002404E0"/>
    <w:rsid w:val="00240535"/>
    <w:rsid w:val="002407A2"/>
    <w:rsid w:val="002407F8"/>
    <w:rsid w:val="002409EC"/>
    <w:rsid w:val="00240C27"/>
    <w:rsid w:val="00240CFC"/>
    <w:rsid w:val="00240DC7"/>
    <w:rsid w:val="00240DD9"/>
    <w:rsid w:val="00240E98"/>
    <w:rsid w:val="00240FE0"/>
    <w:rsid w:val="002410F7"/>
    <w:rsid w:val="002411C0"/>
    <w:rsid w:val="002411DA"/>
    <w:rsid w:val="0024134D"/>
    <w:rsid w:val="0024135A"/>
    <w:rsid w:val="00241568"/>
    <w:rsid w:val="002415FB"/>
    <w:rsid w:val="002419E7"/>
    <w:rsid w:val="00241A65"/>
    <w:rsid w:val="00241BA6"/>
    <w:rsid w:val="00241C42"/>
    <w:rsid w:val="00241DD1"/>
    <w:rsid w:val="00241E60"/>
    <w:rsid w:val="00241F09"/>
    <w:rsid w:val="00241F20"/>
    <w:rsid w:val="00241FB8"/>
    <w:rsid w:val="002420EC"/>
    <w:rsid w:val="00242193"/>
    <w:rsid w:val="002421B4"/>
    <w:rsid w:val="002421D0"/>
    <w:rsid w:val="0024239A"/>
    <w:rsid w:val="002423A2"/>
    <w:rsid w:val="002425D7"/>
    <w:rsid w:val="002425EB"/>
    <w:rsid w:val="002426B7"/>
    <w:rsid w:val="00242921"/>
    <w:rsid w:val="00242B5F"/>
    <w:rsid w:val="00242C48"/>
    <w:rsid w:val="00242C4E"/>
    <w:rsid w:val="00242D31"/>
    <w:rsid w:val="00242D3C"/>
    <w:rsid w:val="00242E1D"/>
    <w:rsid w:val="00242E79"/>
    <w:rsid w:val="00242FA6"/>
    <w:rsid w:val="00242FB3"/>
    <w:rsid w:val="00243126"/>
    <w:rsid w:val="0024324F"/>
    <w:rsid w:val="0024325C"/>
    <w:rsid w:val="002433FA"/>
    <w:rsid w:val="002437BB"/>
    <w:rsid w:val="002437FB"/>
    <w:rsid w:val="002438AC"/>
    <w:rsid w:val="00243905"/>
    <w:rsid w:val="00243995"/>
    <w:rsid w:val="00243DC5"/>
    <w:rsid w:val="00243FF0"/>
    <w:rsid w:val="00243FFB"/>
    <w:rsid w:val="00244060"/>
    <w:rsid w:val="002440A4"/>
    <w:rsid w:val="002442BD"/>
    <w:rsid w:val="00244690"/>
    <w:rsid w:val="0024497B"/>
    <w:rsid w:val="00244ADF"/>
    <w:rsid w:val="00244B22"/>
    <w:rsid w:val="00244D0C"/>
    <w:rsid w:val="00244DAF"/>
    <w:rsid w:val="00244E88"/>
    <w:rsid w:val="00245062"/>
    <w:rsid w:val="002450DD"/>
    <w:rsid w:val="002457A0"/>
    <w:rsid w:val="00245995"/>
    <w:rsid w:val="00245B23"/>
    <w:rsid w:val="00245CD4"/>
    <w:rsid w:val="00245F74"/>
    <w:rsid w:val="00245FE8"/>
    <w:rsid w:val="00246052"/>
    <w:rsid w:val="002460C6"/>
    <w:rsid w:val="0024610F"/>
    <w:rsid w:val="002461A7"/>
    <w:rsid w:val="002461BA"/>
    <w:rsid w:val="00246286"/>
    <w:rsid w:val="002462D8"/>
    <w:rsid w:val="00246530"/>
    <w:rsid w:val="002465E7"/>
    <w:rsid w:val="00246688"/>
    <w:rsid w:val="0024694A"/>
    <w:rsid w:val="00246FF2"/>
    <w:rsid w:val="002471BA"/>
    <w:rsid w:val="0024736D"/>
    <w:rsid w:val="002477AE"/>
    <w:rsid w:val="0024785F"/>
    <w:rsid w:val="002478E6"/>
    <w:rsid w:val="00247942"/>
    <w:rsid w:val="00247A23"/>
    <w:rsid w:val="00247A25"/>
    <w:rsid w:val="00247AEF"/>
    <w:rsid w:val="00247B09"/>
    <w:rsid w:val="00247B34"/>
    <w:rsid w:val="00247D5C"/>
    <w:rsid w:val="002502A0"/>
    <w:rsid w:val="002502B1"/>
    <w:rsid w:val="002506F8"/>
    <w:rsid w:val="00250781"/>
    <w:rsid w:val="00250832"/>
    <w:rsid w:val="002508DA"/>
    <w:rsid w:val="00250AB6"/>
    <w:rsid w:val="00250CAB"/>
    <w:rsid w:val="00250D76"/>
    <w:rsid w:val="00250E76"/>
    <w:rsid w:val="00250E8E"/>
    <w:rsid w:val="00250E99"/>
    <w:rsid w:val="002512FF"/>
    <w:rsid w:val="002513C9"/>
    <w:rsid w:val="002515A3"/>
    <w:rsid w:val="002515E7"/>
    <w:rsid w:val="0025165B"/>
    <w:rsid w:val="00251904"/>
    <w:rsid w:val="00251AB5"/>
    <w:rsid w:val="00251EEB"/>
    <w:rsid w:val="00251F21"/>
    <w:rsid w:val="00251FC7"/>
    <w:rsid w:val="00251FF6"/>
    <w:rsid w:val="00252066"/>
    <w:rsid w:val="002520F0"/>
    <w:rsid w:val="0025221C"/>
    <w:rsid w:val="002525B9"/>
    <w:rsid w:val="002525DD"/>
    <w:rsid w:val="00252652"/>
    <w:rsid w:val="0025268A"/>
    <w:rsid w:val="00252908"/>
    <w:rsid w:val="0025292D"/>
    <w:rsid w:val="002529D0"/>
    <w:rsid w:val="00252AFE"/>
    <w:rsid w:val="00252DF6"/>
    <w:rsid w:val="00252E05"/>
    <w:rsid w:val="00252EFD"/>
    <w:rsid w:val="00252F55"/>
    <w:rsid w:val="00252FAA"/>
    <w:rsid w:val="0025300E"/>
    <w:rsid w:val="002530F3"/>
    <w:rsid w:val="0025315E"/>
    <w:rsid w:val="00253194"/>
    <w:rsid w:val="002531CA"/>
    <w:rsid w:val="002531D4"/>
    <w:rsid w:val="002532C8"/>
    <w:rsid w:val="002532E2"/>
    <w:rsid w:val="0025338E"/>
    <w:rsid w:val="002533B3"/>
    <w:rsid w:val="002533DA"/>
    <w:rsid w:val="0025353F"/>
    <w:rsid w:val="002535CC"/>
    <w:rsid w:val="002535FF"/>
    <w:rsid w:val="00253698"/>
    <w:rsid w:val="002538F2"/>
    <w:rsid w:val="002539EF"/>
    <w:rsid w:val="00253B72"/>
    <w:rsid w:val="00253B89"/>
    <w:rsid w:val="00253CCB"/>
    <w:rsid w:val="00253F16"/>
    <w:rsid w:val="00254011"/>
    <w:rsid w:val="002543C6"/>
    <w:rsid w:val="002544FA"/>
    <w:rsid w:val="00254840"/>
    <w:rsid w:val="002548B5"/>
    <w:rsid w:val="00254C0C"/>
    <w:rsid w:val="00254D22"/>
    <w:rsid w:val="00254DC2"/>
    <w:rsid w:val="00254E90"/>
    <w:rsid w:val="00254F10"/>
    <w:rsid w:val="00254FC7"/>
    <w:rsid w:val="002550E0"/>
    <w:rsid w:val="00255167"/>
    <w:rsid w:val="00255255"/>
    <w:rsid w:val="002552E6"/>
    <w:rsid w:val="00255485"/>
    <w:rsid w:val="0025559F"/>
    <w:rsid w:val="002556CD"/>
    <w:rsid w:val="00255727"/>
    <w:rsid w:val="0025572D"/>
    <w:rsid w:val="00255A74"/>
    <w:rsid w:val="00255A96"/>
    <w:rsid w:val="00255B42"/>
    <w:rsid w:val="00255BCD"/>
    <w:rsid w:val="00255F43"/>
    <w:rsid w:val="00256325"/>
    <w:rsid w:val="00256404"/>
    <w:rsid w:val="002565CB"/>
    <w:rsid w:val="00256813"/>
    <w:rsid w:val="002568FB"/>
    <w:rsid w:val="002569B3"/>
    <w:rsid w:val="00256ABE"/>
    <w:rsid w:val="00256B8B"/>
    <w:rsid w:val="00256C08"/>
    <w:rsid w:val="00256C86"/>
    <w:rsid w:val="00256D1C"/>
    <w:rsid w:val="00256DE4"/>
    <w:rsid w:val="00256E4F"/>
    <w:rsid w:val="00256F12"/>
    <w:rsid w:val="00257027"/>
    <w:rsid w:val="00257223"/>
    <w:rsid w:val="002574D6"/>
    <w:rsid w:val="00257693"/>
    <w:rsid w:val="002579CF"/>
    <w:rsid w:val="002579D3"/>
    <w:rsid w:val="00257DF4"/>
    <w:rsid w:val="00257E0C"/>
    <w:rsid w:val="00257F9B"/>
    <w:rsid w:val="00260093"/>
    <w:rsid w:val="00260124"/>
    <w:rsid w:val="00260337"/>
    <w:rsid w:val="002607A9"/>
    <w:rsid w:val="0026084C"/>
    <w:rsid w:val="0026087F"/>
    <w:rsid w:val="00260909"/>
    <w:rsid w:val="00260978"/>
    <w:rsid w:val="00260A8A"/>
    <w:rsid w:val="00260BFA"/>
    <w:rsid w:val="00260D67"/>
    <w:rsid w:val="00260DA5"/>
    <w:rsid w:val="00260F05"/>
    <w:rsid w:val="00260F9C"/>
    <w:rsid w:val="00261175"/>
    <w:rsid w:val="002611B5"/>
    <w:rsid w:val="002611B8"/>
    <w:rsid w:val="0026123C"/>
    <w:rsid w:val="002612F8"/>
    <w:rsid w:val="00261509"/>
    <w:rsid w:val="002617BF"/>
    <w:rsid w:val="00261C2C"/>
    <w:rsid w:val="00261E15"/>
    <w:rsid w:val="00261EDD"/>
    <w:rsid w:val="00261F87"/>
    <w:rsid w:val="00261FCF"/>
    <w:rsid w:val="0026202F"/>
    <w:rsid w:val="0026207C"/>
    <w:rsid w:val="002620F0"/>
    <w:rsid w:val="002623D4"/>
    <w:rsid w:val="002625EA"/>
    <w:rsid w:val="00262664"/>
    <w:rsid w:val="002626D3"/>
    <w:rsid w:val="002626F1"/>
    <w:rsid w:val="00262759"/>
    <w:rsid w:val="002628A2"/>
    <w:rsid w:val="00262919"/>
    <w:rsid w:val="00262A27"/>
    <w:rsid w:val="00262F2C"/>
    <w:rsid w:val="00262FCB"/>
    <w:rsid w:val="00263071"/>
    <w:rsid w:val="00263177"/>
    <w:rsid w:val="0026331B"/>
    <w:rsid w:val="002635AF"/>
    <w:rsid w:val="0026365F"/>
    <w:rsid w:val="002637C6"/>
    <w:rsid w:val="002639C2"/>
    <w:rsid w:val="00263AC8"/>
    <w:rsid w:val="00263AD7"/>
    <w:rsid w:val="00263B10"/>
    <w:rsid w:val="00263BA0"/>
    <w:rsid w:val="00263DCC"/>
    <w:rsid w:val="00263E1E"/>
    <w:rsid w:val="00263E28"/>
    <w:rsid w:val="00263F60"/>
    <w:rsid w:val="00264162"/>
    <w:rsid w:val="00264239"/>
    <w:rsid w:val="00264249"/>
    <w:rsid w:val="00264271"/>
    <w:rsid w:val="00264541"/>
    <w:rsid w:val="002645AE"/>
    <w:rsid w:val="002645E9"/>
    <w:rsid w:val="00264638"/>
    <w:rsid w:val="00264670"/>
    <w:rsid w:val="002647BF"/>
    <w:rsid w:val="0026489B"/>
    <w:rsid w:val="002648A0"/>
    <w:rsid w:val="002648F4"/>
    <w:rsid w:val="00264AE1"/>
    <w:rsid w:val="00264C77"/>
    <w:rsid w:val="00264F10"/>
    <w:rsid w:val="00265128"/>
    <w:rsid w:val="0026553E"/>
    <w:rsid w:val="00265705"/>
    <w:rsid w:val="00265B4E"/>
    <w:rsid w:val="00265B56"/>
    <w:rsid w:val="00265DE1"/>
    <w:rsid w:val="00265F30"/>
    <w:rsid w:val="00265F90"/>
    <w:rsid w:val="0026604D"/>
    <w:rsid w:val="00266094"/>
    <w:rsid w:val="002662F1"/>
    <w:rsid w:val="0026641E"/>
    <w:rsid w:val="0026645D"/>
    <w:rsid w:val="00266685"/>
    <w:rsid w:val="002666C3"/>
    <w:rsid w:val="002667EF"/>
    <w:rsid w:val="00266863"/>
    <w:rsid w:val="002668E2"/>
    <w:rsid w:val="002668F7"/>
    <w:rsid w:val="0026698B"/>
    <w:rsid w:val="00266ACE"/>
    <w:rsid w:val="00266B1C"/>
    <w:rsid w:val="00266B5B"/>
    <w:rsid w:val="00266BE7"/>
    <w:rsid w:val="00266D96"/>
    <w:rsid w:val="00266F38"/>
    <w:rsid w:val="00266FE1"/>
    <w:rsid w:val="002670CE"/>
    <w:rsid w:val="002671D7"/>
    <w:rsid w:val="002673EF"/>
    <w:rsid w:val="00267470"/>
    <w:rsid w:val="00267516"/>
    <w:rsid w:val="0026765B"/>
    <w:rsid w:val="0026772C"/>
    <w:rsid w:val="00267768"/>
    <w:rsid w:val="0026791E"/>
    <w:rsid w:val="00267952"/>
    <w:rsid w:val="00267AEB"/>
    <w:rsid w:val="00267BDA"/>
    <w:rsid w:val="00267C28"/>
    <w:rsid w:val="00267D50"/>
    <w:rsid w:val="00267DAA"/>
    <w:rsid w:val="00267F71"/>
    <w:rsid w:val="00267F99"/>
    <w:rsid w:val="00270028"/>
    <w:rsid w:val="00270048"/>
    <w:rsid w:val="00270109"/>
    <w:rsid w:val="002701B6"/>
    <w:rsid w:val="002702CE"/>
    <w:rsid w:val="00270303"/>
    <w:rsid w:val="002703C3"/>
    <w:rsid w:val="002704D0"/>
    <w:rsid w:val="00270526"/>
    <w:rsid w:val="002706FA"/>
    <w:rsid w:val="0027070F"/>
    <w:rsid w:val="002707A0"/>
    <w:rsid w:val="002707C2"/>
    <w:rsid w:val="002708C3"/>
    <w:rsid w:val="002709F1"/>
    <w:rsid w:val="00270BDC"/>
    <w:rsid w:val="00270C43"/>
    <w:rsid w:val="00270C8F"/>
    <w:rsid w:val="00270D71"/>
    <w:rsid w:val="00270D7B"/>
    <w:rsid w:val="00270E69"/>
    <w:rsid w:val="00270F36"/>
    <w:rsid w:val="00270F49"/>
    <w:rsid w:val="00270F96"/>
    <w:rsid w:val="00271071"/>
    <w:rsid w:val="002710B0"/>
    <w:rsid w:val="00271106"/>
    <w:rsid w:val="00271131"/>
    <w:rsid w:val="002711D8"/>
    <w:rsid w:val="002713D4"/>
    <w:rsid w:val="002713F7"/>
    <w:rsid w:val="002716FE"/>
    <w:rsid w:val="0027182D"/>
    <w:rsid w:val="00271C1F"/>
    <w:rsid w:val="00271DB3"/>
    <w:rsid w:val="00271E32"/>
    <w:rsid w:val="00271EE4"/>
    <w:rsid w:val="00271EF1"/>
    <w:rsid w:val="00271EF4"/>
    <w:rsid w:val="00271FEB"/>
    <w:rsid w:val="00272010"/>
    <w:rsid w:val="00272158"/>
    <w:rsid w:val="002721A2"/>
    <w:rsid w:val="0027237C"/>
    <w:rsid w:val="00272411"/>
    <w:rsid w:val="00272834"/>
    <w:rsid w:val="00272ABB"/>
    <w:rsid w:val="00272CD2"/>
    <w:rsid w:val="00272D26"/>
    <w:rsid w:val="00272D93"/>
    <w:rsid w:val="00272EF0"/>
    <w:rsid w:val="00272F71"/>
    <w:rsid w:val="00272FCD"/>
    <w:rsid w:val="002730B3"/>
    <w:rsid w:val="002733AB"/>
    <w:rsid w:val="0027359F"/>
    <w:rsid w:val="0027371C"/>
    <w:rsid w:val="00273972"/>
    <w:rsid w:val="00273A91"/>
    <w:rsid w:val="00273B09"/>
    <w:rsid w:val="00273BBF"/>
    <w:rsid w:val="00273C5D"/>
    <w:rsid w:val="00273E02"/>
    <w:rsid w:val="00273F3A"/>
    <w:rsid w:val="00273FBC"/>
    <w:rsid w:val="0027404C"/>
    <w:rsid w:val="00274198"/>
    <w:rsid w:val="0027419B"/>
    <w:rsid w:val="002742F4"/>
    <w:rsid w:val="002743D9"/>
    <w:rsid w:val="0027468F"/>
    <w:rsid w:val="002747B7"/>
    <w:rsid w:val="002748FE"/>
    <w:rsid w:val="0027491F"/>
    <w:rsid w:val="0027493C"/>
    <w:rsid w:val="00274B52"/>
    <w:rsid w:val="00274E6F"/>
    <w:rsid w:val="00274E72"/>
    <w:rsid w:val="00274F22"/>
    <w:rsid w:val="00274F3D"/>
    <w:rsid w:val="00274F5F"/>
    <w:rsid w:val="00274FD0"/>
    <w:rsid w:val="00275177"/>
    <w:rsid w:val="002751EF"/>
    <w:rsid w:val="0027546C"/>
    <w:rsid w:val="0027567C"/>
    <w:rsid w:val="002756A6"/>
    <w:rsid w:val="00275708"/>
    <w:rsid w:val="002758D6"/>
    <w:rsid w:val="00275915"/>
    <w:rsid w:val="00275A20"/>
    <w:rsid w:val="00275AEF"/>
    <w:rsid w:val="00275C57"/>
    <w:rsid w:val="00275D1A"/>
    <w:rsid w:val="00275D67"/>
    <w:rsid w:val="00275E27"/>
    <w:rsid w:val="00275E83"/>
    <w:rsid w:val="00275ED5"/>
    <w:rsid w:val="00275F88"/>
    <w:rsid w:val="002761A4"/>
    <w:rsid w:val="002761CB"/>
    <w:rsid w:val="002762C3"/>
    <w:rsid w:val="002765D4"/>
    <w:rsid w:val="0027660D"/>
    <w:rsid w:val="002767E4"/>
    <w:rsid w:val="002767FD"/>
    <w:rsid w:val="0027680A"/>
    <w:rsid w:val="002768E2"/>
    <w:rsid w:val="00276994"/>
    <w:rsid w:val="00276A17"/>
    <w:rsid w:val="00276B36"/>
    <w:rsid w:val="00276C28"/>
    <w:rsid w:val="00276C32"/>
    <w:rsid w:val="00276C3E"/>
    <w:rsid w:val="00276C70"/>
    <w:rsid w:val="00276CCC"/>
    <w:rsid w:val="00277191"/>
    <w:rsid w:val="002772E5"/>
    <w:rsid w:val="002773DB"/>
    <w:rsid w:val="00277516"/>
    <w:rsid w:val="00277573"/>
    <w:rsid w:val="0027769A"/>
    <w:rsid w:val="0027778D"/>
    <w:rsid w:val="002777E9"/>
    <w:rsid w:val="002778DE"/>
    <w:rsid w:val="00277D26"/>
    <w:rsid w:val="00277DF1"/>
    <w:rsid w:val="00277F4E"/>
    <w:rsid w:val="00277FC0"/>
    <w:rsid w:val="002800A5"/>
    <w:rsid w:val="0028022A"/>
    <w:rsid w:val="002802EA"/>
    <w:rsid w:val="00280391"/>
    <w:rsid w:val="002806C5"/>
    <w:rsid w:val="002807FB"/>
    <w:rsid w:val="00280895"/>
    <w:rsid w:val="00280A10"/>
    <w:rsid w:val="00280AE2"/>
    <w:rsid w:val="00280B36"/>
    <w:rsid w:val="00280C4A"/>
    <w:rsid w:val="00280E14"/>
    <w:rsid w:val="00280ECB"/>
    <w:rsid w:val="0028115C"/>
    <w:rsid w:val="00281316"/>
    <w:rsid w:val="0028142E"/>
    <w:rsid w:val="002814BC"/>
    <w:rsid w:val="002814E3"/>
    <w:rsid w:val="0028155E"/>
    <w:rsid w:val="00281608"/>
    <w:rsid w:val="0028161F"/>
    <w:rsid w:val="00281665"/>
    <w:rsid w:val="002816F2"/>
    <w:rsid w:val="0028176D"/>
    <w:rsid w:val="002819E8"/>
    <w:rsid w:val="00281A5C"/>
    <w:rsid w:val="00281A78"/>
    <w:rsid w:val="00281AE0"/>
    <w:rsid w:val="00281B62"/>
    <w:rsid w:val="00281B67"/>
    <w:rsid w:val="00281C01"/>
    <w:rsid w:val="00281C66"/>
    <w:rsid w:val="00281C86"/>
    <w:rsid w:val="00281D09"/>
    <w:rsid w:val="002820A9"/>
    <w:rsid w:val="00282183"/>
    <w:rsid w:val="002821D8"/>
    <w:rsid w:val="0028245E"/>
    <w:rsid w:val="0028248C"/>
    <w:rsid w:val="00282959"/>
    <w:rsid w:val="00282A67"/>
    <w:rsid w:val="00282AC6"/>
    <w:rsid w:val="00282B1B"/>
    <w:rsid w:val="00282BE3"/>
    <w:rsid w:val="00282C31"/>
    <w:rsid w:val="00283155"/>
    <w:rsid w:val="00283174"/>
    <w:rsid w:val="002834CB"/>
    <w:rsid w:val="0028358E"/>
    <w:rsid w:val="00283603"/>
    <w:rsid w:val="0028360A"/>
    <w:rsid w:val="002837BD"/>
    <w:rsid w:val="002839BB"/>
    <w:rsid w:val="00283A2B"/>
    <w:rsid w:val="00283AAE"/>
    <w:rsid w:val="00283B40"/>
    <w:rsid w:val="00283E1D"/>
    <w:rsid w:val="0028441A"/>
    <w:rsid w:val="0028467C"/>
    <w:rsid w:val="00284838"/>
    <w:rsid w:val="00284AEA"/>
    <w:rsid w:val="00284D19"/>
    <w:rsid w:val="00285136"/>
    <w:rsid w:val="00285310"/>
    <w:rsid w:val="0028545F"/>
    <w:rsid w:val="002854B1"/>
    <w:rsid w:val="00285526"/>
    <w:rsid w:val="0028558A"/>
    <w:rsid w:val="002856F9"/>
    <w:rsid w:val="00285755"/>
    <w:rsid w:val="0028582B"/>
    <w:rsid w:val="00285947"/>
    <w:rsid w:val="00285AC1"/>
    <w:rsid w:val="00285B4F"/>
    <w:rsid w:val="00285B5A"/>
    <w:rsid w:val="00285BC9"/>
    <w:rsid w:val="00285C09"/>
    <w:rsid w:val="00285C52"/>
    <w:rsid w:val="00285C9D"/>
    <w:rsid w:val="00285D3F"/>
    <w:rsid w:val="00285E33"/>
    <w:rsid w:val="00285EF5"/>
    <w:rsid w:val="00285F9B"/>
    <w:rsid w:val="00286071"/>
    <w:rsid w:val="002860C7"/>
    <w:rsid w:val="002861E0"/>
    <w:rsid w:val="0028628E"/>
    <w:rsid w:val="00286391"/>
    <w:rsid w:val="002863B6"/>
    <w:rsid w:val="00286465"/>
    <w:rsid w:val="002865F1"/>
    <w:rsid w:val="00286628"/>
    <w:rsid w:val="00286631"/>
    <w:rsid w:val="00286661"/>
    <w:rsid w:val="0028669F"/>
    <w:rsid w:val="002867B2"/>
    <w:rsid w:val="00286B83"/>
    <w:rsid w:val="00286D14"/>
    <w:rsid w:val="00286EA1"/>
    <w:rsid w:val="0028717B"/>
    <w:rsid w:val="002871D1"/>
    <w:rsid w:val="002872D0"/>
    <w:rsid w:val="00287368"/>
    <w:rsid w:val="002873FF"/>
    <w:rsid w:val="002876C9"/>
    <w:rsid w:val="00287992"/>
    <w:rsid w:val="00287A1E"/>
    <w:rsid w:val="00287A3A"/>
    <w:rsid w:val="00287F28"/>
    <w:rsid w:val="00290109"/>
    <w:rsid w:val="00290156"/>
    <w:rsid w:val="002901B9"/>
    <w:rsid w:val="002901D6"/>
    <w:rsid w:val="002901E9"/>
    <w:rsid w:val="00290349"/>
    <w:rsid w:val="0029047A"/>
    <w:rsid w:val="002906CF"/>
    <w:rsid w:val="002906ED"/>
    <w:rsid w:val="00290848"/>
    <w:rsid w:val="0029086C"/>
    <w:rsid w:val="00290C3C"/>
    <w:rsid w:val="00290CCB"/>
    <w:rsid w:val="00290CCC"/>
    <w:rsid w:val="00290DFE"/>
    <w:rsid w:val="00290E1E"/>
    <w:rsid w:val="002912D0"/>
    <w:rsid w:val="002915EF"/>
    <w:rsid w:val="002915F5"/>
    <w:rsid w:val="002916BB"/>
    <w:rsid w:val="002917BC"/>
    <w:rsid w:val="00291935"/>
    <w:rsid w:val="00291947"/>
    <w:rsid w:val="00291A22"/>
    <w:rsid w:val="00291B28"/>
    <w:rsid w:val="00291D58"/>
    <w:rsid w:val="00291E2A"/>
    <w:rsid w:val="00291E64"/>
    <w:rsid w:val="00291F28"/>
    <w:rsid w:val="00291F3B"/>
    <w:rsid w:val="00291FF3"/>
    <w:rsid w:val="002920C9"/>
    <w:rsid w:val="0029224D"/>
    <w:rsid w:val="00292312"/>
    <w:rsid w:val="002924A4"/>
    <w:rsid w:val="00292546"/>
    <w:rsid w:val="00292554"/>
    <w:rsid w:val="002926E1"/>
    <w:rsid w:val="00292745"/>
    <w:rsid w:val="002927CF"/>
    <w:rsid w:val="00292999"/>
    <w:rsid w:val="00292A8A"/>
    <w:rsid w:val="00292AEB"/>
    <w:rsid w:val="00292BD5"/>
    <w:rsid w:val="00292BEC"/>
    <w:rsid w:val="00292C31"/>
    <w:rsid w:val="00292CCD"/>
    <w:rsid w:val="00292D61"/>
    <w:rsid w:val="00292E25"/>
    <w:rsid w:val="00292F14"/>
    <w:rsid w:val="00293060"/>
    <w:rsid w:val="002930B1"/>
    <w:rsid w:val="0029313A"/>
    <w:rsid w:val="002932FF"/>
    <w:rsid w:val="00293409"/>
    <w:rsid w:val="00293605"/>
    <w:rsid w:val="0029365C"/>
    <w:rsid w:val="00293873"/>
    <w:rsid w:val="002938D4"/>
    <w:rsid w:val="00293A2E"/>
    <w:rsid w:val="00293A90"/>
    <w:rsid w:val="00293AD4"/>
    <w:rsid w:val="00293B51"/>
    <w:rsid w:val="00293C74"/>
    <w:rsid w:val="00293F7C"/>
    <w:rsid w:val="0029409F"/>
    <w:rsid w:val="00294239"/>
    <w:rsid w:val="00294316"/>
    <w:rsid w:val="002943A0"/>
    <w:rsid w:val="00294409"/>
    <w:rsid w:val="0029449F"/>
    <w:rsid w:val="002944AF"/>
    <w:rsid w:val="0029456C"/>
    <w:rsid w:val="00294597"/>
    <w:rsid w:val="00294601"/>
    <w:rsid w:val="002946C7"/>
    <w:rsid w:val="002946DE"/>
    <w:rsid w:val="002946EF"/>
    <w:rsid w:val="002948E3"/>
    <w:rsid w:val="002949E9"/>
    <w:rsid w:val="00294C52"/>
    <w:rsid w:val="00294FD2"/>
    <w:rsid w:val="00295284"/>
    <w:rsid w:val="0029535E"/>
    <w:rsid w:val="0029552E"/>
    <w:rsid w:val="0029555A"/>
    <w:rsid w:val="00295613"/>
    <w:rsid w:val="0029563D"/>
    <w:rsid w:val="0029581D"/>
    <w:rsid w:val="00295872"/>
    <w:rsid w:val="00295906"/>
    <w:rsid w:val="00295B32"/>
    <w:rsid w:val="00295E2A"/>
    <w:rsid w:val="00295E90"/>
    <w:rsid w:val="00296034"/>
    <w:rsid w:val="002963DC"/>
    <w:rsid w:val="002966DD"/>
    <w:rsid w:val="00296BDD"/>
    <w:rsid w:val="00296E17"/>
    <w:rsid w:val="00296E73"/>
    <w:rsid w:val="00296ECF"/>
    <w:rsid w:val="0029709C"/>
    <w:rsid w:val="00297227"/>
    <w:rsid w:val="0029756B"/>
    <w:rsid w:val="002977E7"/>
    <w:rsid w:val="0029787D"/>
    <w:rsid w:val="00297BD0"/>
    <w:rsid w:val="00297BD3"/>
    <w:rsid w:val="00297D64"/>
    <w:rsid w:val="00297E6F"/>
    <w:rsid w:val="002A0060"/>
    <w:rsid w:val="002A0138"/>
    <w:rsid w:val="002A0172"/>
    <w:rsid w:val="002A019E"/>
    <w:rsid w:val="002A0339"/>
    <w:rsid w:val="002A043A"/>
    <w:rsid w:val="002A0444"/>
    <w:rsid w:val="002A0468"/>
    <w:rsid w:val="002A0694"/>
    <w:rsid w:val="002A08CF"/>
    <w:rsid w:val="002A0AA7"/>
    <w:rsid w:val="002A0B54"/>
    <w:rsid w:val="002A0C1F"/>
    <w:rsid w:val="002A0C6F"/>
    <w:rsid w:val="002A0D5E"/>
    <w:rsid w:val="002A0FAB"/>
    <w:rsid w:val="002A107B"/>
    <w:rsid w:val="002A109B"/>
    <w:rsid w:val="002A1158"/>
    <w:rsid w:val="002A139B"/>
    <w:rsid w:val="002A1422"/>
    <w:rsid w:val="002A1871"/>
    <w:rsid w:val="002A1916"/>
    <w:rsid w:val="002A191D"/>
    <w:rsid w:val="002A1B2E"/>
    <w:rsid w:val="002A1C94"/>
    <w:rsid w:val="002A1D09"/>
    <w:rsid w:val="002A1DB5"/>
    <w:rsid w:val="002A1DBB"/>
    <w:rsid w:val="002A1E07"/>
    <w:rsid w:val="002A2078"/>
    <w:rsid w:val="002A2132"/>
    <w:rsid w:val="002A2206"/>
    <w:rsid w:val="002A27FF"/>
    <w:rsid w:val="002A2B5A"/>
    <w:rsid w:val="002A2BE3"/>
    <w:rsid w:val="002A2EE8"/>
    <w:rsid w:val="002A2EF6"/>
    <w:rsid w:val="002A2FBD"/>
    <w:rsid w:val="002A3010"/>
    <w:rsid w:val="002A3083"/>
    <w:rsid w:val="002A32AA"/>
    <w:rsid w:val="002A34D8"/>
    <w:rsid w:val="002A3524"/>
    <w:rsid w:val="002A3896"/>
    <w:rsid w:val="002A3C37"/>
    <w:rsid w:val="002A3E9F"/>
    <w:rsid w:val="002A3F9D"/>
    <w:rsid w:val="002A3FCB"/>
    <w:rsid w:val="002A405D"/>
    <w:rsid w:val="002A43E6"/>
    <w:rsid w:val="002A45A0"/>
    <w:rsid w:val="002A4612"/>
    <w:rsid w:val="002A5019"/>
    <w:rsid w:val="002A5021"/>
    <w:rsid w:val="002A51B7"/>
    <w:rsid w:val="002A531E"/>
    <w:rsid w:val="002A536B"/>
    <w:rsid w:val="002A5403"/>
    <w:rsid w:val="002A553E"/>
    <w:rsid w:val="002A555A"/>
    <w:rsid w:val="002A5565"/>
    <w:rsid w:val="002A5637"/>
    <w:rsid w:val="002A589A"/>
    <w:rsid w:val="002A59F7"/>
    <w:rsid w:val="002A5B6F"/>
    <w:rsid w:val="002A5EE6"/>
    <w:rsid w:val="002A6182"/>
    <w:rsid w:val="002A618E"/>
    <w:rsid w:val="002A6215"/>
    <w:rsid w:val="002A622D"/>
    <w:rsid w:val="002A6373"/>
    <w:rsid w:val="002A63EE"/>
    <w:rsid w:val="002A655C"/>
    <w:rsid w:val="002A6643"/>
    <w:rsid w:val="002A6663"/>
    <w:rsid w:val="002A669B"/>
    <w:rsid w:val="002A6A42"/>
    <w:rsid w:val="002A6AAB"/>
    <w:rsid w:val="002A6BCB"/>
    <w:rsid w:val="002A6BD2"/>
    <w:rsid w:val="002A6C77"/>
    <w:rsid w:val="002A6F14"/>
    <w:rsid w:val="002A7009"/>
    <w:rsid w:val="002A731D"/>
    <w:rsid w:val="002A7336"/>
    <w:rsid w:val="002A736B"/>
    <w:rsid w:val="002A7371"/>
    <w:rsid w:val="002A7375"/>
    <w:rsid w:val="002A73C3"/>
    <w:rsid w:val="002A742C"/>
    <w:rsid w:val="002A75FB"/>
    <w:rsid w:val="002A76EF"/>
    <w:rsid w:val="002A7910"/>
    <w:rsid w:val="002A7936"/>
    <w:rsid w:val="002A7A2D"/>
    <w:rsid w:val="002A7BB8"/>
    <w:rsid w:val="002A7CD9"/>
    <w:rsid w:val="002A7E37"/>
    <w:rsid w:val="002B00B2"/>
    <w:rsid w:val="002B0199"/>
    <w:rsid w:val="002B01E5"/>
    <w:rsid w:val="002B03C5"/>
    <w:rsid w:val="002B041B"/>
    <w:rsid w:val="002B04D9"/>
    <w:rsid w:val="002B0574"/>
    <w:rsid w:val="002B0877"/>
    <w:rsid w:val="002B088D"/>
    <w:rsid w:val="002B094F"/>
    <w:rsid w:val="002B099E"/>
    <w:rsid w:val="002B0AF1"/>
    <w:rsid w:val="002B0AFF"/>
    <w:rsid w:val="002B0B49"/>
    <w:rsid w:val="002B0C05"/>
    <w:rsid w:val="002B0D68"/>
    <w:rsid w:val="002B0D97"/>
    <w:rsid w:val="002B104E"/>
    <w:rsid w:val="002B112D"/>
    <w:rsid w:val="002B1138"/>
    <w:rsid w:val="002B1144"/>
    <w:rsid w:val="002B143A"/>
    <w:rsid w:val="002B14ED"/>
    <w:rsid w:val="002B17B3"/>
    <w:rsid w:val="002B1836"/>
    <w:rsid w:val="002B18F7"/>
    <w:rsid w:val="002B19FE"/>
    <w:rsid w:val="002B1A87"/>
    <w:rsid w:val="002B1BC0"/>
    <w:rsid w:val="002B1DF0"/>
    <w:rsid w:val="002B1DF4"/>
    <w:rsid w:val="002B1E67"/>
    <w:rsid w:val="002B2002"/>
    <w:rsid w:val="002B22D6"/>
    <w:rsid w:val="002B254B"/>
    <w:rsid w:val="002B261A"/>
    <w:rsid w:val="002B2621"/>
    <w:rsid w:val="002B266B"/>
    <w:rsid w:val="002B28C0"/>
    <w:rsid w:val="002B29F2"/>
    <w:rsid w:val="002B2AE4"/>
    <w:rsid w:val="002B2CE9"/>
    <w:rsid w:val="002B2DF5"/>
    <w:rsid w:val="002B2E0A"/>
    <w:rsid w:val="002B2E37"/>
    <w:rsid w:val="002B2E55"/>
    <w:rsid w:val="002B300F"/>
    <w:rsid w:val="002B30E1"/>
    <w:rsid w:val="002B3130"/>
    <w:rsid w:val="002B318D"/>
    <w:rsid w:val="002B31FC"/>
    <w:rsid w:val="002B34C2"/>
    <w:rsid w:val="002B35C5"/>
    <w:rsid w:val="002B35CA"/>
    <w:rsid w:val="002B3659"/>
    <w:rsid w:val="002B387C"/>
    <w:rsid w:val="002B38DE"/>
    <w:rsid w:val="002B3A9F"/>
    <w:rsid w:val="002B3B22"/>
    <w:rsid w:val="002B3BB7"/>
    <w:rsid w:val="002B3BD5"/>
    <w:rsid w:val="002B3C8A"/>
    <w:rsid w:val="002B3DA0"/>
    <w:rsid w:val="002B3DA1"/>
    <w:rsid w:val="002B3E0B"/>
    <w:rsid w:val="002B3EB2"/>
    <w:rsid w:val="002B3F90"/>
    <w:rsid w:val="002B3F97"/>
    <w:rsid w:val="002B40D4"/>
    <w:rsid w:val="002B42DA"/>
    <w:rsid w:val="002B4539"/>
    <w:rsid w:val="002B461D"/>
    <w:rsid w:val="002B476B"/>
    <w:rsid w:val="002B483E"/>
    <w:rsid w:val="002B48A5"/>
    <w:rsid w:val="002B48F4"/>
    <w:rsid w:val="002B49FC"/>
    <w:rsid w:val="002B4B36"/>
    <w:rsid w:val="002B4BDF"/>
    <w:rsid w:val="002B4C4D"/>
    <w:rsid w:val="002B52C5"/>
    <w:rsid w:val="002B52FF"/>
    <w:rsid w:val="002B5313"/>
    <w:rsid w:val="002B5364"/>
    <w:rsid w:val="002B5368"/>
    <w:rsid w:val="002B54A3"/>
    <w:rsid w:val="002B5639"/>
    <w:rsid w:val="002B57CF"/>
    <w:rsid w:val="002B587D"/>
    <w:rsid w:val="002B5A60"/>
    <w:rsid w:val="002B5B22"/>
    <w:rsid w:val="002B5B40"/>
    <w:rsid w:val="002B5BF5"/>
    <w:rsid w:val="002B5D4F"/>
    <w:rsid w:val="002B5E78"/>
    <w:rsid w:val="002B5EAC"/>
    <w:rsid w:val="002B60F0"/>
    <w:rsid w:val="002B60FF"/>
    <w:rsid w:val="002B6117"/>
    <w:rsid w:val="002B62C6"/>
    <w:rsid w:val="002B632A"/>
    <w:rsid w:val="002B6458"/>
    <w:rsid w:val="002B6876"/>
    <w:rsid w:val="002B696B"/>
    <w:rsid w:val="002B6971"/>
    <w:rsid w:val="002B69B6"/>
    <w:rsid w:val="002B6B00"/>
    <w:rsid w:val="002B6C6D"/>
    <w:rsid w:val="002B6CA0"/>
    <w:rsid w:val="002B6E4F"/>
    <w:rsid w:val="002B6EA4"/>
    <w:rsid w:val="002B6F78"/>
    <w:rsid w:val="002B76C1"/>
    <w:rsid w:val="002B76CE"/>
    <w:rsid w:val="002B773C"/>
    <w:rsid w:val="002B775B"/>
    <w:rsid w:val="002B77DB"/>
    <w:rsid w:val="002B7884"/>
    <w:rsid w:val="002B7ADA"/>
    <w:rsid w:val="002B7BB4"/>
    <w:rsid w:val="002B7C50"/>
    <w:rsid w:val="002B7D16"/>
    <w:rsid w:val="002B7D49"/>
    <w:rsid w:val="002B7EED"/>
    <w:rsid w:val="002C0036"/>
    <w:rsid w:val="002C02FE"/>
    <w:rsid w:val="002C0627"/>
    <w:rsid w:val="002C063A"/>
    <w:rsid w:val="002C0A9E"/>
    <w:rsid w:val="002C0AA5"/>
    <w:rsid w:val="002C0AA6"/>
    <w:rsid w:val="002C0AD6"/>
    <w:rsid w:val="002C0AE5"/>
    <w:rsid w:val="002C0C81"/>
    <w:rsid w:val="002C0E52"/>
    <w:rsid w:val="002C0F05"/>
    <w:rsid w:val="002C0FA4"/>
    <w:rsid w:val="002C1005"/>
    <w:rsid w:val="002C1076"/>
    <w:rsid w:val="002C114C"/>
    <w:rsid w:val="002C1386"/>
    <w:rsid w:val="002C143A"/>
    <w:rsid w:val="002C1864"/>
    <w:rsid w:val="002C18B5"/>
    <w:rsid w:val="002C1A3C"/>
    <w:rsid w:val="002C1BFB"/>
    <w:rsid w:val="002C1C2D"/>
    <w:rsid w:val="002C1C91"/>
    <w:rsid w:val="002C1E08"/>
    <w:rsid w:val="002C204A"/>
    <w:rsid w:val="002C2123"/>
    <w:rsid w:val="002C2273"/>
    <w:rsid w:val="002C22C8"/>
    <w:rsid w:val="002C23D3"/>
    <w:rsid w:val="002C23E3"/>
    <w:rsid w:val="002C24B9"/>
    <w:rsid w:val="002C2568"/>
    <w:rsid w:val="002C267B"/>
    <w:rsid w:val="002C26DC"/>
    <w:rsid w:val="002C2ACF"/>
    <w:rsid w:val="002C2B67"/>
    <w:rsid w:val="002C2C38"/>
    <w:rsid w:val="002C2F32"/>
    <w:rsid w:val="002C3041"/>
    <w:rsid w:val="002C30D5"/>
    <w:rsid w:val="002C315C"/>
    <w:rsid w:val="002C3307"/>
    <w:rsid w:val="002C338F"/>
    <w:rsid w:val="002C3508"/>
    <w:rsid w:val="002C3572"/>
    <w:rsid w:val="002C3BE0"/>
    <w:rsid w:val="002C3ED0"/>
    <w:rsid w:val="002C3EE5"/>
    <w:rsid w:val="002C4138"/>
    <w:rsid w:val="002C431B"/>
    <w:rsid w:val="002C44D9"/>
    <w:rsid w:val="002C44EA"/>
    <w:rsid w:val="002C4615"/>
    <w:rsid w:val="002C462B"/>
    <w:rsid w:val="002C4694"/>
    <w:rsid w:val="002C4706"/>
    <w:rsid w:val="002C486A"/>
    <w:rsid w:val="002C48BF"/>
    <w:rsid w:val="002C4A4D"/>
    <w:rsid w:val="002C4A99"/>
    <w:rsid w:val="002C4B59"/>
    <w:rsid w:val="002C4DAF"/>
    <w:rsid w:val="002C4E84"/>
    <w:rsid w:val="002C4FE2"/>
    <w:rsid w:val="002C5076"/>
    <w:rsid w:val="002C537B"/>
    <w:rsid w:val="002C551F"/>
    <w:rsid w:val="002C58B7"/>
    <w:rsid w:val="002C590E"/>
    <w:rsid w:val="002C592D"/>
    <w:rsid w:val="002C5999"/>
    <w:rsid w:val="002C599A"/>
    <w:rsid w:val="002C59B5"/>
    <w:rsid w:val="002C59CA"/>
    <w:rsid w:val="002C5A84"/>
    <w:rsid w:val="002C5AE8"/>
    <w:rsid w:val="002C5CCF"/>
    <w:rsid w:val="002C5D90"/>
    <w:rsid w:val="002C5F0B"/>
    <w:rsid w:val="002C5F0D"/>
    <w:rsid w:val="002C5F83"/>
    <w:rsid w:val="002C601E"/>
    <w:rsid w:val="002C62F9"/>
    <w:rsid w:val="002C6363"/>
    <w:rsid w:val="002C647E"/>
    <w:rsid w:val="002C662F"/>
    <w:rsid w:val="002C66E1"/>
    <w:rsid w:val="002C6798"/>
    <w:rsid w:val="002C6817"/>
    <w:rsid w:val="002C6A0F"/>
    <w:rsid w:val="002C6A8D"/>
    <w:rsid w:val="002C6AD2"/>
    <w:rsid w:val="002C6ADF"/>
    <w:rsid w:val="002C6B18"/>
    <w:rsid w:val="002C6B76"/>
    <w:rsid w:val="002C6CA9"/>
    <w:rsid w:val="002C6D2B"/>
    <w:rsid w:val="002C717C"/>
    <w:rsid w:val="002C726C"/>
    <w:rsid w:val="002C7422"/>
    <w:rsid w:val="002C74C9"/>
    <w:rsid w:val="002C7647"/>
    <w:rsid w:val="002C7898"/>
    <w:rsid w:val="002C7970"/>
    <w:rsid w:val="002C798C"/>
    <w:rsid w:val="002C7BC0"/>
    <w:rsid w:val="002C7D8D"/>
    <w:rsid w:val="002C7D9E"/>
    <w:rsid w:val="002C7E7A"/>
    <w:rsid w:val="002C7EA9"/>
    <w:rsid w:val="002C7EE3"/>
    <w:rsid w:val="002C7F15"/>
    <w:rsid w:val="002C7F2E"/>
    <w:rsid w:val="002D0032"/>
    <w:rsid w:val="002D039E"/>
    <w:rsid w:val="002D049B"/>
    <w:rsid w:val="002D0610"/>
    <w:rsid w:val="002D063C"/>
    <w:rsid w:val="002D0693"/>
    <w:rsid w:val="002D07C1"/>
    <w:rsid w:val="002D082D"/>
    <w:rsid w:val="002D0980"/>
    <w:rsid w:val="002D0A0E"/>
    <w:rsid w:val="002D0BA4"/>
    <w:rsid w:val="002D0D58"/>
    <w:rsid w:val="002D0E21"/>
    <w:rsid w:val="002D0F1A"/>
    <w:rsid w:val="002D10D6"/>
    <w:rsid w:val="002D1114"/>
    <w:rsid w:val="002D1418"/>
    <w:rsid w:val="002D141B"/>
    <w:rsid w:val="002D14BC"/>
    <w:rsid w:val="002D168F"/>
    <w:rsid w:val="002D16A6"/>
    <w:rsid w:val="002D1729"/>
    <w:rsid w:val="002D17C1"/>
    <w:rsid w:val="002D17DD"/>
    <w:rsid w:val="002D1886"/>
    <w:rsid w:val="002D18D1"/>
    <w:rsid w:val="002D18FF"/>
    <w:rsid w:val="002D1AA3"/>
    <w:rsid w:val="002D1B02"/>
    <w:rsid w:val="002D1B40"/>
    <w:rsid w:val="002D1C37"/>
    <w:rsid w:val="002D1C6F"/>
    <w:rsid w:val="002D1D59"/>
    <w:rsid w:val="002D1DA3"/>
    <w:rsid w:val="002D1ED7"/>
    <w:rsid w:val="002D1F53"/>
    <w:rsid w:val="002D205C"/>
    <w:rsid w:val="002D20C4"/>
    <w:rsid w:val="002D2245"/>
    <w:rsid w:val="002D22F9"/>
    <w:rsid w:val="002D2449"/>
    <w:rsid w:val="002D26D0"/>
    <w:rsid w:val="002D26FC"/>
    <w:rsid w:val="002D2A21"/>
    <w:rsid w:val="002D2A24"/>
    <w:rsid w:val="002D2B17"/>
    <w:rsid w:val="002D2C0E"/>
    <w:rsid w:val="002D2D60"/>
    <w:rsid w:val="002D2E62"/>
    <w:rsid w:val="002D2ECC"/>
    <w:rsid w:val="002D2FB5"/>
    <w:rsid w:val="002D3150"/>
    <w:rsid w:val="002D3196"/>
    <w:rsid w:val="002D3213"/>
    <w:rsid w:val="002D325B"/>
    <w:rsid w:val="002D3462"/>
    <w:rsid w:val="002D34CA"/>
    <w:rsid w:val="002D35D0"/>
    <w:rsid w:val="002D3859"/>
    <w:rsid w:val="002D3974"/>
    <w:rsid w:val="002D39D2"/>
    <w:rsid w:val="002D3A7D"/>
    <w:rsid w:val="002D3B14"/>
    <w:rsid w:val="002D3BB7"/>
    <w:rsid w:val="002D3C86"/>
    <w:rsid w:val="002D4016"/>
    <w:rsid w:val="002D40E3"/>
    <w:rsid w:val="002D45CC"/>
    <w:rsid w:val="002D4731"/>
    <w:rsid w:val="002D486B"/>
    <w:rsid w:val="002D4893"/>
    <w:rsid w:val="002D4A29"/>
    <w:rsid w:val="002D4C4A"/>
    <w:rsid w:val="002D4C78"/>
    <w:rsid w:val="002D4DDC"/>
    <w:rsid w:val="002D4EB3"/>
    <w:rsid w:val="002D4EEB"/>
    <w:rsid w:val="002D4F53"/>
    <w:rsid w:val="002D4FDF"/>
    <w:rsid w:val="002D5013"/>
    <w:rsid w:val="002D510A"/>
    <w:rsid w:val="002D5230"/>
    <w:rsid w:val="002D525D"/>
    <w:rsid w:val="002D5376"/>
    <w:rsid w:val="002D53AA"/>
    <w:rsid w:val="002D53EE"/>
    <w:rsid w:val="002D5494"/>
    <w:rsid w:val="002D5533"/>
    <w:rsid w:val="002D5540"/>
    <w:rsid w:val="002D55FE"/>
    <w:rsid w:val="002D5612"/>
    <w:rsid w:val="002D5687"/>
    <w:rsid w:val="002D57EA"/>
    <w:rsid w:val="002D589D"/>
    <w:rsid w:val="002D5948"/>
    <w:rsid w:val="002D5C2C"/>
    <w:rsid w:val="002D5C9C"/>
    <w:rsid w:val="002D5CDC"/>
    <w:rsid w:val="002D5D91"/>
    <w:rsid w:val="002D5EE0"/>
    <w:rsid w:val="002D5FB9"/>
    <w:rsid w:val="002D5FFE"/>
    <w:rsid w:val="002D6055"/>
    <w:rsid w:val="002D6261"/>
    <w:rsid w:val="002D64AD"/>
    <w:rsid w:val="002D6580"/>
    <w:rsid w:val="002D658F"/>
    <w:rsid w:val="002D686C"/>
    <w:rsid w:val="002D690E"/>
    <w:rsid w:val="002D6A10"/>
    <w:rsid w:val="002D6ADF"/>
    <w:rsid w:val="002D6B09"/>
    <w:rsid w:val="002D6BF8"/>
    <w:rsid w:val="002D6CFB"/>
    <w:rsid w:val="002D701B"/>
    <w:rsid w:val="002D70EA"/>
    <w:rsid w:val="002D72D9"/>
    <w:rsid w:val="002D73CC"/>
    <w:rsid w:val="002D7504"/>
    <w:rsid w:val="002D7607"/>
    <w:rsid w:val="002D774E"/>
    <w:rsid w:val="002D78D3"/>
    <w:rsid w:val="002D78F2"/>
    <w:rsid w:val="002D7914"/>
    <w:rsid w:val="002D7BFF"/>
    <w:rsid w:val="002D7C08"/>
    <w:rsid w:val="002D7CD9"/>
    <w:rsid w:val="002D7D5C"/>
    <w:rsid w:val="002D7F0E"/>
    <w:rsid w:val="002E0162"/>
    <w:rsid w:val="002E01D8"/>
    <w:rsid w:val="002E023E"/>
    <w:rsid w:val="002E027B"/>
    <w:rsid w:val="002E0465"/>
    <w:rsid w:val="002E048E"/>
    <w:rsid w:val="002E04B0"/>
    <w:rsid w:val="002E0587"/>
    <w:rsid w:val="002E061E"/>
    <w:rsid w:val="002E0649"/>
    <w:rsid w:val="002E080F"/>
    <w:rsid w:val="002E08CD"/>
    <w:rsid w:val="002E0981"/>
    <w:rsid w:val="002E0993"/>
    <w:rsid w:val="002E0A7D"/>
    <w:rsid w:val="002E0AE8"/>
    <w:rsid w:val="002E0C04"/>
    <w:rsid w:val="002E0D0D"/>
    <w:rsid w:val="002E0D70"/>
    <w:rsid w:val="002E1059"/>
    <w:rsid w:val="002E10A1"/>
    <w:rsid w:val="002E10B6"/>
    <w:rsid w:val="002E11F8"/>
    <w:rsid w:val="002E11FF"/>
    <w:rsid w:val="002E1338"/>
    <w:rsid w:val="002E142B"/>
    <w:rsid w:val="002E1552"/>
    <w:rsid w:val="002E1773"/>
    <w:rsid w:val="002E1A21"/>
    <w:rsid w:val="002E1B01"/>
    <w:rsid w:val="002E1BC3"/>
    <w:rsid w:val="002E1BD8"/>
    <w:rsid w:val="002E1C30"/>
    <w:rsid w:val="002E1CEA"/>
    <w:rsid w:val="002E1D76"/>
    <w:rsid w:val="002E1DBA"/>
    <w:rsid w:val="002E1E4C"/>
    <w:rsid w:val="002E1E8B"/>
    <w:rsid w:val="002E1ECC"/>
    <w:rsid w:val="002E1EDB"/>
    <w:rsid w:val="002E204B"/>
    <w:rsid w:val="002E207E"/>
    <w:rsid w:val="002E20E4"/>
    <w:rsid w:val="002E2146"/>
    <w:rsid w:val="002E21B1"/>
    <w:rsid w:val="002E24F8"/>
    <w:rsid w:val="002E2645"/>
    <w:rsid w:val="002E2649"/>
    <w:rsid w:val="002E2700"/>
    <w:rsid w:val="002E2756"/>
    <w:rsid w:val="002E275C"/>
    <w:rsid w:val="002E2B85"/>
    <w:rsid w:val="002E2C11"/>
    <w:rsid w:val="002E2F8A"/>
    <w:rsid w:val="002E3003"/>
    <w:rsid w:val="002E30E8"/>
    <w:rsid w:val="002E3172"/>
    <w:rsid w:val="002E3190"/>
    <w:rsid w:val="002E3222"/>
    <w:rsid w:val="002E326F"/>
    <w:rsid w:val="002E339F"/>
    <w:rsid w:val="002E3412"/>
    <w:rsid w:val="002E35B4"/>
    <w:rsid w:val="002E362E"/>
    <w:rsid w:val="002E36EE"/>
    <w:rsid w:val="002E3719"/>
    <w:rsid w:val="002E391C"/>
    <w:rsid w:val="002E3B86"/>
    <w:rsid w:val="002E3B90"/>
    <w:rsid w:val="002E3CDD"/>
    <w:rsid w:val="002E3DFC"/>
    <w:rsid w:val="002E4376"/>
    <w:rsid w:val="002E442C"/>
    <w:rsid w:val="002E44FC"/>
    <w:rsid w:val="002E45A6"/>
    <w:rsid w:val="002E460B"/>
    <w:rsid w:val="002E4677"/>
    <w:rsid w:val="002E46E7"/>
    <w:rsid w:val="002E475E"/>
    <w:rsid w:val="002E482C"/>
    <w:rsid w:val="002E492E"/>
    <w:rsid w:val="002E495A"/>
    <w:rsid w:val="002E4981"/>
    <w:rsid w:val="002E4AFA"/>
    <w:rsid w:val="002E4C33"/>
    <w:rsid w:val="002E4D53"/>
    <w:rsid w:val="002E4DCB"/>
    <w:rsid w:val="002E4F68"/>
    <w:rsid w:val="002E5472"/>
    <w:rsid w:val="002E5607"/>
    <w:rsid w:val="002E56B7"/>
    <w:rsid w:val="002E58B7"/>
    <w:rsid w:val="002E5A35"/>
    <w:rsid w:val="002E5B9A"/>
    <w:rsid w:val="002E5BF7"/>
    <w:rsid w:val="002E5CED"/>
    <w:rsid w:val="002E5DD3"/>
    <w:rsid w:val="002E5E04"/>
    <w:rsid w:val="002E6099"/>
    <w:rsid w:val="002E60CE"/>
    <w:rsid w:val="002E63DD"/>
    <w:rsid w:val="002E67C1"/>
    <w:rsid w:val="002E6948"/>
    <w:rsid w:val="002E6988"/>
    <w:rsid w:val="002E69DA"/>
    <w:rsid w:val="002E6B6E"/>
    <w:rsid w:val="002E6B9A"/>
    <w:rsid w:val="002E6D17"/>
    <w:rsid w:val="002E6E47"/>
    <w:rsid w:val="002E70BD"/>
    <w:rsid w:val="002E7163"/>
    <w:rsid w:val="002E71F1"/>
    <w:rsid w:val="002E7393"/>
    <w:rsid w:val="002E7500"/>
    <w:rsid w:val="002E7532"/>
    <w:rsid w:val="002E7623"/>
    <w:rsid w:val="002E7777"/>
    <w:rsid w:val="002E7789"/>
    <w:rsid w:val="002E78B2"/>
    <w:rsid w:val="002E798C"/>
    <w:rsid w:val="002E7AF2"/>
    <w:rsid w:val="002E7B70"/>
    <w:rsid w:val="002E7BDE"/>
    <w:rsid w:val="002E7BEA"/>
    <w:rsid w:val="002E7C20"/>
    <w:rsid w:val="002E7D0E"/>
    <w:rsid w:val="002E7D49"/>
    <w:rsid w:val="002F0275"/>
    <w:rsid w:val="002F0361"/>
    <w:rsid w:val="002F05F0"/>
    <w:rsid w:val="002F0650"/>
    <w:rsid w:val="002F0870"/>
    <w:rsid w:val="002F09CB"/>
    <w:rsid w:val="002F0A6E"/>
    <w:rsid w:val="002F0D2B"/>
    <w:rsid w:val="002F0E31"/>
    <w:rsid w:val="002F0EF5"/>
    <w:rsid w:val="002F0F13"/>
    <w:rsid w:val="002F0F2D"/>
    <w:rsid w:val="002F1133"/>
    <w:rsid w:val="002F1355"/>
    <w:rsid w:val="002F1437"/>
    <w:rsid w:val="002F14C7"/>
    <w:rsid w:val="002F1847"/>
    <w:rsid w:val="002F18ED"/>
    <w:rsid w:val="002F19F4"/>
    <w:rsid w:val="002F1A81"/>
    <w:rsid w:val="002F1B3E"/>
    <w:rsid w:val="002F1C6E"/>
    <w:rsid w:val="002F1EA8"/>
    <w:rsid w:val="002F1F38"/>
    <w:rsid w:val="002F2276"/>
    <w:rsid w:val="002F246E"/>
    <w:rsid w:val="002F26DB"/>
    <w:rsid w:val="002F278B"/>
    <w:rsid w:val="002F27B6"/>
    <w:rsid w:val="002F2853"/>
    <w:rsid w:val="002F2A04"/>
    <w:rsid w:val="002F2A9F"/>
    <w:rsid w:val="002F2C26"/>
    <w:rsid w:val="002F2D8B"/>
    <w:rsid w:val="002F30B5"/>
    <w:rsid w:val="002F31B2"/>
    <w:rsid w:val="002F3339"/>
    <w:rsid w:val="002F3375"/>
    <w:rsid w:val="002F346A"/>
    <w:rsid w:val="002F3782"/>
    <w:rsid w:val="002F394D"/>
    <w:rsid w:val="002F3AB0"/>
    <w:rsid w:val="002F3B7F"/>
    <w:rsid w:val="002F3BC6"/>
    <w:rsid w:val="002F3FAC"/>
    <w:rsid w:val="002F417A"/>
    <w:rsid w:val="002F4193"/>
    <w:rsid w:val="002F423F"/>
    <w:rsid w:val="002F47F0"/>
    <w:rsid w:val="002F4A08"/>
    <w:rsid w:val="002F4AF4"/>
    <w:rsid w:val="002F4CAA"/>
    <w:rsid w:val="002F4CCC"/>
    <w:rsid w:val="002F4F0F"/>
    <w:rsid w:val="002F50F9"/>
    <w:rsid w:val="002F540D"/>
    <w:rsid w:val="002F5466"/>
    <w:rsid w:val="002F550F"/>
    <w:rsid w:val="002F5519"/>
    <w:rsid w:val="002F5675"/>
    <w:rsid w:val="002F5734"/>
    <w:rsid w:val="002F596F"/>
    <w:rsid w:val="002F598E"/>
    <w:rsid w:val="002F5AE0"/>
    <w:rsid w:val="002F5E33"/>
    <w:rsid w:val="002F60D1"/>
    <w:rsid w:val="002F6261"/>
    <w:rsid w:val="002F63E4"/>
    <w:rsid w:val="002F6458"/>
    <w:rsid w:val="002F654F"/>
    <w:rsid w:val="002F6A81"/>
    <w:rsid w:val="002F6AD4"/>
    <w:rsid w:val="002F6EAF"/>
    <w:rsid w:val="002F6F71"/>
    <w:rsid w:val="002F7085"/>
    <w:rsid w:val="002F72B6"/>
    <w:rsid w:val="002F72DE"/>
    <w:rsid w:val="002F73AA"/>
    <w:rsid w:val="002F747D"/>
    <w:rsid w:val="002F74BD"/>
    <w:rsid w:val="002F7649"/>
    <w:rsid w:val="002F7781"/>
    <w:rsid w:val="002F77BF"/>
    <w:rsid w:val="002F7810"/>
    <w:rsid w:val="002F79B9"/>
    <w:rsid w:val="002F7B40"/>
    <w:rsid w:val="002F7BA2"/>
    <w:rsid w:val="002F7D7E"/>
    <w:rsid w:val="002F7DC6"/>
    <w:rsid w:val="002F7E56"/>
    <w:rsid w:val="00300294"/>
    <w:rsid w:val="003003A0"/>
    <w:rsid w:val="00300527"/>
    <w:rsid w:val="00300597"/>
    <w:rsid w:val="00300867"/>
    <w:rsid w:val="003008ED"/>
    <w:rsid w:val="00300A19"/>
    <w:rsid w:val="00300A65"/>
    <w:rsid w:val="00300B27"/>
    <w:rsid w:val="00300C74"/>
    <w:rsid w:val="00300CE9"/>
    <w:rsid w:val="00300D1F"/>
    <w:rsid w:val="00300F37"/>
    <w:rsid w:val="0030101C"/>
    <w:rsid w:val="00301055"/>
    <w:rsid w:val="00301071"/>
    <w:rsid w:val="00301255"/>
    <w:rsid w:val="00301259"/>
    <w:rsid w:val="00301349"/>
    <w:rsid w:val="00301512"/>
    <w:rsid w:val="0030152B"/>
    <w:rsid w:val="0030164A"/>
    <w:rsid w:val="003016CB"/>
    <w:rsid w:val="003016FF"/>
    <w:rsid w:val="003017BC"/>
    <w:rsid w:val="00301834"/>
    <w:rsid w:val="00301B52"/>
    <w:rsid w:val="00301BA5"/>
    <w:rsid w:val="00301BC8"/>
    <w:rsid w:val="00301C57"/>
    <w:rsid w:val="00301D2E"/>
    <w:rsid w:val="00302368"/>
    <w:rsid w:val="0030249B"/>
    <w:rsid w:val="0030254A"/>
    <w:rsid w:val="00302587"/>
    <w:rsid w:val="00302643"/>
    <w:rsid w:val="0030275A"/>
    <w:rsid w:val="003029DA"/>
    <w:rsid w:val="00302A75"/>
    <w:rsid w:val="00302AE5"/>
    <w:rsid w:val="00302BED"/>
    <w:rsid w:val="00302CE9"/>
    <w:rsid w:val="00302CED"/>
    <w:rsid w:val="00302DC6"/>
    <w:rsid w:val="00302EBF"/>
    <w:rsid w:val="0030306E"/>
    <w:rsid w:val="00303183"/>
    <w:rsid w:val="003033B0"/>
    <w:rsid w:val="00303503"/>
    <w:rsid w:val="00303925"/>
    <w:rsid w:val="00303933"/>
    <w:rsid w:val="00303974"/>
    <w:rsid w:val="003039E3"/>
    <w:rsid w:val="003039FF"/>
    <w:rsid w:val="00303AD7"/>
    <w:rsid w:val="00303B15"/>
    <w:rsid w:val="00304006"/>
    <w:rsid w:val="0030412E"/>
    <w:rsid w:val="0030438B"/>
    <w:rsid w:val="00304462"/>
    <w:rsid w:val="003045B6"/>
    <w:rsid w:val="00304723"/>
    <w:rsid w:val="003047F1"/>
    <w:rsid w:val="003049DD"/>
    <w:rsid w:val="00304A31"/>
    <w:rsid w:val="00304C2A"/>
    <w:rsid w:val="00304C58"/>
    <w:rsid w:val="00304CD5"/>
    <w:rsid w:val="00304E71"/>
    <w:rsid w:val="00304E85"/>
    <w:rsid w:val="00304F47"/>
    <w:rsid w:val="00304F8E"/>
    <w:rsid w:val="00305006"/>
    <w:rsid w:val="003050C7"/>
    <w:rsid w:val="003050D7"/>
    <w:rsid w:val="00305179"/>
    <w:rsid w:val="0030523C"/>
    <w:rsid w:val="00305362"/>
    <w:rsid w:val="003053F8"/>
    <w:rsid w:val="003056DC"/>
    <w:rsid w:val="003058B7"/>
    <w:rsid w:val="003059CC"/>
    <w:rsid w:val="00305A10"/>
    <w:rsid w:val="00305B87"/>
    <w:rsid w:val="00305D10"/>
    <w:rsid w:val="00305E53"/>
    <w:rsid w:val="00305EF5"/>
    <w:rsid w:val="00306082"/>
    <w:rsid w:val="003060EC"/>
    <w:rsid w:val="0030618D"/>
    <w:rsid w:val="00306285"/>
    <w:rsid w:val="0030675D"/>
    <w:rsid w:val="0030677C"/>
    <w:rsid w:val="003067CF"/>
    <w:rsid w:val="0030681E"/>
    <w:rsid w:val="00306825"/>
    <w:rsid w:val="00306989"/>
    <w:rsid w:val="00306B90"/>
    <w:rsid w:val="00306C87"/>
    <w:rsid w:val="00306CD8"/>
    <w:rsid w:val="00306D25"/>
    <w:rsid w:val="00306E40"/>
    <w:rsid w:val="00306E7A"/>
    <w:rsid w:val="00306EEC"/>
    <w:rsid w:val="0030701D"/>
    <w:rsid w:val="00307050"/>
    <w:rsid w:val="003072AA"/>
    <w:rsid w:val="0030776D"/>
    <w:rsid w:val="00307804"/>
    <w:rsid w:val="0030787E"/>
    <w:rsid w:val="0030799F"/>
    <w:rsid w:val="00307A32"/>
    <w:rsid w:val="00307CF1"/>
    <w:rsid w:val="00307D2E"/>
    <w:rsid w:val="00307DC6"/>
    <w:rsid w:val="00307E28"/>
    <w:rsid w:val="00307EC4"/>
    <w:rsid w:val="00307FFB"/>
    <w:rsid w:val="00310056"/>
    <w:rsid w:val="00310077"/>
    <w:rsid w:val="0031012D"/>
    <w:rsid w:val="003101FE"/>
    <w:rsid w:val="0031025E"/>
    <w:rsid w:val="0031030A"/>
    <w:rsid w:val="0031031F"/>
    <w:rsid w:val="0031064F"/>
    <w:rsid w:val="0031067D"/>
    <w:rsid w:val="00310764"/>
    <w:rsid w:val="00310AA2"/>
    <w:rsid w:val="00310AF5"/>
    <w:rsid w:val="00310BCC"/>
    <w:rsid w:val="00310BD2"/>
    <w:rsid w:val="00310C95"/>
    <w:rsid w:val="00310CEB"/>
    <w:rsid w:val="00310E10"/>
    <w:rsid w:val="00310EFB"/>
    <w:rsid w:val="00310FEF"/>
    <w:rsid w:val="003114B0"/>
    <w:rsid w:val="0031154B"/>
    <w:rsid w:val="0031162B"/>
    <w:rsid w:val="003116FB"/>
    <w:rsid w:val="003119D6"/>
    <w:rsid w:val="00311B13"/>
    <w:rsid w:val="00311B64"/>
    <w:rsid w:val="00311E47"/>
    <w:rsid w:val="00311FC1"/>
    <w:rsid w:val="00311FC8"/>
    <w:rsid w:val="0031228C"/>
    <w:rsid w:val="00312374"/>
    <w:rsid w:val="00312393"/>
    <w:rsid w:val="0031239F"/>
    <w:rsid w:val="003123CA"/>
    <w:rsid w:val="003123FB"/>
    <w:rsid w:val="0031268F"/>
    <w:rsid w:val="003127A5"/>
    <w:rsid w:val="00312E64"/>
    <w:rsid w:val="00312E66"/>
    <w:rsid w:val="00312F0A"/>
    <w:rsid w:val="0031304D"/>
    <w:rsid w:val="00313111"/>
    <w:rsid w:val="00313233"/>
    <w:rsid w:val="003132AD"/>
    <w:rsid w:val="00313305"/>
    <w:rsid w:val="0031352C"/>
    <w:rsid w:val="003136FF"/>
    <w:rsid w:val="00313711"/>
    <w:rsid w:val="0031376B"/>
    <w:rsid w:val="00313810"/>
    <w:rsid w:val="0031393B"/>
    <w:rsid w:val="003139DA"/>
    <w:rsid w:val="00313A77"/>
    <w:rsid w:val="00313A8F"/>
    <w:rsid w:val="00313CBE"/>
    <w:rsid w:val="00313CDC"/>
    <w:rsid w:val="00313D40"/>
    <w:rsid w:val="00313E6A"/>
    <w:rsid w:val="00313E75"/>
    <w:rsid w:val="00314054"/>
    <w:rsid w:val="003141EF"/>
    <w:rsid w:val="00314242"/>
    <w:rsid w:val="00314332"/>
    <w:rsid w:val="00314456"/>
    <w:rsid w:val="00314607"/>
    <w:rsid w:val="0031466D"/>
    <w:rsid w:val="0031483A"/>
    <w:rsid w:val="00314848"/>
    <w:rsid w:val="00314A7A"/>
    <w:rsid w:val="00314A7D"/>
    <w:rsid w:val="00314CAC"/>
    <w:rsid w:val="00314CB8"/>
    <w:rsid w:val="00314CC7"/>
    <w:rsid w:val="00314DA6"/>
    <w:rsid w:val="00314F82"/>
    <w:rsid w:val="00315072"/>
    <w:rsid w:val="003151B6"/>
    <w:rsid w:val="00315285"/>
    <w:rsid w:val="00315464"/>
    <w:rsid w:val="003156C0"/>
    <w:rsid w:val="003156D4"/>
    <w:rsid w:val="003157C4"/>
    <w:rsid w:val="003159A7"/>
    <w:rsid w:val="00315A77"/>
    <w:rsid w:val="00315B6E"/>
    <w:rsid w:val="00315BFA"/>
    <w:rsid w:val="00315EB5"/>
    <w:rsid w:val="00315EBA"/>
    <w:rsid w:val="00316067"/>
    <w:rsid w:val="0031664A"/>
    <w:rsid w:val="00316B1F"/>
    <w:rsid w:val="00316BBD"/>
    <w:rsid w:val="00316CD9"/>
    <w:rsid w:val="00316D1A"/>
    <w:rsid w:val="00316F21"/>
    <w:rsid w:val="00316F25"/>
    <w:rsid w:val="00316F2C"/>
    <w:rsid w:val="00317490"/>
    <w:rsid w:val="0031751D"/>
    <w:rsid w:val="00317576"/>
    <w:rsid w:val="0031757A"/>
    <w:rsid w:val="00317634"/>
    <w:rsid w:val="00317653"/>
    <w:rsid w:val="0031772E"/>
    <w:rsid w:val="00317801"/>
    <w:rsid w:val="0031782E"/>
    <w:rsid w:val="00317969"/>
    <w:rsid w:val="00317BD2"/>
    <w:rsid w:val="00317E89"/>
    <w:rsid w:val="00317FC7"/>
    <w:rsid w:val="003204B6"/>
    <w:rsid w:val="003209C7"/>
    <w:rsid w:val="00320A7A"/>
    <w:rsid w:val="00320B2A"/>
    <w:rsid w:val="00320C37"/>
    <w:rsid w:val="00320DB1"/>
    <w:rsid w:val="00320E1D"/>
    <w:rsid w:val="00320F1A"/>
    <w:rsid w:val="00320FF8"/>
    <w:rsid w:val="00321276"/>
    <w:rsid w:val="0032137C"/>
    <w:rsid w:val="003213F6"/>
    <w:rsid w:val="00321661"/>
    <w:rsid w:val="00321B4A"/>
    <w:rsid w:val="00321B78"/>
    <w:rsid w:val="00321CE2"/>
    <w:rsid w:val="00321E6B"/>
    <w:rsid w:val="00321E8B"/>
    <w:rsid w:val="0032214B"/>
    <w:rsid w:val="003221C7"/>
    <w:rsid w:val="00322248"/>
    <w:rsid w:val="003226CF"/>
    <w:rsid w:val="00322957"/>
    <w:rsid w:val="00322A44"/>
    <w:rsid w:val="00322AA5"/>
    <w:rsid w:val="00322B3F"/>
    <w:rsid w:val="00322B4C"/>
    <w:rsid w:val="00322B4F"/>
    <w:rsid w:val="00322D50"/>
    <w:rsid w:val="00322F97"/>
    <w:rsid w:val="00323257"/>
    <w:rsid w:val="0032332D"/>
    <w:rsid w:val="00323330"/>
    <w:rsid w:val="00323433"/>
    <w:rsid w:val="003235F1"/>
    <w:rsid w:val="0032373C"/>
    <w:rsid w:val="003237F5"/>
    <w:rsid w:val="00323A53"/>
    <w:rsid w:val="00323CAC"/>
    <w:rsid w:val="00323ED7"/>
    <w:rsid w:val="00323F9A"/>
    <w:rsid w:val="0032401F"/>
    <w:rsid w:val="00324063"/>
    <w:rsid w:val="0032427C"/>
    <w:rsid w:val="003242A5"/>
    <w:rsid w:val="0032456B"/>
    <w:rsid w:val="003245D3"/>
    <w:rsid w:val="00324750"/>
    <w:rsid w:val="0032491B"/>
    <w:rsid w:val="00324993"/>
    <w:rsid w:val="00324AD8"/>
    <w:rsid w:val="00324E90"/>
    <w:rsid w:val="00324FF4"/>
    <w:rsid w:val="003251BE"/>
    <w:rsid w:val="0032531D"/>
    <w:rsid w:val="003253BF"/>
    <w:rsid w:val="003253D5"/>
    <w:rsid w:val="003255F6"/>
    <w:rsid w:val="003256D4"/>
    <w:rsid w:val="003257BC"/>
    <w:rsid w:val="003258D8"/>
    <w:rsid w:val="00325BD0"/>
    <w:rsid w:val="00325DD0"/>
    <w:rsid w:val="00325E4E"/>
    <w:rsid w:val="00325E83"/>
    <w:rsid w:val="00325FCC"/>
    <w:rsid w:val="003260BD"/>
    <w:rsid w:val="003262F5"/>
    <w:rsid w:val="00326331"/>
    <w:rsid w:val="00326385"/>
    <w:rsid w:val="0032639A"/>
    <w:rsid w:val="00326412"/>
    <w:rsid w:val="00326628"/>
    <w:rsid w:val="003266B8"/>
    <w:rsid w:val="003266E8"/>
    <w:rsid w:val="003269AC"/>
    <w:rsid w:val="00326A58"/>
    <w:rsid w:val="00326BF4"/>
    <w:rsid w:val="00326CCF"/>
    <w:rsid w:val="00326CF8"/>
    <w:rsid w:val="00326D1F"/>
    <w:rsid w:val="00326F5F"/>
    <w:rsid w:val="00326F65"/>
    <w:rsid w:val="00326FB6"/>
    <w:rsid w:val="00327227"/>
    <w:rsid w:val="003273B3"/>
    <w:rsid w:val="00327697"/>
    <w:rsid w:val="0032786F"/>
    <w:rsid w:val="00327BB1"/>
    <w:rsid w:val="00327D14"/>
    <w:rsid w:val="00327E3E"/>
    <w:rsid w:val="00327E8C"/>
    <w:rsid w:val="00327EFC"/>
    <w:rsid w:val="00327F04"/>
    <w:rsid w:val="0033001A"/>
    <w:rsid w:val="003302B1"/>
    <w:rsid w:val="00330641"/>
    <w:rsid w:val="003307D6"/>
    <w:rsid w:val="0033087B"/>
    <w:rsid w:val="003308D1"/>
    <w:rsid w:val="003308F8"/>
    <w:rsid w:val="00330AD1"/>
    <w:rsid w:val="00330B70"/>
    <w:rsid w:val="00330DC2"/>
    <w:rsid w:val="00330E0E"/>
    <w:rsid w:val="00330EA1"/>
    <w:rsid w:val="00330F29"/>
    <w:rsid w:val="003310D4"/>
    <w:rsid w:val="00331102"/>
    <w:rsid w:val="003311A9"/>
    <w:rsid w:val="003311B3"/>
    <w:rsid w:val="0033143E"/>
    <w:rsid w:val="003314F3"/>
    <w:rsid w:val="003316E3"/>
    <w:rsid w:val="00331843"/>
    <w:rsid w:val="00331A5B"/>
    <w:rsid w:val="00331BBB"/>
    <w:rsid w:val="00331CCF"/>
    <w:rsid w:val="00331D17"/>
    <w:rsid w:val="00331EA6"/>
    <w:rsid w:val="00331FF6"/>
    <w:rsid w:val="0033208C"/>
    <w:rsid w:val="003320F6"/>
    <w:rsid w:val="00332130"/>
    <w:rsid w:val="00332157"/>
    <w:rsid w:val="0033233A"/>
    <w:rsid w:val="003327CD"/>
    <w:rsid w:val="00332903"/>
    <w:rsid w:val="00332B46"/>
    <w:rsid w:val="00332B5E"/>
    <w:rsid w:val="00333192"/>
    <w:rsid w:val="003331B4"/>
    <w:rsid w:val="00333211"/>
    <w:rsid w:val="00333212"/>
    <w:rsid w:val="0033341B"/>
    <w:rsid w:val="00333485"/>
    <w:rsid w:val="003334C0"/>
    <w:rsid w:val="003334FF"/>
    <w:rsid w:val="0033356C"/>
    <w:rsid w:val="00333587"/>
    <w:rsid w:val="003336CF"/>
    <w:rsid w:val="00333952"/>
    <w:rsid w:val="00333A08"/>
    <w:rsid w:val="00333A1C"/>
    <w:rsid w:val="00333A88"/>
    <w:rsid w:val="00333AFD"/>
    <w:rsid w:val="00333DF2"/>
    <w:rsid w:val="00333E5C"/>
    <w:rsid w:val="00333F9B"/>
    <w:rsid w:val="00334106"/>
    <w:rsid w:val="0033439A"/>
    <w:rsid w:val="003343C5"/>
    <w:rsid w:val="003343DE"/>
    <w:rsid w:val="00334521"/>
    <w:rsid w:val="00334574"/>
    <w:rsid w:val="0033469E"/>
    <w:rsid w:val="0033492C"/>
    <w:rsid w:val="00334A5D"/>
    <w:rsid w:val="00334A95"/>
    <w:rsid w:val="00334C1A"/>
    <w:rsid w:val="00334C2B"/>
    <w:rsid w:val="00334E4D"/>
    <w:rsid w:val="00334F01"/>
    <w:rsid w:val="00335059"/>
    <w:rsid w:val="003350A2"/>
    <w:rsid w:val="003351B2"/>
    <w:rsid w:val="003353C5"/>
    <w:rsid w:val="00335400"/>
    <w:rsid w:val="00335450"/>
    <w:rsid w:val="00335735"/>
    <w:rsid w:val="003357DA"/>
    <w:rsid w:val="00335AF7"/>
    <w:rsid w:val="00335D35"/>
    <w:rsid w:val="00335F2F"/>
    <w:rsid w:val="00336080"/>
    <w:rsid w:val="0033611F"/>
    <w:rsid w:val="00336135"/>
    <w:rsid w:val="00336163"/>
    <w:rsid w:val="0033620B"/>
    <w:rsid w:val="00336261"/>
    <w:rsid w:val="00336418"/>
    <w:rsid w:val="00336459"/>
    <w:rsid w:val="00336463"/>
    <w:rsid w:val="00336488"/>
    <w:rsid w:val="00336792"/>
    <w:rsid w:val="00336847"/>
    <w:rsid w:val="003368CE"/>
    <w:rsid w:val="003368DB"/>
    <w:rsid w:val="00336EF0"/>
    <w:rsid w:val="00337673"/>
    <w:rsid w:val="00337906"/>
    <w:rsid w:val="003379F5"/>
    <w:rsid w:val="00337BEE"/>
    <w:rsid w:val="00337C1E"/>
    <w:rsid w:val="00340209"/>
    <w:rsid w:val="00340367"/>
    <w:rsid w:val="0034044E"/>
    <w:rsid w:val="00340B3B"/>
    <w:rsid w:val="00340C51"/>
    <w:rsid w:val="00340E3F"/>
    <w:rsid w:val="003410B9"/>
    <w:rsid w:val="003410C5"/>
    <w:rsid w:val="00341171"/>
    <w:rsid w:val="00341179"/>
    <w:rsid w:val="0034129F"/>
    <w:rsid w:val="003413C2"/>
    <w:rsid w:val="00341730"/>
    <w:rsid w:val="003417E7"/>
    <w:rsid w:val="00341988"/>
    <w:rsid w:val="00341A68"/>
    <w:rsid w:val="00341B17"/>
    <w:rsid w:val="00341DFE"/>
    <w:rsid w:val="00341E72"/>
    <w:rsid w:val="00341FD5"/>
    <w:rsid w:val="0034206F"/>
    <w:rsid w:val="003420AB"/>
    <w:rsid w:val="003422AA"/>
    <w:rsid w:val="003422D5"/>
    <w:rsid w:val="003424BD"/>
    <w:rsid w:val="00342537"/>
    <w:rsid w:val="00342977"/>
    <w:rsid w:val="00342A77"/>
    <w:rsid w:val="00342BF7"/>
    <w:rsid w:val="00342C5B"/>
    <w:rsid w:val="00342D94"/>
    <w:rsid w:val="00342FE2"/>
    <w:rsid w:val="0034300D"/>
    <w:rsid w:val="00343097"/>
    <w:rsid w:val="003430E4"/>
    <w:rsid w:val="00343348"/>
    <w:rsid w:val="0034337C"/>
    <w:rsid w:val="003433DA"/>
    <w:rsid w:val="003434ED"/>
    <w:rsid w:val="003435BE"/>
    <w:rsid w:val="00343634"/>
    <w:rsid w:val="003437DA"/>
    <w:rsid w:val="003438BA"/>
    <w:rsid w:val="003438F2"/>
    <w:rsid w:val="00343908"/>
    <w:rsid w:val="00343B12"/>
    <w:rsid w:val="00343BFB"/>
    <w:rsid w:val="00343CEA"/>
    <w:rsid w:val="00343FAC"/>
    <w:rsid w:val="00343FE2"/>
    <w:rsid w:val="00343FF9"/>
    <w:rsid w:val="003440C0"/>
    <w:rsid w:val="003440CF"/>
    <w:rsid w:val="003441F7"/>
    <w:rsid w:val="00344251"/>
    <w:rsid w:val="00344580"/>
    <w:rsid w:val="00344777"/>
    <w:rsid w:val="00344815"/>
    <w:rsid w:val="00344863"/>
    <w:rsid w:val="00344A3B"/>
    <w:rsid w:val="00344AF6"/>
    <w:rsid w:val="00344C65"/>
    <w:rsid w:val="00344C67"/>
    <w:rsid w:val="00344E03"/>
    <w:rsid w:val="00344E75"/>
    <w:rsid w:val="00344E80"/>
    <w:rsid w:val="00344FC1"/>
    <w:rsid w:val="0034502E"/>
    <w:rsid w:val="00345117"/>
    <w:rsid w:val="00345129"/>
    <w:rsid w:val="003451EE"/>
    <w:rsid w:val="003452D4"/>
    <w:rsid w:val="00345375"/>
    <w:rsid w:val="00345397"/>
    <w:rsid w:val="003454DD"/>
    <w:rsid w:val="003454FF"/>
    <w:rsid w:val="003456A2"/>
    <w:rsid w:val="00345EFA"/>
    <w:rsid w:val="00345F66"/>
    <w:rsid w:val="003460AE"/>
    <w:rsid w:val="0034615C"/>
    <w:rsid w:val="00346380"/>
    <w:rsid w:val="0034641E"/>
    <w:rsid w:val="0034643B"/>
    <w:rsid w:val="003465A4"/>
    <w:rsid w:val="003467FA"/>
    <w:rsid w:val="00346816"/>
    <w:rsid w:val="00346865"/>
    <w:rsid w:val="0034687A"/>
    <w:rsid w:val="00346911"/>
    <w:rsid w:val="00346B3F"/>
    <w:rsid w:val="00346BEF"/>
    <w:rsid w:val="00346E22"/>
    <w:rsid w:val="00347087"/>
    <w:rsid w:val="003470FC"/>
    <w:rsid w:val="003473E4"/>
    <w:rsid w:val="00347732"/>
    <w:rsid w:val="0034797D"/>
    <w:rsid w:val="00347B44"/>
    <w:rsid w:val="00347E71"/>
    <w:rsid w:val="00347EC5"/>
    <w:rsid w:val="00347F63"/>
    <w:rsid w:val="003500C1"/>
    <w:rsid w:val="00350113"/>
    <w:rsid w:val="0035013F"/>
    <w:rsid w:val="00350226"/>
    <w:rsid w:val="0035040A"/>
    <w:rsid w:val="003505DA"/>
    <w:rsid w:val="003506C0"/>
    <w:rsid w:val="00350BC6"/>
    <w:rsid w:val="00350DEF"/>
    <w:rsid w:val="00351232"/>
    <w:rsid w:val="0035130D"/>
    <w:rsid w:val="00351395"/>
    <w:rsid w:val="00351528"/>
    <w:rsid w:val="00351561"/>
    <w:rsid w:val="00351585"/>
    <w:rsid w:val="00351870"/>
    <w:rsid w:val="00351BBF"/>
    <w:rsid w:val="00351BE5"/>
    <w:rsid w:val="00351C5F"/>
    <w:rsid w:val="00351DCA"/>
    <w:rsid w:val="00351DF0"/>
    <w:rsid w:val="00351E0B"/>
    <w:rsid w:val="00351E1A"/>
    <w:rsid w:val="00351E4A"/>
    <w:rsid w:val="0035202D"/>
    <w:rsid w:val="00352039"/>
    <w:rsid w:val="003523CD"/>
    <w:rsid w:val="0035241C"/>
    <w:rsid w:val="00352617"/>
    <w:rsid w:val="00352903"/>
    <w:rsid w:val="00352B66"/>
    <w:rsid w:val="00352BF8"/>
    <w:rsid w:val="00352C2D"/>
    <w:rsid w:val="00352C64"/>
    <w:rsid w:val="00352C81"/>
    <w:rsid w:val="00352C98"/>
    <w:rsid w:val="00352CDA"/>
    <w:rsid w:val="00352DE0"/>
    <w:rsid w:val="00352EBA"/>
    <w:rsid w:val="0035317C"/>
    <w:rsid w:val="0035322C"/>
    <w:rsid w:val="00353792"/>
    <w:rsid w:val="00353A20"/>
    <w:rsid w:val="00353A36"/>
    <w:rsid w:val="00353B84"/>
    <w:rsid w:val="00353DFC"/>
    <w:rsid w:val="00354096"/>
    <w:rsid w:val="00354119"/>
    <w:rsid w:val="00354178"/>
    <w:rsid w:val="00354221"/>
    <w:rsid w:val="00354278"/>
    <w:rsid w:val="003542BA"/>
    <w:rsid w:val="003542FC"/>
    <w:rsid w:val="00354373"/>
    <w:rsid w:val="003543A9"/>
    <w:rsid w:val="0035457E"/>
    <w:rsid w:val="00354748"/>
    <w:rsid w:val="003549ED"/>
    <w:rsid w:val="00354A6B"/>
    <w:rsid w:val="00354AAD"/>
    <w:rsid w:val="00354C3A"/>
    <w:rsid w:val="00354F5E"/>
    <w:rsid w:val="00354F74"/>
    <w:rsid w:val="003550DB"/>
    <w:rsid w:val="00355125"/>
    <w:rsid w:val="00355748"/>
    <w:rsid w:val="00355A38"/>
    <w:rsid w:val="00355ACE"/>
    <w:rsid w:val="00355BC4"/>
    <w:rsid w:val="00355BCA"/>
    <w:rsid w:val="00355D4F"/>
    <w:rsid w:val="00355E1F"/>
    <w:rsid w:val="00355F97"/>
    <w:rsid w:val="00355FC4"/>
    <w:rsid w:val="00356125"/>
    <w:rsid w:val="00356275"/>
    <w:rsid w:val="003562BA"/>
    <w:rsid w:val="003562BF"/>
    <w:rsid w:val="00356300"/>
    <w:rsid w:val="003563E1"/>
    <w:rsid w:val="00356661"/>
    <w:rsid w:val="003566F5"/>
    <w:rsid w:val="00356781"/>
    <w:rsid w:val="003567B1"/>
    <w:rsid w:val="003568D8"/>
    <w:rsid w:val="003568D9"/>
    <w:rsid w:val="00356BDF"/>
    <w:rsid w:val="00356C02"/>
    <w:rsid w:val="00356C75"/>
    <w:rsid w:val="00356E0D"/>
    <w:rsid w:val="00356E7C"/>
    <w:rsid w:val="00356F29"/>
    <w:rsid w:val="00356F45"/>
    <w:rsid w:val="003573AA"/>
    <w:rsid w:val="0035741B"/>
    <w:rsid w:val="0035763A"/>
    <w:rsid w:val="00357662"/>
    <w:rsid w:val="003577EE"/>
    <w:rsid w:val="003579C7"/>
    <w:rsid w:val="00357AB5"/>
    <w:rsid w:val="00357AE9"/>
    <w:rsid w:val="00357B06"/>
    <w:rsid w:val="00357E50"/>
    <w:rsid w:val="00357EAA"/>
    <w:rsid w:val="00357EEB"/>
    <w:rsid w:val="00357FD2"/>
    <w:rsid w:val="0036008F"/>
    <w:rsid w:val="0036013E"/>
    <w:rsid w:val="00360184"/>
    <w:rsid w:val="0036025A"/>
    <w:rsid w:val="00360267"/>
    <w:rsid w:val="00360310"/>
    <w:rsid w:val="003603AA"/>
    <w:rsid w:val="0036066C"/>
    <w:rsid w:val="0036066F"/>
    <w:rsid w:val="00360730"/>
    <w:rsid w:val="0036073A"/>
    <w:rsid w:val="0036076C"/>
    <w:rsid w:val="003608AF"/>
    <w:rsid w:val="003608C9"/>
    <w:rsid w:val="0036093F"/>
    <w:rsid w:val="003609B6"/>
    <w:rsid w:val="00360C16"/>
    <w:rsid w:val="00360F30"/>
    <w:rsid w:val="003611A2"/>
    <w:rsid w:val="003611BE"/>
    <w:rsid w:val="00361244"/>
    <w:rsid w:val="0036140F"/>
    <w:rsid w:val="003614B3"/>
    <w:rsid w:val="0036177C"/>
    <w:rsid w:val="003617C3"/>
    <w:rsid w:val="00361824"/>
    <w:rsid w:val="00361836"/>
    <w:rsid w:val="00361850"/>
    <w:rsid w:val="00361F14"/>
    <w:rsid w:val="0036219B"/>
    <w:rsid w:val="00362234"/>
    <w:rsid w:val="00362394"/>
    <w:rsid w:val="003623D7"/>
    <w:rsid w:val="00362495"/>
    <w:rsid w:val="003624EB"/>
    <w:rsid w:val="00362556"/>
    <w:rsid w:val="0036268A"/>
    <w:rsid w:val="00362941"/>
    <w:rsid w:val="003629ED"/>
    <w:rsid w:val="00362AD7"/>
    <w:rsid w:val="00362CD9"/>
    <w:rsid w:val="00362FF0"/>
    <w:rsid w:val="00363431"/>
    <w:rsid w:val="00363515"/>
    <w:rsid w:val="0036351E"/>
    <w:rsid w:val="0036367B"/>
    <w:rsid w:val="003636C5"/>
    <w:rsid w:val="0036383E"/>
    <w:rsid w:val="0036389F"/>
    <w:rsid w:val="003639EF"/>
    <w:rsid w:val="00363E33"/>
    <w:rsid w:val="00363E5A"/>
    <w:rsid w:val="00364262"/>
    <w:rsid w:val="0036428D"/>
    <w:rsid w:val="0036431E"/>
    <w:rsid w:val="0036434E"/>
    <w:rsid w:val="00364627"/>
    <w:rsid w:val="0036471D"/>
    <w:rsid w:val="0036483B"/>
    <w:rsid w:val="00364863"/>
    <w:rsid w:val="003649D8"/>
    <w:rsid w:val="003649E0"/>
    <w:rsid w:val="00364A0E"/>
    <w:rsid w:val="00364B13"/>
    <w:rsid w:val="00364C9F"/>
    <w:rsid w:val="00364CFD"/>
    <w:rsid w:val="00364D83"/>
    <w:rsid w:val="00364E63"/>
    <w:rsid w:val="00364EE4"/>
    <w:rsid w:val="003651B4"/>
    <w:rsid w:val="003651DD"/>
    <w:rsid w:val="003654F3"/>
    <w:rsid w:val="0036551F"/>
    <w:rsid w:val="00365663"/>
    <w:rsid w:val="0036581A"/>
    <w:rsid w:val="0036589A"/>
    <w:rsid w:val="003658B5"/>
    <w:rsid w:val="00365B2F"/>
    <w:rsid w:val="00365B6B"/>
    <w:rsid w:val="00365BB5"/>
    <w:rsid w:val="00365C5A"/>
    <w:rsid w:val="00365C91"/>
    <w:rsid w:val="00365E0E"/>
    <w:rsid w:val="00365E58"/>
    <w:rsid w:val="00365F5B"/>
    <w:rsid w:val="00366098"/>
    <w:rsid w:val="0036617A"/>
    <w:rsid w:val="0036617D"/>
    <w:rsid w:val="003661FC"/>
    <w:rsid w:val="00366336"/>
    <w:rsid w:val="00366344"/>
    <w:rsid w:val="00366358"/>
    <w:rsid w:val="00366460"/>
    <w:rsid w:val="003666F3"/>
    <w:rsid w:val="003667BC"/>
    <w:rsid w:val="00366B49"/>
    <w:rsid w:val="00366B5B"/>
    <w:rsid w:val="00366BCB"/>
    <w:rsid w:val="00366C4B"/>
    <w:rsid w:val="00366CB5"/>
    <w:rsid w:val="00366D17"/>
    <w:rsid w:val="00366D46"/>
    <w:rsid w:val="00366D4C"/>
    <w:rsid w:val="00366D80"/>
    <w:rsid w:val="00366E9E"/>
    <w:rsid w:val="00366FA3"/>
    <w:rsid w:val="00367147"/>
    <w:rsid w:val="0036717D"/>
    <w:rsid w:val="00367320"/>
    <w:rsid w:val="0036737B"/>
    <w:rsid w:val="003675C1"/>
    <w:rsid w:val="003676E0"/>
    <w:rsid w:val="0036775C"/>
    <w:rsid w:val="00367803"/>
    <w:rsid w:val="003679F4"/>
    <w:rsid w:val="00367A7A"/>
    <w:rsid w:val="00367AF4"/>
    <w:rsid w:val="00370055"/>
    <w:rsid w:val="0037010C"/>
    <w:rsid w:val="00370390"/>
    <w:rsid w:val="0037055D"/>
    <w:rsid w:val="00370576"/>
    <w:rsid w:val="0037063C"/>
    <w:rsid w:val="00370698"/>
    <w:rsid w:val="00370A1B"/>
    <w:rsid w:val="00370BAE"/>
    <w:rsid w:val="00370CA5"/>
    <w:rsid w:val="00370D96"/>
    <w:rsid w:val="00370FBC"/>
    <w:rsid w:val="00371003"/>
    <w:rsid w:val="0037130C"/>
    <w:rsid w:val="00371408"/>
    <w:rsid w:val="00371443"/>
    <w:rsid w:val="003717D1"/>
    <w:rsid w:val="00371819"/>
    <w:rsid w:val="00371904"/>
    <w:rsid w:val="003719C0"/>
    <w:rsid w:val="00371C82"/>
    <w:rsid w:val="00371CEE"/>
    <w:rsid w:val="00371D33"/>
    <w:rsid w:val="00371D35"/>
    <w:rsid w:val="00371D7E"/>
    <w:rsid w:val="00371DA6"/>
    <w:rsid w:val="00371F8A"/>
    <w:rsid w:val="00371FBD"/>
    <w:rsid w:val="003720C7"/>
    <w:rsid w:val="00372124"/>
    <w:rsid w:val="003721C5"/>
    <w:rsid w:val="003724D4"/>
    <w:rsid w:val="0037277F"/>
    <w:rsid w:val="00372830"/>
    <w:rsid w:val="00372E01"/>
    <w:rsid w:val="00372F24"/>
    <w:rsid w:val="00372F41"/>
    <w:rsid w:val="0037301B"/>
    <w:rsid w:val="003730E3"/>
    <w:rsid w:val="00373187"/>
    <w:rsid w:val="0037320A"/>
    <w:rsid w:val="003732D9"/>
    <w:rsid w:val="00373334"/>
    <w:rsid w:val="00373338"/>
    <w:rsid w:val="0037342C"/>
    <w:rsid w:val="003734BA"/>
    <w:rsid w:val="00373504"/>
    <w:rsid w:val="0037363A"/>
    <w:rsid w:val="00373A4E"/>
    <w:rsid w:val="00373B25"/>
    <w:rsid w:val="00373B3D"/>
    <w:rsid w:val="00373E6F"/>
    <w:rsid w:val="003740E8"/>
    <w:rsid w:val="003741CE"/>
    <w:rsid w:val="00374314"/>
    <w:rsid w:val="003743DE"/>
    <w:rsid w:val="0037457A"/>
    <w:rsid w:val="003746E0"/>
    <w:rsid w:val="003746F0"/>
    <w:rsid w:val="003746FC"/>
    <w:rsid w:val="0037475B"/>
    <w:rsid w:val="00374898"/>
    <w:rsid w:val="0037497F"/>
    <w:rsid w:val="00374AB9"/>
    <w:rsid w:val="00374C03"/>
    <w:rsid w:val="00374D26"/>
    <w:rsid w:val="00374E72"/>
    <w:rsid w:val="00374EA8"/>
    <w:rsid w:val="00374F9E"/>
    <w:rsid w:val="00374FBB"/>
    <w:rsid w:val="003750FD"/>
    <w:rsid w:val="003751AA"/>
    <w:rsid w:val="003751DC"/>
    <w:rsid w:val="0037531B"/>
    <w:rsid w:val="00375426"/>
    <w:rsid w:val="003754AA"/>
    <w:rsid w:val="003756E8"/>
    <w:rsid w:val="003758BB"/>
    <w:rsid w:val="00375915"/>
    <w:rsid w:val="00375AFD"/>
    <w:rsid w:val="00375B35"/>
    <w:rsid w:val="00375FB4"/>
    <w:rsid w:val="00376192"/>
    <w:rsid w:val="003761D5"/>
    <w:rsid w:val="00376370"/>
    <w:rsid w:val="0037667C"/>
    <w:rsid w:val="00376732"/>
    <w:rsid w:val="00376948"/>
    <w:rsid w:val="00376C6A"/>
    <w:rsid w:val="00376C71"/>
    <w:rsid w:val="00376CF8"/>
    <w:rsid w:val="00376F9F"/>
    <w:rsid w:val="0037701D"/>
    <w:rsid w:val="00377127"/>
    <w:rsid w:val="00377278"/>
    <w:rsid w:val="0037748B"/>
    <w:rsid w:val="0037765D"/>
    <w:rsid w:val="00377723"/>
    <w:rsid w:val="00377789"/>
    <w:rsid w:val="003778BF"/>
    <w:rsid w:val="00377909"/>
    <w:rsid w:val="00377941"/>
    <w:rsid w:val="00377A98"/>
    <w:rsid w:val="00377BED"/>
    <w:rsid w:val="00380025"/>
    <w:rsid w:val="0038013E"/>
    <w:rsid w:val="00380225"/>
    <w:rsid w:val="00380227"/>
    <w:rsid w:val="003802C5"/>
    <w:rsid w:val="00380439"/>
    <w:rsid w:val="00380521"/>
    <w:rsid w:val="003805D7"/>
    <w:rsid w:val="003805DF"/>
    <w:rsid w:val="00380728"/>
    <w:rsid w:val="00380787"/>
    <w:rsid w:val="003807D2"/>
    <w:rsid w:val="003809E2"/>
    <w:rsid w:val="003809F3"/>
    <w:rsid w:val="00380A9D"/>
    <w:rsid w:val="00380AB1"/>
    <w:rsid w:val="00380C41"/>
    <w:rsid w:val="00380D2D"/>
    <w:rsid w:val="00380D40"/>
    <w:rsid w:val="00380F1A"/>
    <w:rsid w:val="00380FA8"/>
    <w:rsid w:val="003811B4"/>
    <w:rsid w:val="0038120B"/>
    <w:rsid w:val="0038138F"/>
    <w:rsid w:val="003813F1"/>
    <w:rsid w:val="003814D5"/>
    <w:rsid w:val="00381527"/>
    <w:rsid w:val="00381594"/>
    <w:rsid w:val="003816A7"/>
    <w:rsid w:val="0038189C"/>
    <w:rsid w:val="00381A85"/>
    <w:rsid w:val="00381B06"/>
    <w:rsid w:val="00381C07"/>
    <w:rsid w:val="00381D61"/>
    <w:rsid w:val="00381EDE"/>
    <w:rsid w:val="00381EF7"/>
    <w:rsid w:val="00381F58"/>
    <w:rsid w:val="00381F5F"/>
    <w:rsid w:val="00382372"/>
    <w:rsid w:val="00382387"/>
    <w:rsid w:val="00382500"/>
    <w:rsid w:val="003826B0"/>
    <w:rsid w:val="003828ED"/>
    <w:rsid w:val="00382AA2"/>
    <w:rsid w:val="00382ACA"/>
    <w:rsid w:val="00382C33"/>
    <w:rsid w:val="00382D00"/>
    <w:rsid w:val="00382D34"/>
    <w:rsid w:val="00382D49"/>
    <w:rsid w:val="00382EFE"/>
    <w:rsid w:val="003831E6"/>
    <w:rsid w:val="003832A5"/>
    <w:rsid w:val="003834A3"/>
    <w:rsid w:val="003835BE"/>
    <w:rsid w:val="003835D3"/>
    <w:rsid w:val="003835FC"/>
    <w:rsid w:val="00383A44"/>
    <w:rsid w:val="00383A7B"/>
    <w:rsid w:val="00383ABB"/>
    <w:rsid w:val="00383F3F"/>
    <w:rsid w:val="00384079"/>
    <w:rsid w:val="0038412F"/>
    <w:rsid w:val="003842A2"/>
    <w:rsid w:val="003844AE"/>
    <w:rsid w:val="003846BA"/>
    <w:rsid w:val="0038492E"/>
    <w:rsid w:val="003849EA"/>
    <w:rsid w:val="00384CCE"/>
    <w:rsid w:val="00384D98"/>
    <w:rsid w:val="00384E4C"/>
    <w:rsid w:val="00384E9E"/>
    <w:rsid w:val="0038505B"/>
    <w:rsid w:val="00385302"/>
    <w:rsid w:val="00385411"/>
    <w:rsid w:val="0038545C"/>
    <w:rsid w:val="00385591"/>
    <w:rsid w:val="003856A9"/>
    <w:rsid w:val="003856D6"/>
    <w:rsid w:val="00385803"/>
    <w:rsid w:val="00385824"/>
    <w:rsid w:val="00385A90"/>
    <w:rsid w:val="00385BB5"/>
    <w:rsid w:val="00385BBF"/>
    <w:rsid w:val="00385FA7"/>
    <w:rsid w:val="003860C3"/>
    <w:rsid w:val="0038614C"/>
    <w:rsid w:val="003862DC"/>
    <w:rsid w:val="003863F7"/>
    <w:rsid w:val="003864AD"/>
    <w:rsid w:val="00386549"/>
    <w:rsid w:val="00386555"/>
    <w:rsid w:val="00386678"/>
    <w:rsid w:val="003868AC"/>
    <w:rsid w:val="00386924"/>
    <w:rsid w:val="00386B09"/>
    <w:rsid w:val="00386B9A"/>
    <w:rsid w:val="00386C8A"/>
    <w:rsid w:val="00386F7E"/>
    <w:rsid w:val="00386F98"/>
    <w:rsid w:val="003870DB"/>
    <w:rsid w:val="00387325"/>
    <w:rsid w:val="003873F5"/>
    <w:rsid w:val="003875C1"/>
    <w:rsid w:val="003876C0"/>
    <w:rsid w:val="00387806"/>
    <w:rsid w:val="00387823"/>
    <w:rsid w:val="00387891"/>
    <w:rsid w:val="003879B1"/>
    <w:rsid w:val="003879BD"/>
    <w:rsid w:val="00387A6D"/>
    <w:rsid w:val="00387B88"/>
    <w:rsid w:val="00387C5B"/>
    <w:rsid w:val="003900FB"/>
    <w:rsid w:val="0039025C"/>
    <w:rsid w:val="0039044E"/>
    <w:rsid w:val="003904BE"/>
    <w:rsid w:val="003904DB"/>
    <w:rsid w:val="00390528"/>
    <w:rsid w:val="0039059F"/>
    <w:rsid w:val="0039074E"/>
    <w:rsid w:val="00390852"/>
    <w:rsid w:val="00390A82"/>
    <w:rsid w:val="00390B4E"/>
    <w:rsid w:val="00390D39"/>
    <w:rsid w:val="00390F75"/>
    <w:rsid w:val="00391091"/>
    <w:rsid w:val="00391099"/>
    <w:rsid w:val="00391157"/>
    <w:rsid w:val="00391206"/>
    <w:rsid w:val="00391504"/>
    <w:rsid w:val="0039174A"/>
    <w:rsid w:val="00391879"/>
    <w:rsid w:val="0039199C"/>
    <w:rsid w:val="00391A06"/>
    <w:rsid w:val="00391AF8"/>
    <w:rsid w:val="00391BD5"/>
    <w:rsid w:val="00391D07"/>
    <w:rsid w:val="00391D2F"/>
    <w:rsid w:val="00391DDD"/>
    <w:rsid w:val="00391EEB"/>
    <w:rsid w:val="00391FE0"/>
    <w:rsid w:val="003923DB"/>
    <w:rsid w:val="003923EB"/>
    <w:rsid w:val="00392428"/>
    <w:rsid w:val="00392586"/>
    <w:rsid w:val="003925C6"/>
    <w:rsid w:val="00392831"/>
    <w:rsid w:val="003929F1"/>
    <w:rsid w:val="00392CC1"/>
    <w:rsid w:val="00392D1F"/>
    <w:rsid w:val="00393009"/>
    <w:rsid w:val="0039308E"/>
    <w:rsid w:val="003931EA"/>
    <w:rsid w:val="003932C7"/>
    <w:rsid w:val="003932C8"/>
    <w:rsid w:val="003933C8"/>
    <w:rsid w:val="0039344C"/>
    <w:rsid w:val="0039376A"/>
    <w:rsid w:val="00393875"/>
    <w:rsid w:val="0039396A"/>
    <w:rsid w:val="003939E3"/>
    <w:rsid w:val="00393CE8"/>
    <w:rsid w:val="00393DEC"/>
    <w:rsid w:val="00393F1D"/>
    <w:rsid w:val="00393FF8"/>
    <w:rsid w:val="0039425C"/>
    <w:rsid w:val="003943D0"/>
    <w:rsid w:val="00394486"/>
    <w:rsid w:val="0039455D"/>
    <w:rsid w:val="0039480A"/>
    <w:rsid w:val="00394904"/>
    <w:rsid w:val="00394977"/>
    <w:rsid w:val="003949AC"/>
    <w:rsid w:val="00394A19"/>
    <w:rsid w:val="00394AD2"/>
    <w:rsid w:val="00394C85"/>
    <w:rsid w:val="00394C98"/>
    <w:rsid w:val="00394E42"/>
    <w:rsid w:val="00394E62"/>
    <w:rsid w:val="00394FEA"/>
    <w:rsid w:val="0039508D"/>
    <w:rsid w:val="0039515D"/>
    <w:rsid w:val="003951FE"/>
    <w:rsid w:val="00395291"/>
    <w:rsid w:val="00395361"/>
    <w:rsid w:val="00395719"/>
    <w:rsid w:val="00395990"/>
    <w:rsid w:val="00395AE7"/>
    <w:rsid w:val="00395DA3"/>
    <w:rsid w:val="00395DFF"/>
    <w:rsid w:val="00395E08"/>
    <w:rsid w:val="00395E36"/>
    <w:rsid w:val="00396273"/>
    <w:rsid w:val="00396422"/>
    <w:rsid w:val="003964D9"/>
    <w:rsid w:val="003966B2"/>
    <w:rsid w:val="003966EC"/>
    <w:rsid w:val="0039679A"/>
    <w:rsid w:val="003968AB"/>
    <w:rsid w:val="00396AFD"/>
    <w:rsid w:val="00396BD7"/>
    <w:rsid w:val="00396BD8"/>
    <w:rsid w:val="00396E66"/>
    <w:rsid w:val="00396E7E"/>
    <w:rsid w:val="00396F08"/>
    <w:rsid w:val="00397156"/>
    <w:rsid w:val="003971AF"/>
    <w:rsid w:val="00397268"/>
    <w:rsid w:val="003974F7"/>
    <w:rsid w:val="003977A3"/>
    <w:rsid w:val="003978E3"/>
    <w:rsid w:val="00397BFD"/>
    <w:rsid w:val="00397DF4"/>
    <w:rsid w:val="00397E17"/>
    <w:rsid w:val="00397FF6"/>
    <w:rsid w:val="003A003C"/>
    <w:rsid w:val="003A00A8"/>
    <w:rsid w:val="003A01E5"/>
    <w:rsid w:val="003A02FC"/>
    <w:rsid w:val="003A04C4"/>
    <w:rsid w:val="003A05A2"/>
    <w:rsid w:val="003A073B"/>
    <w:rsid w:val="003A088C"/>
    <w:rsid w:val="003A0963"/>
    <w:rsid w:val="003A0B48"/>
    <w:rsid w:val="003A1022"/>
    <w:rsid w:val="003A1311"/>
    <w:rsid w:val="003A134F"/>
    <w:rsid w:val="003A1378"/>
    <w:rsid w:val="003A1426"/>
    <w:rsid w:val="003A14C8"/>
    <w:rsid w:val="003A1A3E"/>
    <w:rsid w:val="003A1C54"/>
    <w:rsid w:val="003A1D9C"/>
    <w:rsid w:val="003A1E14"/>
    <w:rsid w:val="003A209C"/>
    <w:rsid w:val="003A215F"/>
    <w:rsid w:val="003A2341"/>
    <w:rsid w:val="003A2558"/>
    <w:rsid w:val="003A26C3"/>
    <w:rsid w:val="003A2713"/>
    <w:rsid w:val="003A2781"/>
    <w:rsid w:val="003A29D2"/>
    <w:rsid w:val="003A2A40"/>
    <w:rsid w:val="003A2A88"/>
    <w:rsid w:val="003A2AA6"/>
    <w:rsid w:val="003A2BB2"/>
    <w:rsid w:val="003A2BCD"/>
    <w:rsid w:val="003A2BD1"/>
    <w:rsid w:val="003A2C10"/>
    <w:rsid w:val="003A2C23"/>
    <w:rsid w:val="003A2CCC"/>
    <w:rsid w:val="003A2CE7"/>
    <w:rsid w:val="003A2D98"/>
    <w:rsid w:val="003A30B0"/>
    <w:rsid w:val="003A312D"/>
    <w:rsid w:val="003A3159"/>
    <w:rsid w:val="003A31C4"/>
    <w:rsid w:val="003A3273"/>
    <w:rsid w:val="003A3340"/>
    <w:rsid w:val="003A36A6"/>
    <w:rsid w:val="003A36D6"/>
    <w:rsid w:val="003A36F0"/>
    <w:rsid w:val="003A3755"/>
    <w:rsid w:val="003A3813"/>
    <w:rsid w:val="003A3866"/>
    <w:rsid w:val="003A3A4D"/>
    <w:rsid w:val="003A3A95"/>
    <w:rsid w:val="003A3BA6"/>
    <w:rsid w:val="003A3BBA"/>
    <w:rsid w:val="003A3D5E"/>
    <w:rsid w:val="003A3EA7"/>
    <w:rsid w:val="003A3FDB"/>
    <w:rsid w:val="003A401E"/>
    <w:rsid w:val="003A4137"/>
    <w:rsid w:val="003A41A0"/>
    <w:rsid w:val="003A4202"/>
    <w:rsid w:val="003A42B1"/>
    <w:rsid w:val="003A44D1"/>
    <w:rsid w:val="003A45C3"/>
    <w:rsid w:val="003A45E5"/>
    <w:rsid w:val="003A469B"/>
    <w:rsid w:val="003A46DA"/>
    <w:rsid w:val="003A4977"/>
    <w:rsid w:val="003A497E"/>
    <w:rsid w:val="003A49F1"/>
    <w:rsid w:val="003A4BEC"/>
    <w:rsid w:val="003A4D04"/>
    <w:rsid w:val="003A4F07"/>
    <w:rsid w:val="003A4F34"/>
    <w:rsid w:val="003A4FD6"/>
    <w:rsid w:val="003A5038"/>
    <w:rsid w:val="003A5041"/>
    <w:rsid w:val="003A5062"/>
    <w:rsid w:val="003A51F1"/>
    <w:rsid w:val="003A545B"/>
    <w:rsid w:val="003A582F"/>
    <w:rsid w:val="003A5840"/>
    <w:rsid w:val="003A58BA"/>
    <w:rsid w:val="003A58C3"/>
    <w:rsid w:val="003A5963"/>
    <w:rsid w:val="003A5A97"/>
    <w:rsid w:val="003A5CE0"/>
    <w:rsid w:val="003A5ECD"/>
    <w:rsid w:val="003A5EFE"/>
    <w:rsid w:val="003A5F3F"/>
    <w:rsid w:val="003A6191"/>
    <w:rsid w:val="003A61A7"/>
    <w:rsid w:val="003A6355"/>
    <w:rsid w:val="003A640F"/>
    <w:rsid w:val="003A6411"/>
    <w:rsid w:val="003A6524"/>
    <w:rsid w:val="003A6599"/>
    <w:rsid w:val="003A65A9"/>
    <w:rsid w:val="003A6802"/>
    <w:rsid w:val="003A686A"/>
    <w:rsid w:val="003A6A61"/>
    <w:rsid w:val="003A6AC1"/>
    <w:rsid w:val="003A6AD2"/>
    <w:rsid w:val="003A6D2E"/>
    <w:rsid w:val="003A6D9E"/>
    <w:rsid w:val="003A6FF5"/>
    <w:rsid w:val="003A70AB"/>
    <w:rsid w:val="003A70B5"/>
    <w:rsid w:val="003A71BA"/>
    <w:rsid w:val="003A71D9"/>
    <w:rsid w:val="003A7231"/>
    <w:rsid w:val="003A729A"/>
    <w:rsid w:val="003A732D"/>
    <w:rsid w:val="003A7535"/>
    <w:rsid w:val="003A7566"/>
    <w:rsid w:val="003A7715"/>
    <w:rsid w:val="003A779C"/>
    <w:rsid w:val="003A7870"/>
    <w:rsid w:val="003A7943"/>
    <w:rsid w:val="003A7955"/>
    <w:rsid w:val="003A7EAF"/>
    <w:rsid w:val="003A7EBF"/>
    <w:rsid w:val="003A7F10"/>
    <w:rsid w:val="003B0061"/>
    <w:rsid w:val="003B031B"/>
    <w:rsid w:val="003B0394"/>
    <w:rsid w:val="003B04B3"/>
    <w:rsid w:val="003B0559"/>
    <w:rsid w:val="003B0740"/>
    <w:rsid w:val="003B081A"/>
    <w:rsid w:val="003B094F"/>
    <w:rsid w:val="003B0A5D"/>
    <w:rsid w:val="003B0F1C"/>
    <w:rsid w:val="003B111B"/>
    <w:rsid w:val="003B11C4"/>
    <w:rsid w:val="003B13F0"/>
    <w:rsid w:val="003B180E"/>
    <w:rsid w:val="003B1CC8"/>
    <w:rsid w:val="003B1D4D"/>
    <w:rsid w:val="003B1E52"/>
    <w:rsid w:val="003B1E80"/>
    <w:rsid w:val="003B1EDC"/>
    <w:rsid w:val="003B204D"/>
    <w:rsid w:val="003B2054"/>
    <w:rsid w:val="003B20D6"/>
    <w:rsid w:val="003B2667"/>
    <w:rsid w:val="003B2700"/>
    <w:rsid w:val="003B27B5"/>
    <w:rsid w:val="003B27BC"/>
    <w:rsid w:val="003B27FB"/>
    <w:rsid w:val="003B2800"/>
    <w:rsid w:val="003B28DE"/>
    <w:rsid w:val="003B2D8D"/>
    <w:rsid w:val="003B3004"/>
    <w:rsid w:val="003B30E2"/>
    <w:rsid w:val="003B318D"/>
    <w:rsid w:val="003B31C6"/>
    <w:rsid w:val="003B31DB"/>
    <w:rsid w:val="003B3333"/>
    <w:rsid w:val="003B3466"/>
    <w:rsid w:val="003B3568"/>
    <w:rsid w:val="003B373D"/>
    <w:rsid w:val="003B381F"/>
    <w:rsid w:val="003B386C"/>
    <w:rsid w:val="003B38FC"/>
    <w:rsid w:val="003B3A0C"/>
    <w:rsid w:val="003B3A2E"/>
    <w:rsid w:val="003B3B57"/>
    <w:rsid w:val="003B3CF1"/>
    <w:rsid w:val="003B3DF6"/>
    <w:rsid w:val="003B3EA2"/>
    <w:rsid w:val="003B3FCD"/>
    <w:rsid w:val="003B4009"/>
    <w:rsid w:val="003B404A"/>
    <w:rsid w:val="003B41B7"/>
    <w:rsid w:val="003B4470"/>
    <w:rsid w:val="003B461D"/>
    <w:rsid w:val="003B4755"/>
    <w:rsid w:val="003B4756"/>
    <w:rsid w:val="003B4765"/>
    <w:rsid w:val="003B4917"/>
    <w:rsid w:val="003B49D6"/>
    <w:rsid w:val="003B4A1C"/>
    <w:rsid w:val="003B4BD9"/>
    <w:rsid w:val="003B4BF9"/>
    <w:rsid w:val="003B4D12"/>
    <w:rsid w:val="003B4F32"/>
    <w:rsid w:val="003B51C8"/>
    <w:rsid w:val="003B5376"/>
    <w:rsid w:val="003B5458"/>
    <w:rsid w:val="003B55E5"/>
    <w:rsid w:val="003B5611"/>
    <w:rsid w:val="003B576D"/>
    <w:rsid w:val="003B608D"/>
    <w:rsid w:val="003B6119"/>
    <w:rsid w:val="003B61B1"/>
    <w:rsid w:val="003B6270"/>
    <w:rsid w:val="003B6368"/>
    <w:rsid w:val="003B669F"/>
    <w:rsid w:val="003B6861"/>
    <w:rsid w:val="003B68CA"/>
    <w:rsid w:val="003B69B0"/>
    <w:rsid w:val="003B6A12"/>
    <w:rsid w:val="003B6A8D"/>
    <w:rsid w:val="003B6AF4"/>
    <w:rsid w:val="003B6BBA"/>
    <w:rsid w:val="003B6C93"/>
    <w:rsid w:val="003B6D3A"/>
    <w:rsid w:val="003B6DAF"/>
    <w:rsid w:val="003B6F00"/>
    <w:rsid w:val="003B6FD3"/>
    <w:rsid w:val="003B71D0"/>
    <w:rsid w:val="003B72F9"/>
    <w:rsid w:val="003B730D"/>
    <w:rsid w:val="003B74B8"/>
    <w:rsid w:val="003B75B7"/>
    <w:rsid w:val="003B78FE"/>
    <w:rsid w:val="003B7AE8"/>
    <w:rsid w:val="003B7B5F"/>
    <w:rsid w:val="003B7C6B"/>
    <w:rsid w:val="003B7C6E"/>
    <w:rsid w:val="003B7C8C"/>
    <w:rsid w:val="003C0117"/>
    <w:rsid w:val="003C02AF"/>
    <w:rsid w:val="003C0355"/>
    <w:rsid w:val="003C06EA"/>
    <w:rsid w:val="003C0792"/>
    <w:rsid w:val="003C0A20"/>
    <w:rsid w:val="003C0A29"/>
    <w:rsid w:val="003C0B26"/>
    <w:rsid w:val="003C0BBB"/>
    <w:rsid w:val="003C0CE9"/>
    <w:rsid w:val="003C0CFC"/>
    <w:rsid w:val="003C0ED3"/>
    <w:rsid w:val="003C0F96"/>
    <w:rsid w:val="003C12BB"/>
    <w:rsid w:val="003C1338"/>
    <w:rsid w:val="003C13B3"/>
    <w:rsid w:val="003C160B"/>
    <w:rsid w:val="003C1713"/>
    <w:rsid w:val="003C1726"/>
    <w:rsid w:val="003C1922"/>
    <w:rsid w:val="003C1A1F"/>
    <w:rsid w:val="003C1D67"/>
    <w:rsid w:val="003C1DF2"/>
    <w:rsid w:val="003C1E62"/>
    <w:rsid w:val="003C1E8A"/>
    <w:rsid w:val="003C201D"/>
    <w:rsid w:val="003C2113"/>
    <w:rsid w:val="003C2217"/>
    <w:rsid w:val="003C2264"/>
    <w:rsid w:val="003C22CD"/>
    <w:rsid w:val="003C2304"/>
    <w:rsid w:val="003C237E"/>
    <w:rsid w:val="003C25B5"/>
    <w:rsid w:val="003C274B"/>
    <w:rsid w:val="003C2779"/>
    <w:rsid w:val="003C2922"/>
    <w:rsid w:val="003C296C"/>
    <w:rsid w:val="003C2987"/>
    <w:rsid w:val="003C2A1D"/>
    <w:rsid w:val="003C2A83"/>
    <w:rsid w:val="003C2D81"/>
    <w:rsid w:val="003C2DC4"/>
    <w:rsid w:val="003C2F12"/>
    <w:rsid w:val="003C32B5"/>
    <w:rsid w:val="003C3300"/>
    <w:rsid w:val="003C3528"/>
    <w:rsid w:val="003C358A"/>
    <w:rsid w:val="003C364B"/>
    <w:rsid w:val="003C367A"/>
    <w:rsid w:val="003C36AB"/>
    <w:rsid w:val="003C39D2"/>
    <w:rsid w:val="003C3A1C"/>
    <w:rsid w:val="003C3CBE"/>
    <w:rsid w:val="003C3D6E"/>
    <w:rsid w:val="003C3DBB"/>
    <w:rsid w:val="003C3DE6"/>
    <w:rsid w:val="003C404B"/>
    <w:rsid w:val="003C42D0"/>
    <w:rsid w:val="003C435A"/>
    <w:rsid w:val="003C4371"/>
    <w:rsid w:val="003C439F"/>
    <w:rsid w:val="003C447B"/>
    <w:rsid w:val="003C46FF"/>
    <w:rsid w:val="003C48BE"/>
    <w:rsid w:val="003C4947"/>
    <w:rsid w:val="003C4C27"/>
    <w:rsid w:val="003C4D05"/>
    <w:rsid w:val="003C4D07"/>
    <w:rsid w:val="003C4DCD"/>
    <w:rsid w:val="003C4E1C"/>
    <w:rsid w:val="003C4EFF"/>
    <w:rsid w:val="003C51D0"/>
    <w:rsid w:val="003C5247"/>
    <w:rsid w:val="003C53D7"/>
    <w:rsid w:val="003C560D"/>
    <w:rsid w:val="003C5763"/>
    <w:rsid w:val="003C5786"/>
    <w:rsid w:val="003C57E3"/>
    <w:rsid w:val="003C5ACE"/>
    <w:rsid w:val="003C5E24"/>
    <w:rsid w:val="003C6070"/>
    <w:rsid w:val="003C65E0"/>
    <w:rsid w:val="003C6653"/>
    <w:rsid w:val="003C6676"/>
    <w:rsid w:val="003C683A"/>
    <w:rsid w:val="003C68C2"/>
    <w:rsid w:val="003C6950"/>
    <w:rsid w:val="003C6A5B"/>
    <w:rsid w:val="003C6A69"/>
    <w:rsid w:val="003C6C42"/>
    <w:rsid w:val="003C6DDE"/>
    <w:rsid w:val="003C6DEC"/>
    <w:rsid w:val="003C6E0A"/>
    <w:rsid w:val="003C6FCA"/>
    <w:rsid w:val="003C70DE"/>
    <w:rsid w:val="003C7189"/>
    <w:rsid w:val="003C7271"/>
    <w:rsid w:val="003C730D"/>
    <w:rsid w:val="003C7364"/>
    <w:rsid w:val="003C73BA"/>
    <w:rsid w:val="003C765C"/>
    <w:rsid w:val="003C784C"/>
    <w:rsid w:val="003C7B11"/>
    <w:rsid w:val="003C7B1F"/>
    <w:rsid w:val="003C7B74"/>
    <w:rsid w:val="003C7D12"/>
    <w:rsid w:val="003C7D1B"/>
    <w:rsid w:val="003C7D6A"/>
    <w:rsid w:val="003C7E88"/>
    <w:rsid w:val="003C7F4B"/>
    <w:rsid w:val="003C7F9A"/>
    <w:rsid w:val="003D000A"/>
    <w:rsid w:val="003D0020"/>
    <w:rsid w:val="003D0069"/>
    <w:rsid w:val="003D0238"/>
    <w:rsid w:val="003D0479"/>
    <w:rsid w:val="003D0515"/>
    <w:rsid w:val="003D0896"/>
    <w:rsid w:val="003D08B9"/>
    <w:rsid w:val="003D0BD2"/>
    <w:rsid w:val="003D0DF8"/>
    <w:rsid w:val="003D0ED7"/>
    <w:rsid w:val="003D0EF8"/>
    <w:rsid w:val="003D0FEC"/>
    <w:rsid w:val="003D0FFC"/>
    <w:rsid w:val="003D124E"/>
    <w:rsid w:val="003D127D"/>
    <w:rsid w:val="003D1596"/>
    <w:rsid w:val="003D17B9"/>
    <w:rsid w:val="003D19DC"/>
    <w:rsid w:val="003D1B02"/>
    <w:rsid w:val="003D1C8B"/>
    <w:rsid w:val="003D1D28"/>
    <w:rsid w:val="003D1D39"/>
    <w:rsid w:val="003D1DDA"/>
    <w:rsid w:val="003D2108"/>
    <w:rsid w:val="003D2197"/>
    <w:rsid w:val="003D22FF"/>
    <w:rsid w:val="003D2455"/>
    <w:rsid w:val="003D247E"/>
    <w:rsid w:val="003D27FF"/>
    <w:rsid w:val="003D2A22"/>
    <w:rsid w:val="003D2AD5"/>
    <w:rsid w:val="003D2CFC"/>
    <w:rsid w:val="003D2D5C"/>
    <w:rsid w:val="003D2E24"/>
    <w:rsid w:val="003D30EE"/>
    <w:rsid w:val="003D332B"/>
    <w:rsid w:val="003D34A5"/>
    <w:rsid w:val="003D3580"/>
    <w:rsid w:val="003D359F"/>
    <w:rsid w:val="003D35B0"/>
    <w:rsid w:val="003D36B8"/>
    <w:rsid w:val="003D38AE"/>
    <w:rsid w:val="003D38D9"/>
    <w:rsid w:val="003D3D70"/>
    <w:rsid w:val="003D3DB2"/>
    <w:rsid w:val="003D424B"/>
    <w:rsid w:val="003D42E8"/>
    <w:rsid w:val="003D42FE"/>
    <w:rsid w:val="003D4476"/>
    <w:rsid w:val="003D44E8"/>
    <w:rsid w:val="003D45C9"/>
    <w:rsid w:val="003D464D"/>
    <w:rsid w:val="003D4663"/>
    <w:rsid w:val="003D47EF"/>
    <w:rsid w:val="003D480F"/>
    <w:rsid w:val="003D4E74"/>
    <w:rsid w:val="003D4F8F"/>
    <w:rsid w:val="003D5042"/>
    <w:rsid w:val="003D509A"/>
    <w:rsid w:val="003D517B"/>
    <w:rsid w:val="003D540C"/>
    <w:rsid w:val="003D54A9"/>
    <w:rsid w:val="003D5502"/>
    <w:rsid w:val="003D5649"/>
    <w:rsid w:val="003D5787"/>
    <w:rsid w:val="003D57C1"/>
    <w:rsid w:val="003D57DA"/>
    <w:rsid w:val="003D58D3"/>
    <w:rsid w:val="003D5A8C"/>
    <w:rsid w:val="003D5AF9"/>
    <w:rsid w:val="003D5B36"/>
    <w:rsid w:val="003D5D29"/>
    <w:rsid w:val="003D5EC8"/>
    <w:rsid w:val="003D5FE9"/>
    <w:rsid w:val="003D601E"/>
    <w:rsid w:val="003D6214"/>
    <w:rsid w:val="003D622C"/>
    <w:rsid w:val="003D6498"/>
    <w:rsid w:val="003D660F"/>
    <w:rsid w:val="003D6943"/>
    <w:rsid w:val="003D6AD8"/>
    <w:rsid w:val="003D6C79"/>
    <w:rsid w:val="003D6EE8"/>
    <w:rsid w:val="003D6F56"/>
    <w:rsid w:val="003D729B"/>
    <w:rsid w:val="003D73B8"/>
    <w:rsid w:val="003D7474"/>
    <w:rsid w:val="003D7505"/>
    <w:rsid w:val="003D766B"/>
    <w:rsid w:val="003D76A3"/>
    <w:rsid w:val="003D7737"/>
    <w:rsid w:val="003D781B"/>
    <w:rsid w:val="003D792F"/>
    <w:rsid w:val="003D7A55"/>
    <w:rsid w:val="003D7A66"/>
    <w:rsid w:val="003D7BB2"/>
    <w:rsid w:val="003D7CB1"/>
    <w:rsid w:val="003E0058"/>
    <w:rsid w:val="003E0078"/>
    <w:rsid w:val="003E00E0"/>
    <w:rsid w:val="003E025D"/>
    <w:rsid w:val="003E03C0"/>
    <w:rsid w:val="003E052B"/>
    <w:rsid w:val="003E0688"/>
    <w:rsid w:val="003E071D"/>
    <w:rsid w:val="003E080A"/>
    <w:rsid w:val="003E0976"/>
    <w:rsid w:val="003E09B1"/>
    <w:rsid w:val="003E0AE4"/>
    <w:rsid w:val="003E0B84"/>
    <w:rsid w:val="003E0D2A"/>
    <w:rsid w:val="003E0D8C"/>
    <w:rsid w:val="003E0D96"/>
    <w:rsid w:val="003E0E0B"/>
    <w:rsid w:val="003E0E5A"/>
    <w:rsid w:val="003E1309"/>
    <w:rsid w:val="003E13AD"/>
    <w:rsid w:val="003E150A"/>
    <w:rsid w:val="003E155A"/>
    <w:rsid w:val="003E1566"/>
    <w:rsid w:val="003E18C1"/>
    <w:rsid w:val="003E18FE"/>
    <w:rsid w:val="003E1B68"/>
    <w:rsid w:val="003E1EDE"/>
    <w:rsid w:val="003E207C"/>
    <w:rsid w:val="003E229A"/>
    <w:rsid w:val="003E22E2"/>
    <w:rsid w:val="003E2644"/>
    <w:rsid w:val="003E2718"/>
    <w:rsid w:val="003E275D"/>
    <w:rsid w:val="003E2896"/>
    <w:rsid w:val="003E2976"/>
    <w:rsid w:val="003E2995"/>
    <w:rsid w:val="003E2C68"/>
    <w:rsid w:val="003E2D4C"/>
    <w:rsid w:val="003E2E2D"/>
    <w:rsid w:val="003E2F20"/>
    <w:rsid w:val="003E2F41"/>
    <w:rsid w:val="003E353C"/>
    <w:rsid w:val="003E353D"/>
    <w:rsid w:val="003E37FB"/>
    <w:rsid w:val="003E395B"/>
    <w:rsid w:val="003E3A67"/>
    <w:rsid w:val="003E3B01"/>
    <w:rsid w:val="003E3B27"/>
    <w:rsid w:val="003E3B5D"/>
    <w:rsid w:val="003E3B81"/>
    <w:rsid w:val="003E3B9B"/>
    <w:rsid w:val="003E3C77"/>
    <w:rsid w:val="003E3CA9"/>
    <w:rsid w:val="003E3CD2"/>
    <w:rsid w:val="003E3CD8"/>
    <w:rsid w:val="003E3D87"/>
    <w:rsid w:val="003E3FA7"/>
    <w:rsid w:val="003E4168"/>
    <w:rsid w:val="003E4358"/>
    <w:rsid w:val="003E472D"/>
    <w:rsid w:val="003E4797"/>
    <w:rsid w:val="003E47C0"/>
    <w:rsid w:val="003E485F"/>
    <w:rsid w:val="003E48DD"/>
    <w:rsid w:val="003E4A9A"/>
    <w:rsid w:val="003E4BAE"/>
    <w:rsid w:val="003E4C70"/>
    <w:rsid w:val="003E4D83"/>
    <w:rsid w:val="003E4DA8"/>
    <w:rsid w:val="003E4F72"/>
    <w:rsid w:val="003E51B7"/>
    <w:rsid w:val="003E53AE"/>
    <w:rsid w:val="003E54C8"/>
    <w:rsid w:val="003E5564"/>
    <w:rsid w:val="003E55E5"/>
    <w:rsid w:val="003E5658"/>
    <w:rsid w:val="003E5743"/>
    <w:rsid w:val="003E5790"/>
    <w:rsid w:val="003E57A2"/>
    <w:rsid w:val="003E589E"/>
    <w:rsid w:val="003E5927"/>
    <w:rsid w:val="003E5983"/>
    <w:rsid w:val="003E59D0"/>
    <w:rsid w:val="003E5CDC"/>
    <w:rsid w:val="003E5DA0"/>
    <w:rsid w:val="003E60EA"/>
    <w:rsid w:val="003E61B3"/>
    <w:rsid w:val="003E649E"/>
    <w:rsid w:val="003E668B"/>
    <w:rsid w:val="003E66D5"/>
    <w:rsid w:val="003E6884"/>
    <w:rsid w:val="003E6991"/>
    <w:rsid w:val="003E6A3F"/>
    <w:rsid w:val="003E6AAD"/>
    <w:rsid w:val="003E6D4D"/>
    <w:rsid w:val="003E6DD7"/>
    <w:rsid w:val="003E6F7D"/>
    <w:rsid w:val="003E7013"/>
    <w:rsid w:val="003E71D5"/>
    <w:rsid w:val="003E75E0"/>
    <w:rsid w:val="003E79BA"/>
    <w:rsid w:val="003E79CD"/>
    <w:rsid w:val="003E7CF3"/>
    <w:rsid w:val="003E7D43"/>
    <w:rsid w:val="003E7D85"/>
    <w:rsid w:val="003E7F42"/>
    <w:rsid w:val="003E7F64"/>
    <w:rsid w:val="003F0040"/>
    <w:rsid w:val="003F02A0"/>
    <w:rsid w:val="003F0362"/>
    <w:rsid w:val="003F041F"/>
    <w:rsid w:val="003F04AC"/>
    <w:rsid w:val="003F0526"/>
    <w:rsid w:val="003F0555"/>
    <w:rsid w:val="003F062B"/>
    <w:rsid w:val="003F0770"/>
    <w:rsid w:val="003F0786"/>
    <w:rsid w:val="003F07E1"/>
    <w:rsid w:val="003F0D02"/>
    <w:rsid w:val="003F0E68"/>
    <w:rsid w:val="003F1074"/>
    <w:rsid w:val="003F119A"/>
    <w:rsid w:val="003F124C"/>
    <w:rsid w:val="003F127D"/>
    <w:rsid w:val="003F12B9"/>
    <w:rsid w:val="003F1746"/>
    <w:rsid w:val="003F174F"/>
    <w:rsid w:val="003F177B"/>
    <w:rsid w:val="003F19CE"/>
    <w:rsid w:val="003F1A77"/>
    <w:rsid w:val="003F1E06"/>
    <w:rsid w:val="003F1E31"/>
    <w:rsid w:val="003F1FD0"/>
    <w:rsid w:val="003F2149"/>
    <w:rsid w:val="003F225C"/>
    <w:rsid w:val="003F2382"/>
    <w:rsid w:val="003F2410"/>
    <w:rsid w:val="003F258A"/>
    <w:rsid w:val="003F26AA"/>
    <w:rsid w:val="003F27C4"/>
    <w:rsid w:val="003F27CF"/>
    <w:rsid w:val="003F27D7"/>
    <w:rsid w:val="003F2821"/>
    <w:rsid w:val="003F28EB"/>
    <w:rsid w:val="003F298B"/>
    <w:rsid w:val="003F2A0F"/>
    <w:rsid w:val="003F2A22"/>
    <w:rsid w:val="003F2E03"/>
    <w:rsid w:val="003F2E31"/>
    <w:rsid w:val="003F2F20"/>
    <w:rsid w:val="003F3330"/>
    <w:rsid w:val="003F339A"/>
    <w:rsid w:val="003F34D7"/>
    <w:rsid w:val="003F3611"/>
    <w:rsid w:val="003F3752"/>
    <w:rsid w:val="003F3789"/>
    <w:rsid w:val="003F37E4"/>
    <w:rsid w:val="003F3940"/>
    <w:rsid w:val="003F3A02"/>
    <w:rsid w:val="003F3A80"/>
    <w:rsid w:val="003F3BCD"/>
    <w:rsid w:val="003F3E17"/>
    <w:rsid w:val="003F3F2D"/>
    <w:rsid w:val="003F3FBC"/>
    <w:rsid w:val="003F4103"/>
    <w:rsid w:val="003F4177"/>
    <w:rsid w:val="003F436A"/>
    <w:rsid w:val="003F4376"/>
    <w:rsid w:val="003F450F"/>
    <w:rsid w:val="003F4541"/>
    <w:rsid w:val="003F4591"/>
    <w:rsid w:val="003F47D8"/>
    <w:rsid w:val="003F484E"/>
    <w:rsid w:val="003F49DA"/>
    <w:rsid w:val="003F4DD6"/>
    <w:rsid w:val="003F4F42"/>
    <w:rsid w:val="003F50D6"/>
    <w:rsid w:val="003F50E0"/>
    <w:rsid w:val="003F515B"/>
    <w:rsid w:val="003F5337"/>
    <w:rsid w:val="003F5405"/>
    <w:rsid w:val="003F54DC"/>
    <w:rsid w:val="003F5764"/>
    <w:rsid w:val="003F5A95"/>
    <w:rsid w:val="003F5AEC"/>
    <w:rsid w:val="003F5C8D"/>
    <w:rsid w:val="003F5CCD"/>
    <w:rsid w:val="003F6054"/>
    <w:rsid w:val="003F6121"/>
    <w:rsid w:val="003F6148"/>
    <w:rsid w:val="003F6258"/>
    <w:rsid w:val="003F62BA"/>
    <w:rsid w:val="003F632E"/>
    <w:rsid w:val="003F6579"/>
    <w:rsid w:val="003F65DB"/>
    <w:rsid w:val="003F67FC"/>
    <w:rsid w:val="003F6B9C"/>
    <w:rsid w:val="003F6F3A"/>
    <w:rsid w:val="003F7293"/>
    <w:rsid w:val="003F734A"/>
    <w:rsid w:val="003F734E"/>
    <w:rsid w:val="003F73A8"/>
    <w:rsid w:val="003F7543"/>
    <w:rsid w:val="003F7575"/>
    <w:rsid w:val="003F75ED"/>
    <w:rsid w:val="003F789B"/>
    <w:rsid w:val="003F7AA8"/>
    <w:rsid w:val="003F7D43"/>
    <w:rsid w:val="003F7EA9"/>
    <w:rsid w:val="003F7ECA"/>
    <w:rsid w:val="003F7F19"/>
    <w:rsid w:val="003F7F21"/>
    <w:rsid w:val="003F7F25"/>
    <w:rsid w:val="004000E8"/>
    <w:rsid w:val="004001E1"/>
    <w:rsid w:val="004003D9"/>
    <w:rsid w:val="00400498"/>
    <w:rsid w:val="004004A2"/>
    <w:rsid w:val="00400662"/>
    <w:rsid w:val="0040086B"/>
    <w:rsid w:val="0040096A"/>
    <w:rsid w:val="00400BD1"/>
    <w:rsid w:val="00400BFC"/>
    <w:rsid w:val="00400C8A"/>
    <w:rsid w:val="00400CD3"/>
    <w:rsid w:val="00400F33"/>
    <w:rsid w:val="00400F97"/>
    <w:rsid w:val="00400FF3"/>
    <w:rsid w:val="004010D3"/>
    <w:rsid w:val="00401205"/>
    <w:rsid w:val="004013E3"/>
    <w:rsid w:val="004014A8"/>
    <w:rsid w:val="004014C4"/>
    <w:rsid w:val="004015A2"/>
    <w:rsid w:val="0040163C"/>
    <w:rsid w:val="00401698"/>
    <w:rsid w:val="00401A19"/>
    <w:rsid w:val="00401A36"/>
    <w:rsid w:val="00401B43"/>
    <w:rsid w:val="00401C8B"/>
    <w:rsid w:val="00401DA2"/>
    <w:rsid w:val="00401DFB"/>
    <w:rsid w:val="00401E7C"/>
    <w:rsid w:val="00401F7E"/>
    <w:rsid w:val="00402127"/>
    <w:rsid w:val="00402474"/>
    <w:rsid w:val="00402704"/>
    <w:rsid w:val="004027B5"/>
    <w:rsid w:val="004029AA"/>
    <w:rsid w:val="00402A08"/>
    <w:rsid w:val="00402A95"/>
    <w:rsid w:val="00402B16"/>
    <w:rsid w:val="00402B3D"/>
    <w:rsid w:val="00402B48"/>
    <w:rsid w:val="00402C52"/>
    <w:rsid w:val="00402E3E"/>
    <w:rsid w:val="00402E40"/>
    <w:rsid w:val="00402EEA"/>
    <w:rsid w:val="00402F0E"/>
    <w:rsid w:val="00403125"/>
    <w:rsid w:val="004031A9"/>
    <w:rsid w:val="004033D3"/>
    <w:rsid w:val="004033D5"/>
    <w:rsid w:val="0040371E"/>
    <w:rsid w:val="00403AB9"/>
    <w:rsid w:val="00403BC9"/>
    <w:rsid w:val="00403BD2"/>
    <w:rsid w:val="00403C85"/>
    <w:rsid w:val="00403F15"/>
    <w:rsid w:val="00403F9F"/>
    <w:rsid w:val="00404504"/>
    <w:rsid w:val="00404544"/>
    <w:rsid w:val="00404BA0"/>
    <w:rsid w:val="00404ED5"/>
    <w:rsid w:val="00404EE4"/>
    <w:rsid w:val="00404F14"/>
    <w:rsid w:val="00405089"/>
    <w:rsid w:val="0040508C"/>
    <w:rsid w:val="0040510E"/>
    <w:rsid w:val="0040519E"/>
    <w:rsid w:val="00405293"/>
    <w:rsid w:val="0040532C"/>
    <w:rsid w:val="0040540C"/>
    <w:rsid w:val="00405435"/>
    <w:rsid w:val="0040561F"/>
    <w:rsid w:val="00405661"/>
    <w:rsid w:val="004056DB"/>
    <w:rsid w:val="00405A08"/>
    <w:rsid w:val="00405A32"/>
    <w:rsid w:val="00405A41"/>
    <w:rsid w:val="00405B7A"/>
    <w:rsid w:val="00405CB6"/>
    <w:rsid w:val="00405E4A"/>
    <w:rsid w:val="00405F09"/>
    <w:rsid w:val="00405F34"/>
    <w:rsid w:val="00405FF1"/>
    <w:rsid w:val="00406054"/>
    <w:rsid w:val="0040610F"/>
    <w:rsid w:val="00406135"/>
    <w:rsid w:val="004061C8"/>
    <w:rsid w:val="004063BE"/>
    <w:rsid w:val="0040669C"/>
    <w:rsid w:val="00406756"/>
    <w:rsid w:val="004068F7"/>
    <w:rsid w:val="00406946"/>
    <w:rsid w:val="004069BB"/>
    <w:rsid w:val="00406BD0"/>
    <w:rsid w:val="00406BEC"/>
    <w:rsid w:val="00406C89"/>
    <w:rsid w:val="00406C91"/>
    <w:rsid w:val="00406C96"/>
    <w:rsid w:val="00406DAE"/>
    <w:rsid w:val="00406E6D"/>
    <w:rsid w:val="00406F8E"/>
    <w:rsid w:val="00407210"/>
    <w:rsid w:val="0040762A"/>
    <w:rsid w:val="004077BF"/>
    <w:rsid w:val="00407854"/>
    <w:rsid w:val="00407BDA"/>
    <w:rsid w:val="004100D9"/>
    <w:rsid w:val="00410404"/>
    <w:rsid w:val="00410405"/>
    <w:rsid w:val="004104F3"/>
    <w:rsid w:val="004105D8"/>
    <w:rsid w:val="004107C4"/>
    <w:rsid w:val="00410882"/>
    <w:rsid w:val="004108C3"/>
    <w:rsid w:val="00410A1A"/>
    <w:rsid w:val="00410C83"/>
    <w:rsid w:val="00410D2D"/>
    <w:rsid w:val="00410E6F"/>
    <w:rsid w:val="004110DB"/>
    <w:rsid w:val="004110E8"/>
    <w:rsid w:val="00411115"/>
    <w:rsid w:val="00411444"/>
    <w:rsid w:val="00411609"/>
    <w:rsid w:val="0041175A"/>
    <w:rsid w:val="00411D7A"/>
    <w:rsid w:val="00411D8A"/>
    <w:rsid w:val="00411DDA"/>
    <w:rsid w:val="00411E7A"/>
    <w:rsid w:val="00411EB4"/>
    <w:rsid w:val="00411EDF"/>
    <w:rsid w:val="004121DB"/>
    <w:rsid w:val="00412270"/>
    <w:rsid w:val="004123EC"/>
    <w:rsid w:val="0041251D"/>
    <w:rsid w:val="00412531"/>
    <w:rsid w:val="004125B7"/>
    <w:rsid w:val="004126C4"/>
    <w:rsid w:val="004127BC"/>
    <w:rsid w:val="00412874"/>
    <w:rsid w:val="00412898"/>
    <w:rsid w:val="004128F9"/>
    <w:rsid w:val="004129DF"/>
    <w:rsid w:val="00412A10"/>
    <w:rsid w:val="00412A43"/>
    <w:rsid w:val="00412BAC"/>
    <w:rsid w:val="00412C4D"/>
    <w:rsid w:val="00412D25"/>
    <w:rsid w:val="00412E30"/>
    <w:rsid w:val="00412ECE"/>
    <w:rsid w:val="00413147"/>
    <w:rsid w:val="004131CE"/>
    <w:rsid w:val="00413206"/>
    <w:rsid w:val="0041323F"/>
    <w:rsid w:val="004132D6"/>
    <w:rsid w:val="0041364F"/>
    <w:rsid w:val="004137BB"/>
    <w:rsid w:val="00413874"/>
    <w:rsid w:val="00413932"/>
    <w:rsid w:val="00413B5A"/>
    <w:rsid w:val="00413B9D"/>
    <w:rsid w:val="00413C00"/>
    <w:rsid w:val="00413C59"/>
    <w:rsid w:val="00413E1F"/>
    <w:rsid w:val="00413EE8"/>
    <w:rsid w:val="00414162"/>
    <w:rsid w:val="00414361"/>
    <w:rsid w:val="00414368"/>
    <w:rsid w:val="004143DD"/>
    <w:rsid w:val="004144B0"/>
    <w:rsid w:val="00414728"/>
    <w:rsid w:val="004148BB"/>
    <w:rsid w:val="0041491E"/>
    <w:rsid w:val="00414B4A"/>
    <w:rsid w:val="00414C68"/>
    <w:rsid w:val="00414F3D"/>
    <w:rsid w:val="00414F6F"/>
    <w:rsid w:val="00414FF7"/>
    <w:rsid w:val="0041506B"/>
    <w:rsid w:val="0041512D"/>
    <w:rsid w:val="00415392"/>
    <w:rsid w:val="004155DF"/>
    <w:rsid w:val="00415734"/>
    <w:rsid w:val="00415746"/>
    <w:rsid w:val="00415910"/>
    <w:rsid w:val="00415951"/>
    <w:rsid w:val="00415A25"/>
    <w:rsid w:val="00415A7E"/>
    <w:rsid w:val="00415CC8"/>
    <w:rsid w:val="00415D52"/>
    <w:rsid w:val="00415E64"/>
    <w:rsid w:val="00416062"/>
    <w:rsid w:val="004163FD"/>
    <w:rsid w:val="00416435"/>
    <w:rsid w:val="00416633"/>
    <w:rsid w:val="0041668C"/>
    <w:rsid w:val="004166C1"/>
    <w:rsid w:val="00416828"/>
    <w:rsid w:val="004169F1"/>
    <w:rsid w:val="00416A22"/>
    <w:rsid w:val="00416C6B"/>
    <w:rsid w:val="00416CFE"/>
    <w:rsid w:val="00417019"/>
    <w:rsid w:val="00417147"/>
    <w:rsid w:val="0041715D"/>
    <w:rsid w:val="004171E0"/>
    <w:rsid w:val="0041743D"/>
    <w:rsid w:val="0041748F"/>
    <w:rsid w:val="004178B4"/>
    <w:rsid w:val="00417923"/>
    <w:rsid w:val="0041799F"/>
    <w:rsid w:val="00417F06"/>
    <w:rsid w:val="00417F25"/>
    <w:rsid w:val="00417F64"/>
    <w:rsid w:val="00417F89"/>
    <w:rsid w:val="00420045"/>
    <w:rsid w:val="004202F3"/>
    <w:rsid w:val="004203A8"/>
    <w:rsid w:val="00420536"/>
    <w:rsid w:val="004207A6"/>
    <w:rsid w:val="00420800"/>
    <w:rsid w:val="00420925"/>
    <w:rsid w:val="004209C9"/>
    <w:rsid w:val="00420AC5"/>
    <w:rsid w:val="00420B39"/>
    <w:rsid w:val="00420BCC"/>
    <w:rsid w:val="00420BF3"/>
    <w:rsid w:val="004210D6"/>
    <w:rsid w:val="0042119E"/>
    <w:rsid w:val="00421211"/>
    <w:rsid w:val="004213FE"/>
    <w:rsid w:val="004214C8"/>
    <w:rsid w:val="00421504"/>
    <w:rsid w:val="0042153B"/>
    <w:rsid w:val="004215B4"/>
    <w:rsid w:val="004216CE"/>
    <w:rsid w:val="0042196D"/>
    <w:rsid w:val="00421A5B"/>
    <w:rsid w:val="00421A76"/>
    <w:rsid w:val="00421AB3"/>
    <w:rsid w:val="00421B37"/>
    <w:rsid w:val="00421DDA"/>
    <w:rsid w:val="00421DE1"/>
    <w:rsid w:val="00421E43"/>
    <w:rsid w:val="00422151"/>
    <w:rsid w:val="0042245C"/>
    <w:rsid w:val="004226EE"/>
    <w:rsid w:val="00422724"/>
    <w:rsid w:val="00422792"/>
    <w:rsid w:val="00422ABC"/>
    <w:rsid w:val="00422B02"/>
    <w:rsid w:val="00422D50"/>
    <w:rsid w:val="00422EC7"/>
    <w:rsid w:val="00422F50"/>
    <w:rsid w:val="004230B2"/>
    <w:rsid w:val="004230E6"/>
    <w:rsid w:val="00423119"/>
    <w:rsid w:val="00423357"/>
    <w:rsid w:val="0042352A"/>
    <w:rsid w:val="004235DB"/>
    <w:rsid w:val="00423714"/>
    <w:rsid w:val="00423BB1"/>
    <w:rsid w:val="00423D70"/>
    <w:rsid w:val="00423E51"/>
    <w:rsid w:val="004244E3"/>
    <w:rsid w:val="0042463D"/>
    <w:rsid w:val="004246AC"/>
    <w:rsid w:val="00424840"/>
    <w:rsid w:val="00424BE8"/>
    <w:rsid w:val="00424C27"/>
    <w:rsid w:val="00424CCA"/>
    <w:rsid w:val="00424DA3"/>
    <w:rsid w:val="00424E98"/>
    <w:rsid w:val="004250E9"/>
    <w:rsid w:val="004251E2"/>
    <w:rsid w:val="00425350"/>
    <w:rsid w:val="004258E1"/>
    <w:rsid w:val="0042594F"/>
    <w:rsid w:val="0042596E"/>
    <w:rsid w:val="00425A04"/>
    <w:rsid w:val="00425C36"/>
    <w:rsid w:val="00425C72"/>
    <w:rsid w:val="00425E3F"/>
    <w:rsid w:val="00425EB1"/>
    <w:rsid w:val="00425ED8"/>
    <w:rsid w:val="00425F1E"/>
    <w:rsid w:val="00425F4E"/>
    <w:rsid w:val="00425F70"/>
    <w:rsid w:val="00425FF1"/>
    <w:rsid w:val="00426075"/>
    <w:rsid w:val="00426360"/>
    <w:rsid w:val="004264D8"/>
    <w:rsid w:val="00426551"/>
    <w:rsid w:val="004266CA"/>
    <w:rsid w:val="00426829"/>
    <w:rsid w:val="00426890"/>
    <w:rsid w:val="004269DE"/>
    <w:rsid w:val="00426BF4"/>
    <w:rsid w:val="00426DD1"/>
    <w:rsid w:val="00426E4E"/>
    <w:rsid w:val="00426FA2"/>
    <w:rsid w:val="004272C4"/>
    <w:rsid w:val="0042739A"/>
    <w:rsid w:val="004276DF"/>
    <w:rsid w:val="004276EA"/>
    <w:rsid w:val="004277CF"/>
    <w:rsid w:val="00427A71"/>
    <w:rsid w:val="00427B51"/>
    <w:rsid w:val="00427B97"/>
    <w:rsid w:val="004300C5"/>
    <w:rsid w:val="0043037F"/>
    <w:rsid w:val="004303A2"/>
    <w:rsid w:val="00430551"/>
    <w:rsid w:val="00430690"/>
    <w:rsid w:val="004306BC"/>
    <w:rsid w:val="004306CE"/>
    <w:rsid w:val="004306D5"/>
    <w:rsid w:val="00430738"/>
    <w:rsid w:val="00430753"/>
    <w:rsid w:val="00430893"/>
    <w:rsid w:val="004308B0"/>
    <w:rsid w:val="00430924"/>
    <w:rsid w:val="004309C4"/>
    <w:rsid w:val="00430B0E"/>
    <w:rsid w:val="00430B7C"/>
    <w:rsid w:val="00430C0C"/>
    <w:rsid w:val="00430C44"/>
    <w:rsid w:val="00430D1C"/>
    <w:rsid w:val="00430D27"/>
    <w:rsid w:val="00430D93"/>
    <w:rsid w:val="00430D9A"/>
    <w:rsid w:val="00430D9C"/>
    <w:rsid w:val="00430DBD"/>
    <w:rsid w:val="00430EB5"/>
    <w:rsid w:val="00430F91"/>
    <w:rsid w:val="004310A1"/>
    <w:rsid w:val="004310B4"/>
    <w:rsid w:val="004310C5"/>
    <w:rsid w:val="0043112F"/>
    <w:rsid w:val="00431194"/>
    <w:rsid w:val="00431284"/>
    <w:rsid w:val="004312DD"/>
    <w:rsid w:val="004313BF"/>
    <w:rsid w:val="0043141A"/>
    <w:rsid w:val="004317C4"/>
    <w:rsid w:val="00431A4D"/>
    <w:rsid w:val="00431DA1"/>
    <w:rsid w:val="00431DB4"/>
    <w:rsid w:val="00432007"/>
    <w:rsid w:val="00432151"/>
    <w:rsid w:val="00432222"/>
    <w:rsid w:val="00432239"/>
    <w:rsid w:val="0043229A"/>
    <w:rsid w:val="00432608"/>
    <w:rsid w:val="004326F5"/>
    <w:rsid w:val="00432895"/>
    <w:rsid w:val="00432948"/>
    <w:rsid w:val="00432C98"/>
    <w:rsid w:val="00432CF3"/>
    <w:rsid w:val="00432E69"/>
    <w:rsid w:val="00432EAF"/>
    <w:rsid w:val="00432FE6"/>
    <w:rsid w:val="0043309A"/>
    <w:rsid w:val="004330ED"/>
    <w:rsid w:val="0043318E"/>
    <w:rsid w:val="004331C7"/>
    <w:rsid w:val="0043328B"/>
    <w:rsid w:val="00433303"/>
    <w:rsid w:val="004334B2"/>
    <w:rsid w:val="00433668"/>
    <w:rsid w:val="0043373C"/>
    <w:rsid w:val="004337D4"/>
    <w:rsid w:val="004337E9"/>
    <w:rsid w:val="004339AE"/>
    <w:rsid w:val="00433A0A"/>
    <w:rsid w:val="00433C97"/>
    <w:rsid w:val="00433D7A"/>
    <w:rsid w:val="00433E74"/>
    <w:rsid w:val="00433E99"/>
    <w:rsid w:val="00433F39"/>
    <w:rsid w:val="00433F85"/>
    <w:rsid w:val="00434100"/>
    <w:rsid w:val="00434102"/>
    <w:rsid w:val="004342B7"/>
    <w:rsid w:val="0043489D"/>
    <w:rsid w:val="004349CC"/>
    <w:rsid w:val="00434CA0"/>
    <w:rsid w:val="00434D37"/>
    <w:rsid w:val="00434DA9"/>
    <w:rsid w:val="00434F96"/>
    <w:rsid w:val="004351F0"/>
    <w:rsid w:val="004357A5"/>
    <w:rsid w:val="00435887"/>
    <w:rsid w:val="004358FE"/>
    <w:rsid w:val="00435A08"/>
    <w:rsid w:val="00435ADC"/>
    <w:rsid w:val="00435B42"/>
    <w:rsid w:val="00435B89"/>
    <w:rsid w:val="00435BC1"/>
    <w:rsid w:val="00435CB2"/>
    <w:rsid w:val="00435D12"/>
    <w:rsid w:val="00435DE6"/>
    <w:rsid w:val="00435E00"/>
    <w:rsid w:val="00436096"/>
    <w:rsid w:val="004360C9"/>
    <w:rsid w:val="004360EB"/>
    <w:rsid w:val="00436150"/>
    <w:rsid w:val="00436227"/>
    <w:rsid w:val="0043684A"/>
    <w:rsid w:val="004368BB"/>
    <w:rsid w:val="004368CE"/>
    <w:rsid w:val="00436941"/>
    <w:rsid w:val="004369A0"/>
    <w:rsid w:val="00436AD9"/>
    <w:rsid w:val="00436B1C"/>
    <w:rsid w:val="00436F81"/>
    <w:rsid w:val="00436FF9"/>
    <w:rsid w:val="0043700E"/>
    <w:rsid w:val="00437081"/>
    <w:rsid w:val="00437108"/>
    <w:rsid w:val="00437639"/>
    <w:rsid w:val="004377D6"/>
    <w:rsid w:val="004377E4"/>
    <w:rsid w:val="004378B2"/>
    <w:rsid w:val="004379B9"/>
    <w:rsid w:val="00437A3F"/>
    <w:rsid w:val="00437C88"/>
    <w:rsid w:val="00437D34"/>
    <w:rsid w:val="00437D44"/>
    <w:rsid w:val="00437DFF"/>
    <w:rsid w:val="00437E29"/>
    <w:rsid w:val="00437EDB"/>
    <w:rsid w:val="00440009"/>
    <w:rsid w:val="0044021D"/>
    <w:rsid w:val="0044031A"/>
    <w:rsid w:val="00440463"/>
    <w:rsid w:val="004406B0"/>
    <w:rsid w:val="0044092A"/>
    <w:rsid w:val="00440942"/>
    <w:rsid w:val="00440B3A"/>
    <w:rsid w:val="00440C17"/>
    <w:rsid w:val="00440C95"/>
    <w:rsid w:val="00440D71"/>
    <w:rsid w:val="00440DE7"/>
    <w:rsid w:val="00440DF0"/>
    <w:rsid w:val="00441004"/>
    <w:rsid w:val="0044118B"/>
    <w:rsid w:val="004412A3"/>
    <w:rsid w:val="004413FC"/>
    <w:rsid w:val="00441629"/>
    <w:rsid w:val="004417AE"/>
    <w:rsid w:val="004418C8"/>
    <w:rsid w:val="0044197A"/>
    <w:rsid w:val="00441B13"/>
    <w:rsid w:val="00441B84"/>
    <w:rsid w:val="00441BA0"/>
    <w:rsid w:val="00441C84"/>
    <w:rsid w:val="00441E4E"/>
    <w:rsid w:val="00441F6B"/>
    <w:rsid w:val="00441FF9"/>
    <w:rsid w:val="00442004"/>
    <w:rsid w:val="00442227"/>
    <w:rsid w:val="00442250"/>
    <w:rsid w:val="0044225E"/>
    <w:rsid w:val="0044235C"/>
    <w:rsid w:val="00442377"/>
    <w:rsid w:val="004424B3"/>
    <w:rsid w:val="00442575"/>
    <w:rsid w:val="004426CA"/>
    <w:rsid w:val="00442834"/>
    <w:rsid w:val="0044286D"/>
    <w:rsid w:val="00442920"/>
    <w:rsid w:val="00442AA2"/>
    <w:rsid w:val="00442AC0"/>
    <w:rsid w:val="00442B3E"/>
    <w:rsid w:val="00442E52"/>
    <w:rsid w:val="00442E83"/>
    <w:rsid w:val="00443405"/>
    <w:rsid w:val="00443446"/>
    <w:rsid w:val="0044349E"/>
    <w:rsid w:val="00443773"/>
    <w:rsid w:val="0044388F"/>
    <w:rsid w:val="0044392D"/>
    <w:rsid w:val="004439DC"/>
    <w:rsid w:val="00443AED"/>
    <w:rsid w:val="00443C05"/>
    <w:rsid w:val="00443D3E"/>
    <w:rsid w:val="00443DE7"/>
    <w:rsid w:val="00444010"/>
    <w:rsid w:val="00444047"/>
    <w:rsid w:val="00444102"/>
    <w:rsid w:val="00444151"/>
    <w:rsid w:val="004441D9"/>
    <w:rsid w:val="00444242"/>
    <w:rsid w:val="004442F0"/>
    <w:rsid w:val="004445A0"/>
    <w:rsid w:val="0044476A"/>
    <w:rsid w:val="004448F2"/>
    <w:rsid w:val="00444B3B"/>
    <w:rsid w:val="00444D2B"/>
    <w:rsid w:val="00444DA2"/>
    <w:rsid w:val="00444DBB"/>
    <w:rsid w:val="00444FA1"/>
    <w:rsid w:val="00444FD9"/>
    <w:rsid w:val="004450DA"/>
    <w:rsid w:val="00445215"/>
    <w:rsid w:val="0044530E"/>
    <w:rsid w:val="00445394"/>
    <w:rsid w:val="004453FD"/>
    <w:rsid w:val="00445403"/>
    <w:rsid w:val="00445691"/>
    <w:rsid w:val="00445816"/>
    <w:rsid w:val="004458B2"/>
    <w:rsid w:val="00445911"/>
    <w:rsid w:val="00445A9C"/>
    <w:rsid w:val="00445AFD"/>
    <w:rsid w:val="00445B84"/>
    <w:rsid w:val="00445BB8"/>
    <w:rsid w:val="00445BD1"/>
    <w:rsid w:val="00445DCB"/>
    <w:rsid w:val="00445E94"/>
    <w:rsid w:val="00445F86"/>
    <w:rsid w:val="00446161"/>
    <w:rsid w:val="0044622C"/>
    <w:rsid w:val="00446455"/>
    <w:rsid w:val="00446487"/>
    <w:rsid w:val="00446625"/>
    <w:rsid w:val="004466F0"/>
    <w:rsid w:val="00446870"/>
    <w:rsid w:val="00446873"/>
    <w:rsid w:val="00446D4A"/>
    <w:rsid w:val="0044704F"/>
    <w:rsid w:val="0044705A"/>
    <w:rsid w:val="00447286"/>
    <w:rsid w:val="004472E1"/>
    <w:rsid w:val="00447386"/>
    <w:rsid w:val="0044743E"/>
    <w:rsid w:val="00447568"/>
    <w:rsid w:val="0044761E"/>
    <w:rsid w:val="0044769E"/>
    <w:rsid w:val="004478F1"/>
    <w:rsid w:val="00447956"/>
    <w:rsid w:val="0044795E"/>
    <w:rsid w:val="00447A3A"/>
    <w:rsid w:val="00447B18"/>
    <w:rsid w:val="00447B31"/>
    <w:rsid w:val="00447B9B"/>
    <w:rsid w:val="00447BC9"/>
    <w:rsid w:val="00447D26"/>
    <w:rsid w:val="00447FF3"/>
    <w:rsid w:val="00450082"/>
    <w:rsid w:val="00450131"/>
    <w:rsid w:val="004501C5"/>
    <w:rsid w:val="0045021C"/>
    <w:rsid w:val="0045025E"/>
    <w:rsid w:val="004503FC"/>
    <w:rsid w:val="004505FB"/>
    <w:rsid w:val="00450777"/>
    <w:rsid w:val="004507F6"/>
    <w:rsid w:val="00450874"/>
    <w:rsid w:val="004508A1"/>
    <w:rsid w:val="00450982"/>
    <w:rsid w:val="004509C3"/>
    <w:rsid w:val="00450A70"/>
    <w:rsid w:val="00450BD6"/>
    <w:rsid w:val="00450C87"/>
    <w:rsid w:val="00450E04"/>
    <w:rsid w:val="00450F67"/>
    <w:rsid w:val="00451214"/>
    <w:rsid w:val="00451230"/>
    <w:rsid w:val="00451300"/>
    <w:rsid w:val="0045138D"/>
    <w:rsid w:val="004515B1"/>
    <w:rsid w:val="004517D0"/>
    <w:rsid w:val="00451981"/>
    <w:rsid w:val="00451A36"/>
    <w:rsid w:val="00451C3A"/>
    <w:rsid w:val="00451CC8"/>
    <w:rsid w:val="00451DBC"/>
    <w:rsid w:val="00451EC4"/>
    <w:rsid w:val="00452283"/>
    <w:rsid w:val="00452378"/>
    <w:rsid w:val="004525C8"/>
    <w:rsid w:val="004525CE"/>
    <w:rsid w:val="00452734"/>
    <w:rsid w:val="004527A0"/>
    <w:rsid w:val="0045298A"/>
    <w:rsid w:val="00452BA2"/>
    <w:rsid w:val="00452CAC"/>
    <w:rsid w:val="00452D91"/>
    <w:rsid w:val="00452FC5"/>
    <w:rsid w:val="00453311"/>
    <w:rsid w:val="004533E9"/>
    <w:rsid w:val="004534F8"/>
    <w:rsid w:val="0045353D"/>
    <w:rsid w:val="0045360C"/>
    <w:rsid w:val="00453613"/>
    <w:rsid w:val="00453704"/>
    <w:rsid w:val="004537F1"/>
    <w:rsid w:val="0045382C"/>
    <w:rsid w:val="004539B5"/>
    <w:rsid w:val="00453B95"/>
    <w:rsid w:val="00453BC2"/>
    <w:rsid w:val="00453C5E"/>
    <w:rsid w:val="00453C8C"/>
    <w:rsid w:val="00453D6E"/>
    <w:rsid w:val="00453D9B"/>
    <w:rsid w:val="00454019"/>
    <w:rsid w:val="00454159"/>
    <w:rsid w:val="004541DF"/>
    <w:rsid w:val="00454230"/>
    <w:rsid w:val="0045430E"/>
    <w:rsid w:val="004544B5"/>
    <w:rsid w:val="00454ACF"/>
    <w:rsid w:val="00454AFB"/>
    <w:rsid w:val="00454D41"/>
    <w:rsid w:val="00454E24"/>
    <w:rsid w:val="00454E82"/>
    <w:rsid w:val="00455081"/>
    <w:rsid w:val="0045510B"/>
    <w:rsid w:val="00455180"/>
    <w:rsid w:val="004552B9"/>
    <w:rsid w:val="00455345"/>
    <w:rsid w:val="004553AF"/>
    <w:rsid w:val="00455410"/>
    <w:rsid w:val="00455ADC"/>
    <w:rsid w:val="00455B31"/>
    <w:rsid w:val="00455E85"/>
    <w:rsid w:val="00455E86"/>
    <w:rsid w:val="00455F53"/>
    <w:rsid w:val="00455F70"/>
    <w:rsid w:val="0045600C"/>
    <w:rsid w:val="00456034"/>
    <w:rsid w:val="00456194"/>
    <w:rsid w:val="0045654B"/>
    <w:rsid w:val="0045656E"/>
    <w:rsid w:val="004565C1"/>
    <w:rsid w:val="004565E9"/>
    <w:rsid w:val="004565EE"/>
    <w:rsid w:val="00456601"/>
    <w:rsid w:val="004567DE"/>
    <w:rsid w:val="00456967"/>
    <w:rsid w:val="00456BC2"/>
    <w:rsid w:val="00456BFC"/>
    <w:rsid w:val="00456CB0"/>
    <w:rsid w:val="00456D22"/>
    <w:rsid w:val="00456FFE"/>
    <w:rsid w:val="00457233"/>
    <w:rsid w:val="0045732D"/>
    <w:rsid w:val="00457407"/>
    <w:rsid w:val="0045741B"/>
    <w:rsid w:val="0045743A"/>
    <w:rsid w:val="004574C0"/>
    <w:rsid w:val="00457592"/>
    <w:rsid w:val="0045788E"/>
    <w:rsid w:val="004578A3"/>
    <w:rsid w:val="004578C3"/>
    <w:rsid w:val="004578FB"/>
    <w:rsid w:val="00457967"/>
    <w:rsid w:val="00457991"/>
    <w:rsid w:val="00457AF8"/>
    <w:rsid w:val="00457D46"/>
    <w:rsid w:val="00457D92"/>
    <w:rsid w:val="00457E54"/>
    <w:rsid w:val="00457EDE"/>
    <w:rsid w:val="00457FB0"/>
    <w:rsid w:val="00460042"/>
    <w:rsid w:val="0046005A"/>
    <w:rsid w:val="004600A8"/>
    <w:rsid w:val="0046014C"/>
    <w:rsid w:val="0046029E"/>
    <w:rsid w:val="00460462"/>
    <w:rsid w:val="00460684"/>
    <w:rsid w:val="00460743"/>
    <w:rsid w:val="00460762"/>
    <w:rsid w:val="00460CB8"/>
    <w:rsid w:val="00460E1C"/>
    <w:rsid w:val="00460E5E"/>
    <w:rsid w:val="00460ECE"/>
    <w:rsid w:val="00460F6A"/>
    <w:rsid w:val="00460FA6"/>
    <w:rsid w:val="00461270"/>
    <w:rsid w:val="0046131A"/>
    <w:rsid w:val="00461429"/>
    <w:rsid w:val="004614D5"/>
    <w:rsid w:val="0046157C"/>
    <w:rsid w:val="004615B6"/>
    <w:rsid w:val="004616A9"/>
    <w:rsid w:val="0046175B"/>
    <w:rsid w:val="004617BC"/>
    <w:rsid w:val="00461802"/>
    <w:rsid w:val="00461A6B"/>
    <w:rsid w:val="00461A93"/>
    <w:rsid w:val="00461BB6"/>
    <w:rsid w:val="00461C9B"/>
    <w:rsid w:val="00461CF2"/>
    <w:rsid w:val="00462069"/>
    <w:rsid w:val="00462112"/>
    <w:rsid w:val="00462209"/>
    <w:rsid w:val="00462308"/>
    <w:rsid w:val="004624BE"/>
    <w:rsid w:val="0046251C"/>
    <w:rsid w:val="004625F3"/>
    <w:rsid w:val="00462861"/>
    <w:rsid w:val="0046288A"/>
    <w:rsid w:val="00462946"/>
    <w:rsid w:val="0046298E"/>
    <w:rsid w:val="004629AD"/>
    <w:rsid w:val="00462BE0"/>
    <w:rsid w:val="00462C74"/>
    <w:rsid w:val="00462CF6"/>
    <w:rsid w:val="00462F6F"/>
    <w:rsid w:val="00462FA2"/>
    <w:rsid w:val="00462FD7"/>
    <w:rsid w:val="0046308E"/>
    <w:rsid w:val="004630D3"/>
    <w:rsid w:val="0046311C"/>
    <w:rsid w:val="00463163"/>
    <w:rsid w:val="00463243"/>
    <w:rsid w:val="0046326D"/>
    <w:rsid w:val="004632A3"/>
    <w:rsid w:val="0046341A"/>
    <w:rsid w:val="00463856"/>
    <w:rsid w:val="004638FA"/>
    <w:rsid w:val="0046392E"/>
    <w:rsid w:val="00463933"/>
    <w:rsid w:val="004639F4"/>
    <w:rsid w:val="00463A0D"/>
    <w:rsid w:val="00463AA6"/>
    <w:rsid w:val="00463E82"/>
    <w:rsid w:val="0046411F"/>
    <w:rsid w:val="00464137"/>
    <w:rsid w:val="0046423C"/>
    <w:rsid w:val="00464269"/>
    <w:rsid w:val="00464343"/>
    <w:rsid w:val="0046435E"/>
    <w:rsid w:val="00464424"/>
    <w:rsid w:val="00464495"/>
    <w:rsid w:val="004645A7"/>
    <w:rsid w:val="0046462B"/>
    <w:rsid w:val="00464696"/>
    <w:rsid w:val="00464A15"/>
    <w:rsid w:val="00464B3A"/>
    <w:rsid w:val="00464C57"/>
    <w:rsid w:val="00464DEE"/>
    <w:rsid w:val="00465069"/>
    <w:rsid w:val="004651CB"/>
    <w:rsid w:val="00465255"/>
    <w:rsid w:val="00465264"/>
    <w:rsid w:val="00465435"/>
    <w:rsid w:val="0046544C"/>
    <w:rsid w:val="0046545A"/>
    <w:rsid w:val="004654BB"/>
    <w:rsid w:val="0046557F"/>
    <w:rsid w:val="004655E1"/>
    <w:rsid w:val="004656C8"/>
    <w:rsid w:val="00465DD5"/>
    <w:rsid w:val="00465FC9"/>
    <w:rsid w:val="0046633D"/>
    <w:rsid w:val="00466449"/>
    <w:rsid w:val="004665B7"/>
    <w:rsid w:val="00466611"/>
    <w:rsid w:val="00466823"/>
    <w:rsid w:val="0046696A"/>
    <w:rsid w:val="00466B7B"/>
    <w:rsid w:val="00466BEB"/>
    <w:rsid w:val="00466C9C"/>
    <w:rsid w:val="00466D58"/>
    <w:rsid w:val="00466E5D"/>
    <w:rsid w:val="00466F00"/>
    <w:rsid w:val="00466FC5"/>
    <w:rsid w:val="00467192"/>
    <w:rsid w:val="00467329"/>
    <w:rsid w:val="004673FD"/>
    <w:rsid w:val="004674B1"/>
    <w:rsid w:val="004674DE"/>
    <w:rsid w:val="004674E2"/>
    <w:rsid w:val="0046750F"/>
    <w:rsid w:val="004675ED"/>
    <w:rsid w:val="00467655"/>
    <w:rsid w:val="00467899"/>
    <w:rsid w:val="0046798E"/>
    <w:rsid w:val="00467A64"/>
    <w:rsid w:val="00467B3C"/>
    <w:rsid w:val="00467E1A"/>
    <w:rsid w:val="0047005E"/>
    <w:rsid w:val="0047006F"/>
    <w:rsid w:val="00470719"/>
    <w:rsid w:val="00470807"/>
    <w:rsid w:val="00470A51"/>
    <w:rsid w:val="00470AAC"/>
    <w:rsid w:val="00470B50"/>
    <w:rsid w:val="00470FD1"/>
    <w:rsid w:val="0047131A"/>
    <w:rsid w:val="00471343"/>
    <w:rsid w:val="004713B2"/>
    <w:rsid w:val="0047146C"/>
    <w:rsid w:val="0047150B"/>
    <w:rsid w:val="004718E1"/>
    <w:rsid w:val="00471946"/>
    <w:rsid w:val="004719D1"/>
    <w:rsid w:val="00471BCE"/>
    <w:rsid w:val="00471C62"/>
    <w:rsid w:val="00471FED"/>
    <w:rsid w:val="004720B4"/>
    <w:rsid w:val="0047210B"/>
    <w:rsid w:val="00472142"/>
    <w:rsid w:val="00472208"/>
    <w:rsid w:val="004723B2"/>
    <w:rsid w:val="00472800"/>
    <w:rsid w:val="00472AB0"/>
    <w:rsid w:val="00472ED8"/>
    <w:rsid w:val="00472EF9"/>
    <w:rsid w:val="00472FB0"/>
    <w:rsid w:val="00472FD6"/>
    <w:rsid w:val="004731D8"/>
    <w:rsid w:val="004731EE"/>
    <w:rsid w:val="00473607"/>
    <w:rsid w:val="00473796"/>
    <w:rsid w:val="004737B5"/>
    <w:rsid w:val="00473972"/>
    <w:rsid w:val="00473AA9"/>
    <w:rsid w:val="00473B48"/>
    <w:rsid w:val="00473BD8"/>
    <w:rsid w:val="00473C89"/>
    <w:rsid w:val="00473CDB"/>
    <w:rsid w:val="00473ED0"/>
    <w:rsid w:val="00473FA8"/>
    <w:rsid w:val="00473FBB"/>
    <w:rsid w:val="00473FF3"/>
    <w:rsid w:val="00474202"/>
    <w:rsid w:val="0047428F"/>
    <w:rsid w:val="0047430C"/>
    <w:rsid w:val="004743D8"/>
    <w:rsid w:val="004743E0"/>
    <w:rsid w:val="00474424"/>
    <w:rsid w:val="00474509"/>
    <w:rsid w:val="00474665"/>
    <w:rsid w:val="004746FC"/>
    <w:rsid w:val="004747A4"/>
    <w:rsid w:val="00474979"/>
    <w:rsid w:val="00474992"/>
    <w:rsid w:val="004749F9"/>
    <w:rsid w:val="00474D78"/>
    <w:rsid w:val="00474DA4"/>
    <w:rsid w:val="00474DD0"/>
    <w:rsid w:val="00474E63"/>
    <w:rsid w:val="00474ECC"/>
    <w:rsid w:val="00474F3A"/>
    <w:rsid w:val="00474FD5"/>
    <w:rsid w:val="00475257"/>
    <w:rsid w:val="004752CC"/>
    <w:rsid w:val="004753FE"/>
    <w:rsid w:val="0047541C"/>
    <w:rsid w:val="00475596"/>
    <w:rsid w:val="004755DE"/>
    <w:rsid w:val="0047582B"/>
    <w:rsid w:val="00475874"/>
    <w:rsid w:val="00475C40"/>
    <w:rsid w:val="00475CCA"/>
    <w:rsid w:val="00475E8F"/>
    <w:rsid w:val="00475FCF"/>
    <w:rsid w:val="00475FF4"/>
    <w:rsid w:val="004761BB"/>
    <w:rsid w:val="004767EC"/>
    <w:rsid w:val="00476830"/>
    <w:rsid w:val="0047683D"/>
    <w:rsid w:val="00476A34"/>
    <w:rsid w:val="00476A9E"/>
    <w:rsid w:val="00476AC6"/>
    <w:rsid w:val="00476AF2"/>
    <w:rsid w:val="00476FD0"/>
    <w:rsid w:val="00477266"/>
    <w:rsid w:val="0047734A"/>
    <w:rsid w:val="004774D5"/>
    <w:rsid w:val="004774D8"/>
    <w:rsid w:val="004774F3"/>
    <w:rsid w:val="00477890"/>
    <w:rsid w:val="00477940"/>
    <w:rsid w:val="00477971"/>
    <w:rsid w:val="00477B62"/>
    <w:rsid w:val="00477E70"/>
    <w:rsid w:val="00477EEA"/>
    <w:rsid w:val="00477F9F"/>
    <w:rsid w:val="0047A590"/>
    <w:rsid w:val="00480314"/>
    <w:rsid w:val="00480499"/>
    <w:rsid w:val="00480617"/>
    <w:rsid w:val="0048061E"/>
    <w:rsid w:val="00480639"/>
    <w:rsid w:val="00480707"/>
    <w:rsid w:val="00480940"/>
    <w:rsid w:val="00480AD5"/>
    <w:rsid w:val="00480B4E"/>
    <w:rsid w:val="00480FA3"/>
    <w:rsid w:val="00481148"/>
    <w:rsid w:val="004811B7"/>
    <w:rsid w:val="004812E5"/>
    <w:rsid w:val="004813B7"/>
    <w:rsid w:val="00481498"/>
    <w:rsid w:val="004816EF"/>
    <w:rsid w:val="00481730"/>
    <w:rsid w:val="00481893"/>
    <w:rsid w:val="00481A9C"/>
    <w:rsid w:val="00481B01"/>
    <w:rsid w:val="00481BC6"/>
    <w:rsid w:val="00481CD9"/>
    <w:rsid w:val="00481D11"/>
    <w:rsid w:val="00481D43"/>
    <w:rsid w:val="00481E03"/>
    <w:rsid w:val="00481E5B"/>
    <w:rsid w:val="00481EB4"/>
    <w:rsid w:val="00481F3A"/>
    <w:rsid w:val="004821D7"/>
    <w:rsid w:val="00482306"/>
    <w:rsid w:val="0048234B"/>
    <w:rsid w:val="00482538"/>
    <w:rsid w:val="00482561"/>
    <w:rsid w:val="004826B9"/>
    <w:rsid w:val="004829FC"/>
    <w:rsid w:val="00482A65"/>
    <w:rsid w:val="00482B8D"/>
    <w:rsid w:val="00482C78"/>
    <w:rsid w:val="0048319A"/>
    <w:rsid w:val="00483217"/>
    <w:rsid w:val="00483399"/>
    <w:rsid w:val="004833FB"/>
    <w:rsid w:val="0048369E"/>
    <w:rsid w:val="00483A3D"/>
    <w:rsid w:val="00483AFC"/>
    <w:rsid w:val="00483CFA"/>
    <w:rsid w:val="00483E5D"/>
    <w:rsid w:val="00483F17"/>
    <w:rsid w:val="00484310"/>
    <w:rsid w:val="0048448D"/>
    <w:rsid w:val="004845FE"/>
    <w:rsid w:val="0048463F"/>
    <w:rsid w:val="00484ABE"/>
    <w:rsid w:val="00484E6A"/>
    <w:rsid w:val="00484E97"/>
    <w:rsid w:val="00484EC0"/>
    <w:rsid w:val="00484FAC"/>
    <w:rsid w:val="00484FF2"/>
    <w:rsid w:val="00485077"/>
    <w:rsid w:val="00485093"/>
    <w:rsid w:val="004851E3"/>
    <w:rsid w:val="00485252"/>
    <w:rsid w:val="004854D6"/>
    <w:rsid w:val="0048567E"/>
    <w:rsid w:val="00485831"/>
    <w:rsid w:val="0048587F"/>
    <w:rsid w:val="004858E2"/>
    <w:rsid w:val="00485AC7"/>
    <w:rsid w:val="00485AD8"/>
    <w:rsid w:val="00485C52"/>
    <w:rsid w:val="00485DE4"/>
    <w:rsid w:val="00485E47"/>
    <w:rsid w:val="00486049"/>
    <w:rsid w:val="00486130"/>
    <w:rsid w:val="004861C6"/>
    <w:rsid w:val="004863BD"/>
    <w:rsid w:val="0048670E"/>
    <w:rsid w:val="004867FE"/>
    <w:rsid w:val="00486853"/>
    <w:rsid w:val="00486876"/>
    <w:rsid w:val="00486926"/>
    <w:rsid w:val="00486B7B"/>
    <w:rsid w:val="00486DCF"/>
    <w:rsid w:val="00486E59"/>
    <w:rsid w:val="00486E88"/>
    <w:rsid w:val="00486E9F"/>
    <w:rsid w:val="0048706B"/>
    <w:rsid w:val="004870CD"/>
    <w:rsid w:val="00487122"/>
    <w:rsid w:val="00487214"/>
    <w:rsid w:val="004873CA"/>
    <w:rsid w:val="004874D6"/>
    <w:rsid w:val="004874FC"/>
    <w:rsid w:val="004875A4"/>
    <w:rsid w:val="004877C5"/>
    <w:rsid w:val="004878B5"/>
    <w:rsid w:val="00487A35"/>
    <w:rsid w:val="00487C4D"/>
    <w:rsid w:val="00487C4F"/>
    <w:rsid w:val="00487E5E"/>
    <w:rsid w:val="00487F70"/>
    <w:rsid w:val="00487FC4"/>
    <w:rsid w:val="004900EC"/>
    <w:rsid w:val="00490188"/>
    <w:rsid w:val="00490536"/>
    <w:rsid w:val="0049058F"/>
    <w:rsid w:val="00490594"/>
    <w:rsid w:val="004905A6"/>
    <w:rsid w:val="004905C5"/>
    <w:rsid w:val="004905E7"/>
    <w:rsid w:val="00490A5F"/>
    <w:rsid w:val="00490BD8"/>
    <w:rsid w:val="00490C90"/>
    <w:rsid w:val="00490E12"/>
    <w:rsid w:val="00490E19"/>
    <w:rsid w:val="0049106C"/>
    <w:rsid w:val="004910AB"/>
    <w:rsid w:val="004911B5"/>
    <w:rsid w:val="004915EE"/>
    <w:rsid w:val="0049177E"/>
    <w:rsid w:val="00491803"/>
    <w:rsid w:val="00491886"/>
    <w:rsid w:val="0049192C"/>
    <w:rsid w:val="00491BDE"/>
    <w:rsid w:val="00491C20"/>
    <w:rsid w:val="00491D37"/>
    <w:rsid w:val="00491DE1"/>
    <w:rsid w:val="004920E4"/>
    <w:rsid w:val="004925B9"/>
    <w:rsid w:val="0049269E"/>
    <w:rsid w:val="0049275E"/>
    <w:rsid w:val="00492948"/>
    <w:rsid w:val="00492981"/>
    <w:rsid w:val="00492A87"/>
    <w:rsid w:val="00492BB6"/>
    <w:rsid w:val="00492C0D"/>
    <w:rsid w:val="00492C75"/>
    <w:rsid w:val="00492E1C"/>
    <w:rsid w:val="00493070"/>
    <w:rsid w:val="004930E5"/>
    <w:rsid w:val="00493108"/>
    <w:rsid w:val="00493121"/>
    <w:rsid w:val="00493197"/>
    <w:rsid w:val="004931E1"/>
    <w:rsid w:val="0049340B"/>
    <w:rsid w:val="004937C3"/>
    <w:rsid w:val="004938E5"/>
    <w:rsid w:val="00493A2F"/>
    <w:rsid w:val="00493B7B"/>
    <w:rsid w:val="00493C12"/>
    <w:rsid w:val="00493DAD"/>
    <w:rsid w:val="00493FFD"/>
    <w:rsid w:val="004940BE"/>
    <w:rsid w:val="004940F3"/>
    <w:rsid w:val="004942DC"/>
    <w:rsid w:val="00494398"/>
    <w:rsid w:val="00494408"/>
    <w:rsid w:val="00494767"/>
    <w:rsid w:val="00494A60"/>
    <w:rsid w:val="00494DCB"/>
    <w:rsid w:val="00494F17"/>
    <w:rsid w:val="004951E7"/>
    <w:rsid w:val="00495355"/>
    <w:rsid w:val="00495372"/>
    <w:rsid w:val="00495542"/>
    <w:rsid w:val="0049555B"/>
    <w:rsid w:val="0049568D"/>
    <w:rsid w:val="004956FE"/>
    <w:rsid w:val="00495719"/>
    <w:rsid w:val="0049575C"/>
    <w:rsid w:val="0049587A"/>
    <w:rsid w:val="00495909"/>
    <w:rsid w:val="004959C0"/>
    <w:rsid w:val="00495CAD"/>
    <w:rsid w:val="00495D40"/>
    <w:rsid w:val="00495FB7"/>
    <w:rsid w:val="0049610C"/>
    <w:rsid w:val="0049629F"/>
    <w:rsid w:val="004962EF"/>
    <w:rsid w:val="0049643E"/>
    <w:rsid w:val="004965DA"/>
    <w:rsid w:val="004966C7"/>
    <w:rsid w:val="0049696A"/>
    <w:rsid w:val="00496A57"/>
    <w:rsid w:val="00496AB7"/>
    <w:rsid w:val="00496BDA"/>
    <w:rsid w:val="00496C46"/>
    <w:rsid w:val="00496EEF"/>
    <w:rsid w:val="0049707B"/>
    <w:rsid w:val="0049727E"/>
    <w:rsid w:val="0049741C"/>
    <w:rsid w:val="00497530"/>
    <w:rsid w:val="004976D0"/>
    <w:rsid w:val="00497818"/>
    <w:rsid w:val="00497882"/>
    <w:rsid w:val="004978EB"/>
    <w:rsid w:val="004978FD"/>
    <w:rsid w:val="004979E8"/>
    <w:rsid w:val="00497A1A"/>
    <w:rsid w:val="00497A2B"/>
    <w:rsid w:val="00497B75"/>
    <w:rsid w:val="00497B93"/>
    <w:rsid w:val="00497EE5"/>
    <w:rsid w:val="00497F23"/>
    <w:rsid w:val="004A0183"/>
    <w:rsid w:val="004A0255"/>
    <w:rsid w:val="004A0296"/>
    <w:rsid w:val="004A02D4"/>
    <w:rsid w:val="004A02F3"/>
    <w:rsid w:val="004A0554"/>
    <w:rsid w:val="004A0568"/>
    <w:rsid w:val="004A056B"/>
    <w:rsid w:val="004A05E8"/>
    <w:rsid w:val="004A07E2"/>
    <w:rsid w:val="004A0BAC"/>
    <w:rsid w:val="004A0D2E"/>
    <w:rsid w:val="004A0D30"/>
    <w:rsid w:val="004A0D8D"/>
    <w:rsid w:val="004A0FC7"/>
    <w:rsid w:val="004A1078"/>
    <w:rsid w:val="004A108A"/>
    <w:rsid w:val="004A12A4"/>
    <w:rsid w:val="004A1399"/>
    <w:rsid w:val="004A16CD"/>
    <w:rsid w:val="004A17E9"/>
    <w:rsid w:val="004A191A"/>
    <w:rsid w:val="004A1928"/>
    <w:rsid w:val="004A1BC5"/>
    <w:rsid w:val="004A1C1B"/>
    <w:rsid w:val="004A1C35"/>
    <w:rsid w:val="004A1E25"/>
    <w:rsid w:val="004A1ED2"/>
    <w:rsid w:val="004A20F6"/>
    <w:rsid w:val="004A23ED"/>
    <w:rsid w:val="004A2415"/>
    <w:rsid w:val="004A24E5"/>
    <w:rsid w:val="004A25FB"/>
    <w:rsid w:val="004A263D"/>
    <w:rsid w:val="004A269C"/>
    <w:rsid w:val="004A26B7"/>
    <w:rsid w:val="004A29A5"/>
    <w:rsid w:val="004A29BA"/>
    <w:rsid w:val="004A2CA4"/>
    <w:rsid w:val="004A2CEF"/>
    <w:rsid w:val="004A2E91"/>
    <w:rsid w:val="004A2FB6"/>
    <w:rsid w:val="004A31B5"/>
    <w:rsid w:val="004A31D2"/>
    <w:rsid w:val="004A3270"/>
    <w:rsid w:val="004A32F4"/>
    <w:rsid w:val="004A3321"/>
    <w:rsid w:val="004A3621"/>
    <w:rsid w:val="004A3921"/>
    <w:rsid w:val="004A3A2E"/>
    <w:rsid w:val="004A3D75"/>
    <w:rsid w:val="004A4255"/>
    <w:rsid w:val="004A427B"/>
    <w:rsid w:val="004A451B"/>
    <w:rsid w:val="004A45AC"/>
    <w:rsid w:val="004A466D"/>
    <w:rsid w:val="004A4694"/>
    <w:rsid w:val="004A481A"/>
    <w:rsid w:val="004A4CFF"/>
    <w:rsid w:val="004A4D28"/>
    <w:rsid w:val="004A4E65"/>
    <w:rsid w:val="004A4E89"/>
    <w:rsid w:val="004A4EB0"/>
    <w:rsid w:val="004A4FA4"/>
    <w:rsid w:val="004A502C"/>
    <w:rsid w:val="004A509E"/>
    <w:rsid w:val="004A510D"/>
    <w:rsid w:val="004A51CB"/>
    <w:rsid w:val="004A5209"/>
    <w:rsid w:val="004A524A"/>
    <w:rsid w:val="004A52B6"/>
    <w:rsid w:val="004A539B"/>
    <w:rsid w:val="004A55BC"/>
    <w:rsid w:val="004A56F8"/>
    <w:rsid w:val="004A5850"/>
    <w:rsid w:val="004A5AD5"/>
    <w:rsid w:val="004A5CFD"/>
    <w:rsid w:val="004A5D9B"/>
    <w:rsid w:val="004A5E09"/>
    <w:rsid w:val="004A5EC3"/>
    <w:rsid w:val="004A5EE5"/>
    <w:rsid w:val="004A5F42"/>
    <w:rsid w:val="004A5F57"/>
    <w:rsid w:val="004A5FD9"/>
    <w:rsid w:val="004A6199"/>
    <w:rsid w:val="004A621C"/>
    <w:rsid w:val="004A63C4"/>
    <w:rsid w:val="004A65B7"/>
    <w:rsid w:val="004A65F3"/>
    <w:rsid w:val="004A68AB"/>
    <w:rsid w:val="004A69F1"/>
    <w:rsid w:val="004A6A34"/>
    <w:rsid w:val="004A6B2A"/>
    <w:rsid w:val="004A6C4B"/>
    <w:rsid w:val="004A6CB3"/>
    <w:rsid w:val="004A6CF6"/>
    <w:rsid w:val="004A6DFC"/>
    <w:rsid w:val="004A6E6B"/>
    <w:rsid w:val="004A6E92"/>
    <w:rsid w:val="004A709F"/>
    <w:rsid w:val="004A70D0"/>
    <w:rsid w:val="004A710E"/>
    <w:rsid w:val="004A712B"/>
    <w:rsid w:val="004A7190"/>
    <w:rsid w:val="004A725E"/>
    <w:rsid w:val="004A7366"/>
    <w:rsid w:val="004A75A6"/>
    <w:rsid w:val="004A7755"/>
    <w:rsid w:val="004A776F"/>
    <w:rsid w:val="004A7844"/>
    <w:rsid w:val="004A795A"/>
    <w:rsid w:val="004A798A"/>
    <w:rsid w:val="004A7A69"/>
    <w:rsid w:val="004A7A96"/>
    <w:rsid w:val="004A7D80"/>
    <w:rsid w:val="004A7D9B"/>
    <w:rsid w:val="004A7DAE"/>
    <w:rsid w:val="004B02DB"/>
    <w:rsid w:val="004B0591"/>
    <w:rsid w:val="004B05AC"/>
    <w:rsid w:val="004B05D0"/>
    <w:rsid w:val="004B0887"/>
    <w:rsid w:val="004B0A34"/>
    <w:rsid w:val="004B0EB6"/>
    <w:rsid w:val="004B0FB7"/>
    <w:rsid w:val="004B109E"/>
    <w:rsid w:val="004B10D0"/>
    <w:rsid w:val="004B1257"/>
    <w:rsid w:val="004B1294"/>
    <w:rsid w:val="004B135A"/>
    <w:rsid w:val="004B1391"/>
    <w:rsid w:val="004B1492"/>
    <w:rsid w:val="004B14B6"/>
    <w:rsid w:val="004B161C"/>
    <w:rsid w:val="004B19DC"/>
    <w:rsid w:val="004B1A02"/>
    <w:rsid w:val="004B1B0B"/>
    <w:rsid w:val="004B1B4C"/>
    <w:rsid w:val="004B1B75"/>
    <w:rsid w:val="004B1E2C"/>
    <w:rsid w:val="004B2007"/>
    <w:rsid w:val="004B20E9"/>
    <w:rsid w:val="004B2146"/>
    <w:rsid w:val="004B217F"/>
    <w:rsid w:val="004B25E2"/>
    <w:rsid w:val="004B260F"/>
    <w:rsid w:val="004B261C"/>
    <w:rsid w:val="004B269C"/>
    <w:rsid w:val="004B279D"/>
    <w:rsid w:val="004B2AFA"/>
    <w:rsid w:val="004B2B0A"/>
    <w:rsid w:val="004B2BC8"/>
    <w:rsid w:val="004B2EF0"/>
    <w:rsid w:val="004B2FF5"/>
    <w:rsid w:val="004B304B"/>
    <w:rsid w:val="004B30BF"/>
    <w:rsid w:val="004B32C8"/>
    <w:rsid w:val="004B3352"/>
    <w:rsid w:val="004B366A"/>
    <w:rsid w:val="004B3758"/>
    <w:rsid w:val="004B39C5"/>
    <w:rsid w:val="004B39EC"/>
    <w:rsid w:val="004B3A6D"/>
    <w:rsid w:val="004B3B8D"/>
    <w:rsid w:val="004B3C32"/>
    <w:rsid w:val="004B3FC3"/>
    <w:rsid w:val="004B413E"/>
    <w:rsid w:val="004B4171"/>
    <w:rsid w:val="004B450E"/>
    <w:rsid w:val="004B4529"/>
    <w:rsid w:val="004B490F"/>
    <w:rsid w:val="004B491C"/>
    <w:rsid w:val="004B493B"/>
    <w:rsid w:val="004B4949"/>
    <w:rsid w:val="004B4C06"/>
    <w:rsid w:val="004B4CDB"/>
    <w:rsid w:val="004B4E4B"/>
    <w:rsid w:val="004B4EC0"/>
    <w:rsid w:val="004B4F0E"/>
    <w:rsid w:val="004B4FD2"/>
    <w:rsid w:val="004B4FEE"/>
    <w:rsid w:val="004B5004"/>
    <w:rsid w:val="004B50B8"/>
    <w:rsid w:val="004B5222"/>
    <w:rsid w:val="004B54A8"/>
    <w:rsid w:val="004B5528"/>
    <w:rsid w:val="004B564E"/>
    <w:rsid w:val="004B57ED"/>
    <w:rsid w:val="004B582D"/>
    <w:rsid w:val="004B5863"/>
    <w:rsid w:val="004B5A6A"/>
    <w:rsid w:val="004B5AE1"/>
    <w:rsid w:val="004B5B32"/>
    <w:rsid w:val="004B5B41"/>
    <w:rsid w:val="004B5BD5"/>
    <w:rsid w:val="004B5BDC"/>
    <w:rsid w:val="004B5DD1"/>
    <w:rsid w:val="004B5F0C"/>
    <w:rsid w:val="004B5F33"/>
    <w:rsid w:val="004B603D"/>
    <w:rsid w:val="004B624E"/>
    <w:rsid w:val="004B6339"/>
    <w:rsid w:val="004B6595"/>
    <w:rsid w:val="004B6609"/>
    <w:rsid w:val="004B692A"/>
    <w:rsid w:val="004B6931"/>
    <w:rsid w:val="004B6935"/>
    <w:rsid w:val="004B6A44"/>
    <w:rsid w:val="004B6C57"/>
    <w:rsid w:val="004B6C64"/>
    <w:rsid w:val="004B6D54"/>
    <w:rsid w:val="004B705B"/>
    <w:rsid w:val="004B709F"/>
    <w:rsid w:val="004B72A6"/>
    <w:rsid w:val="004B73A5"/>
    <w:rsid w:val="004B74D1"/>
    <w:rsid w:val="004B7677"/>
    <w:rsid w:val="004B769C"/>
    <w:rsid w:val="004B78DA"/>
    <w:rsid w:val="004B78E6"/>
    <w:rsid w:val="004B7904"/>
    <w:rsid w:val="004B79E7"/>
    <w:rsid w:val="004B7A20"/>
    <w:rsid w:val="004B7AD8"/>
    <w:rsid w:val="004B7AE3"/>
    <w:rsid w:val="004B7AEA"/>
    <w:rsid w:val="004B7CA9"/>
    <w:rsid w:val="004B7FC5"/>
    <w:rsid w:val="004C0057"/>
    <w:rsid w:val="004C0421"/>
    <w:rsid w:val="004C0499"/>
    <w:rsid w:val="004C04E1"/>
    <w:rsid w:val="004C0B4F"/>
    <w:rsid w:val="004C0B57"/>
    <w:rsid w:val="004C0B8C"/>
    <w:rsid w:val="004C0C8E"/>
    <w:rsid w:val="004C0E5E"/>
    <w:rsid w:val="004C0E9F"/>
    <w:rsid w:val="004C10CB"/>
    <w:rsid w:val="004C1106"/>
    <w:rsid w:val="004C118E"/>
    <w:rsid w:val="004C119F"/>
    <w:rsid w:val="004C11B6"/>
    <w:rsid w:val="004C124B"/>
    <w:rsid w:val="004C1375"/>
    <w:rsid w:val="004C1441"/>
    <w:rsid w:val="004C1755"/>
    <w:rsid w:val="004C1862"/>
    <w:rsid w:val="004C19E4"/>
    <w:rsid w:val="004C1CD5"/>
    <w:rsid w:val="004C203E"/>
    <w:rsid w:val="004C2218"/>
    <w:rsid w:val="004C2369"/>
    <w:rsid w:val="004C238D"/>
    <w:rsid w:val="004C25C8"/>
    <w:rsid w:val="004C28CA"/>
    <w:rsid w:val="004C29BC"/>
    <w:rsid w:val="004C2A5D"/>
    <w:rsid w:val="004C2ED5"/>
    <w:rsid w:val="004C2FBB"/>
    <w:rsid w:val="004C304A"/>
    <w:rsid w:val="004C30DF"/>
    <w:rsid w:val="004C3341"/>
    <w:rsid w:val="004C3363"/>
    <w:rsid w:val="004C33A5"/>
    <w:rsid w:val="004C33B8"/>
    <w:rsid w:val="004C34FD"/>
    <w:rsid w:val="004C370B"/>
    <w:rsid w:val="004C3E1F"/>
    <w:rsid w:val="004C3E32"/>
    <w:rsid w:val="004C4131"/>
    <w:rsid w:val="004C4197"/>
    <w:rsid w:val="004C4298"/>
    <w:rsid w:val="004C42F0"/>
    <w:rsid w:val="004C4396"/>
    <w:rsid w:val="004C43E1"/>
    <w:rsid w:val="004C4417"/>
    <w:rsid w:val="004C446D"/>
    <w:rsid w:val="004C45C7"/>
    <w:rsid w:val="004C460A"/>
    <w:rsid w:val="004C4862"/>
    <w:rsid w:val="004C48FF"/>
    <w:rsid w:val="004C491D"/>
    <w:rsid w:val="004C49DC"/>
    <w:rsid w:val="004C4A08"/>
    <w:rsid w:val="004C4A91"/>
    <w:rsid w:val="004C4B50"/>
    <w:rsid w:val="004C4BD6"/>
    <w:rsid w:val="004C4C24"/>
    <w:rsid w:val="004C4D6C"/>
    <w:rsid w:val="004C5060"/>
    <w:rsid w:val="004C509F"/>
    <w:rsid w:val="004C5102"/>
    <w:rsid w:val="004C5148"/>
    <w:rsid w:val="004C561B"/>
    <w:rsid w:val="004C56F0"/>
    <w:rsid w:val="004C57EA"/>
    <w:rsid w:val="004C5CC8"/>
    <w:rsid w:val="004C5D52"/>
    <w:rsid w:val="004C5E05"/>
    <w:rsid w:val="004C5E71"/>
    <w:rsid w:val="004C5F08"/>
    <w:rsid w:val="004C60B4"/>
    <w:rsid w:val="004C62B2"/>
    <w:rsid w:val="004C644C"/>
    <w:rsid w:val="004C655F"/>
    <w:rsid w:val="004C67B8"/>
    <w:rsid w:val="004C695E"/>
    <w:rsid w:val="004C6CD4"/>
    <w:rsid w:val="004C6CE1"/>
    <w:rsid w:val="004C6EA6"/>
    <w:rsid w:val="004C6EB3"/>
    <w:rsid w:val="004C7044"/>
    <w:rsid w:val="004C725A"/>
    <w:rsid w:val="004C7477"/>
    <w:rsid w:val="004C750C"/>
    <w:rsid w:val="004C753A"/>
    <w:rsid w:val="004C76FC"/>
    <w:rsid w:val="004C7796"/>
    <w:rsid w:val="004C77DF"/>
    <w:rsid w:val="004C7871"/>
    <w:rsid w:val="004C7914"/>
    <w:rsid w:val="004C797E"/>
    <w:rsid w:val="004C797F"/>
    <w:rsid w:val="004C7B4C"/>
    <w:rsid w:val="004C7C40"/>
    <w:rsid w:val="004C7C5C"/>
    <w:rsid w:val="004C7E27"/>
    <w:rsid w:val="004C7ED7"/>
    <w:rsid w:val="004C7F11"/>
    <w:rsid w:val="004C7F72"/>
    <w:rsid w:val="004C7F94"/>
    <w:rsid w:val="004C7FED"/>
    <w:rsid w:val="004D0057"/>
    <w:rsid w:val="004D00C6"/>
    <w:rsid w:val="004D00CF"/>
    <w:rsid w:val="004D0190"/>
    <w:rsid w:val="004D0285"/>
    <w:rsid w:val="004D0301"/>
    <w:rsid w:val="004D0364"/>
    <w:rsid w:val="004D03B8"/>
    <w:rsid w:val="004D03BD"/>
    <w:rsid w:val="004D0659"/>
    <w:rsid w:val="004D07A5"/>
    <w:rsid w:val="004D0961"/>
    <w:rsid w:val="004D09FF"/>
    <w:rsid w:val="004D0BD6"/>
    <w:rsid w:val="004D0C8D"/>
    <w:rsid w:val="004D0DEF"/>
    <w:rsid w:val="004D0E9C"/>
    <w:rsid w:val="004D0FA4"/>
    <w:rsid w:val="004D1083"/>
    <w:rsid w:val="004D11B1"/>
    <w:rsid w:val="004D1353"/>
    <w:rsid w:val="004D156F"/>
    <w:rsid w:val="004D160A"/>
    <w:rsid w:val="004D1628"/>
    <w:rsid w:val="004D167C"/>
    <w:rsid w:val="004D19A7"/>
    <w:rsid w:val="004D1A16"/>
    <w:rsid w:val="004D1C4B"/>
    <w:rsid w:val="004D1C66"/>
    <w:rsid w:val="004D1D0A"/>
    <w:rsid w:val="004D1DE4"/>
    <w:rsid w:val="004D1E53"/>
    <w:rsid w:val="004D1EA9"/>
    <w:rsid w:val="004D1ED9"/>
    <w:rsid w:val="004D1FED"/>
    <w:rsid w:val="004D2031"/>
    <w:rsid w:val="004D2183"/>
    <w:rsid w:val="004D2433"/>
    <w:rsid w:val="004D2444"/>
    <w:rsid w:val="004D2495"/>
    <w:rsid w:val="004D24AD"/>
    <w:rsid w:val="004D24D2"/>
    <w:rsid w:val="004D2590"/>
    <w:rsid w:val="004D25F2"/>
    <w:rsid w:val="004D2861"/>
    <w:rsid w:val="004D29CD"/>
    <w:rsid w:val="004D2B6F"/>
    <w:rsid w:val="004D2E40"/>
    <w:rsid w:val="004D2E88"/>
    <w:rsid w:val="004D2EE3"/>
    <w:rsid w:val="004D2EF5"/>
    <w:rsid w:val="004D2FE6"/>
    <w:rsid w:val="004D307D"/>
    <w:rsid w:val="004D30B3"/>
    <w:rsid w:val="004D30D8"/>
    <w:rsid w:val="004D30FE"/>
    <w:rsid w:val="004D315A"/>
    <w:rsid w:val="004D32D9"/>
    <w:rsid w:val="004D33AC"/>
    <w:rsid w:val="004D3494"/>
    <w:rsid w:val="004D3647"/>
    <w:rsid w:val="004D3686"/>
    <w:rsid w:val="004D36FB"/>
    <w:rsid w:val="004D3964"/>
    <w:rsid w:val="004D39F6"/>
    <w:rsid w:val="004D3BE6"/>
    <w:rsid w:val="004D3D03"/>
    <w:rsid w:val="004D3EB5"/>
    <w:rsid w:val="004D3FCF"/>
    <w:rsid w:val="004D43CA"/>
    <w:rsid w:val="004D4587"/>
    <w:rsid w:val="004D461C"/>
    <w:rsid w:val="004D47BC"/>
    <w:rsid w:val="004D47E6"/>
    <w:rsid w:val="004D4870"/>
    <w:rsid w:val="004D497A"/>
    <w:rsid w:val="004D49B0"/>
    <w:rsid w:val="004D49EB"/>
    <w:rsid w:val="004D4A49"/>
    <w:rsid w:val="004D4B3D"/>
    <w:rsid w:val="004D4B90"/>
    <w:rsid w:val="004D4BF2"/>
    <w:rsid w:val="004D4EEB"/>
    <w:rsid w:val="004D5243"/>
    <w:rsid w:val="004D531F"/>
    <w:rsid w:val="004D54D5"/>
    <w:rsid w:val="004D54F4"/>
    <w:rsid w:val="004D5532"/>
    <w:rsid w:val="004D57A6"/>
    <w:rsid w:val="004D591E"/>
    <w:rsid w:val="004D5951"/>
    <w:rsid w:val="004D5A6F"/>
    <w:rsid w:val="004D5A89"/>
    <w:rsid w:val="004D5C37"/>
    <w:rsid w:val="004D6049"/>
    <w:rsid w:val="004D640C"/>
    <w:rsid w:val="004D6464"/>
    <w:rsid w:val="004D654C"/>
    <w:rsid w:val="004D66E4"/>
    <w:rsid w:val="004D687D"/>
    <w:rsid w:val="004D6A36"/>
    <w:rsid w:val="004D6AA6"/>
    <w:rsid w:val="004D6B9C"/>
    <w:rsid w:val="004D6D4A"/>
    <w:rsid w:val="004D6DC0"/>
    <w:rsid w:val="004D6E67"/>
    <w:rsid w:val="004D7084"/>
    <w:rsid w:val="004D729E"/>
    <w:rsid w:val="004D72CB"/>
    <w:rsid w:val="004D738C"/>
    <w:rsid w:val="004D7397"/>
    <w:rsid w:val="004D7547"/>
    <w:rsid w:val="004D7704"/>
    <w:rsid w:val="004D785B"/>
    <w:rsid w:val="004D786F"/>
    <w:rsid w:val="004D79D1"/>
    <w:rsid w:val="004D7A43"/>
    <w:rsid w:val="004D7A82"/>
    <w:rsid w:val="004D7B11"/>
    <w:rsid w:val="004D7B43"/>
    <w:rsid w:val="004D7B90"/>
    <w:rsid w:val="004D7DB2"/>
    <w:rsid w:val="004D7DBC"/>
    <w:rsid w:val="004E001D"/>
    <w:rsid w:val="004E00DB"/>
    <w:rsid w:val="004E02A8"/>
    <w:rsid w:val="004E02C7"/>
    <w:rsid w:val="004E032A"/>
    <w:rsid w:val="004E043A"/>
    <w:rsid w:val="004E052C"/>
    <w:rsid w:val="004E09A0"/>
    <w:rsid w:val="004E0B23"/>
    <w:rsid w:val="004E0BEB"/>
    <w:rsid w:val="004E0C06"/>
    <w:rsid w:val="004E0C63"/>
    <w:rsid w:val="004E0D65"/>
    <w:rsid w:val="004E0D84"/>
    <w:rsid w:val="004E0DAB"/>
    <w:rsid w:val="004E101E"/>
    <w:rsid w:val="004E1046"/>
    <w:rsid w:val="004E128F"/>
    <w:rsid w:val="004E165C"/>
    <w:rsid w:val="004E19F2"/>
    <w:rsid w:val="004E1A7A"/>
    <w:rsid w:val="004E1A98"/>
    <w:rsid w:val="004E1C19"/>
    <w:rsid w:val="004E1D04"/>
    <w:rsid w:val="004E1EE3"/>
    <w:rsid w:val="004E210C"/>
    <w:rsid w:val="004E21BB"/>
    <w:rsid w:val="004E22C9"/>
    <w:rsid w:val="004E2328"/>
    <w:rsid w:val="004E23B6"/>
    <w:rsid w:val="004E25B8"/>
    <w:rsid w:val="004E2643"/>
    <w:rsid w:val="004E2680"/>
    <w:rsid w:val="004E272E"/>
    <w:rsid w:val="004E2773"/>
    <w:rsid w:val="004E27A3"/>
    <w:rsid w:val="004E289B"/>
    <w:rsid w:val="004E2A2B"/>
    <w:rsid w:val="004E2B13"/>
    <w:rsid w:val="004E2B54"/>
    <w:rsid w:val="004E2BF5"/>
    <w:rsid w:val="004E2D62"/>
    <w:rsid w:val="004E2E27"/>
    <w:rsid w:val="004E3125"/>
    <w:rsid w:val="004E325E"/>
    <w:rsid w:val="004E32B1"/>
    <w:rsid w:val="004E3332"/>
    <w:rsid w:val="004E337F"/>
    <w:rsid w:val="004E3621"/>
    <w:rsid w:val="004E3714"/>
    <w:rsid w:val="004E374D"/>
    <w:rsid w:val="004E38B6"/>
    <w:rsid w:val="004E38CE"/>
    <w:rsid w:val="004E3B64"/>
    <w:rsid w:val="004E3B79"/>
    <w:rsid w:val="004E3DB1"/>
    <w:rsid w:val="004E3E13"/>
    <w:rsid w:val="004E3EC6"/>
    <w:rsid w:val="004E3ED0"/>
    <w:rsid w:val="004E40F5"/>
    <w:rsid w:val="004E417C"/>
    <w:rsid w:val="004E41FE"/>
    <w:rsid w:val="004E4372"/>
    <w:rsid w:val="004E4374"/>
    <w:rsid w:val="004E4389"/>
    <w:rsid w:val="004E461B"/>
    <w:rsid w:val="004E4674"/>
    <w:rsid w:val="004E4A1B"/>
    <w:rsid w:val="004E4B8B"/>
    <w:rsid w:val="004E4CF1"/>
    <w:rsid w:val="004E4E65"/>
    <w:rsid w:val="004E4EE0"/>
    <w:rsid w:val="004E4F69"/>
    <w:rsid w:val="004E5008"/>
    <w:rsid w:val="004E5031"/>
    <w:rsid w:val="004E5121"/>
    <w:rsid w:val="004E532A"/>
    <w:rsid w:val="004E5560"/>
    <w:rsid w:val="004E5596"/>
    <w:rsid w:val="004E571C"/>
    <w:rsid w:val="004E572A"/>
    <w:rsid w:val="004E5863"/>
    <w:rsid w:val="004E5AA6"/>
    <w:rsid w:val="004E5BDD"/>
    <w:rsid w:val="004E5C4A"/>
    <w:rsid w:val="004E5E79"/>
    <w:rsid w:val="004E60A7"/>
    <w:rsid w:val="004E60BE"/>
    <w:rsid w:val="004E60ED"/>
    <w:rsid w:val="004E6588"/>
    <w:rsid w:val="004E6AEF"/>
    <w:rsid w:val="004E6CEB"/>
    <w:rsid w:val="004E6D9C"/>
    <w:rsid w:val="004E6DE3"/>
    <w:rsid w:val="004E6DEB"/>
    <w:rsid w:val="004E6FFC"/>
    <w:rsid w:val="004E703C"/>
    <w:rsid w:val="004E711B"/>
    <w:rsid w:val="004E7131"/>
    <w:rsid w:val="004E72BF"/>
    <w:rsid w:val="004E72C1"/>
    <w:rsid w:val="004E74E1"/>
    <w:rsid w:val="004E7766"/>
    <w:rsid w:val="004E7767"/>
    <w:rsid w:val="004E7773"/>
    <w:rsid w:val="004E78B5"/>
    <w:rsid w:val="004E78DD"/>
    <w:rsid w:val="004E7A4F"/>
    <w:rsid w:val="004E7C16"/>
    <w:rsid w:val="004E7C1A"/>
    <w:rsid w:val="004E7D41"/>
    <w:rsid w:val="004E7E4D"/>
    <w:rsid w:val="004E7E9F"/>
    <w:rsid w:val="004E7F22"/>
    <w:rsid w:val="004E7F5D"/>
    <w:rsid w:val="004F006D"/>
    <w:rsid w:val="004F0399"/>
    <w:rsid w:val="004F04DE"/>
    <w:rsid w:val="004F0504"/>
    <w:rsid w:val="004F054A"/>
    <w:rsid w:val="004F06F0"/>
    <w:rsid w:val="004F079F"/>
    <w:rsid w:val="004F08C5"/>
    <w:rsid w:val="004F08EB"/>
    <w:rsid w:val="004F0923"/>
    <w:rsid w:val="004F09AE"/>
    <w:rsid w:val="004F0BF7"/>
    <w:rsid w:val="004F0F7A"/>
    <w:rsid w:val="004F1047"/>
    <w:rsid w:val="004F1071"/>
    <w:rsid w:val="004F10BC"/>
    <w:rsid w:val="004F10F3"/>
    <w:rsid w:val="004F1137"/>
    <w:rsid w:val="004F121F"/>
    <w:rsid w:val="004F12CE"/>
    <w:rsid w:val="004F1438"/>
    <w:rsid w:val="004F1498"/>
    <w:rsid w:val="004F16B7"/>
    <w:rsid w:val="004F16D8"/>
    <w:rsid w:val="004F17E8"/>
    <w:rsid w:val="004F1A53"/>
    <w:rsid w:val="004F1D4A"/>
    <w:rsid w:val="004F1D68"/>
    <w:rsid w:val="004F1DB5"/>
    <w:rsid w:val="004F1E0C"/>
    <w:rsid w:val="004F1F5B"/>
    <w:rsid w:val="004F206A"/>
    <w:rsid w:val="004F2248"/>
    <w:rsid w:val="004F23FD"/>
    <w:rsid w:val="004F2518"/>
    <w:rsid w:val="004F251F"/>
    <w:rsid w:val="004F254C"/>
    <w:rsid w:val="004F2879"/>
    <w:rsid w:val="004F2888"/>
    <w:rsid w:val="004F28DC"/>
    <w:rsid w:val="004F28FD"/>
    <w:rsid w:val="004F29D6"/>
    <w:rsid w:val="004F2B69"/>
    <w:rsid w:val="004F2C82"/>
    <w:rsid w:val="004F2CD0"/>
    <w:rsid w:val="004F2CF5"/>
    <w:rsid w:val="004F2D8C"/>
    <w:rsid w:val="004F3113"/>
    <w:rsid w:val="004F349C"/>
    <w:rsid w:val="004F37D1"/>
    <w:rsid w:val="004F3823"/>
    <w:rsid w:val="004F389D"/>
    <w:rsid w:val="004F3942"/>
    <w:rsid w:val="004F3F0D"/>
    <w:rsid w:val="004F42B5"/>
    <w:rsid w:val="004F43A5"/>
    <w:rsid w:val="004F44AB"/>
    <w:rsid w:val="004F4548"/>
    <w:rsid w:val="004F45C0"/>
    <w:rsid w:val="004F4735"/>
    <w:rsid w:val="004F4882"/>
    <w:rsid w:val="004F48C7"/>
    <w:rsid w:val="004F49B7"/>
    <w:rsid w:val="004F4A2F"/>
    <w:rsid w:val="004F4BFC"/>
    <w:rsid w:val="004F4C47"/>
    <w:rsid w:val="004F4F02"/>
    <w:rsid w:val="004F51C4"/>
    <w:rsid w:val="004F53A4"/>
    <w:rsid w:val="004F561E"/>
    <w:rsid w:val="004F591E"/>
    <w:rsid w:val="004F5954"/>
    <w:rsid w:val="004F59D3"/>
    <w:rsid w:val="004F5AB3"/>
    <w:rsid w:val="004F5C6B"/>
    <w:rsid w:val="004F5D50"/>
    <w:rsid w:val="004F5D75"/>
    <w:rsid w:val="004F5EFB"/>
    <w:rsid w:val="004F5F64"/>
    <w:rsid w:val="004F61AC"/>
    <w:rsid w:val="004F6211"/>
    <w:rsid w:val="004F6252"/>
    <w:rsid w:val="004F62A2"/>
    <w:rsid w:val="004F6382"/>
    <w:rsid w:val="004F648A"/>
    <w:rsid w:val="004F69B1"/>
    <w:rsid w:val="004F6B10"/>
    <w:rsid w:val="004F6C86"/>
    <w:rsid w:val="004F6D1A"/>
    <w:rsid w:val="004F6E1B"/>
    <w:rsid w:val="004F6EAC"/>
    <w:rsid w:val="004F6FC5"/>
    <w:rsid w:val="004F706F"/>
    <w:rsid w:val="004F7195"/>
    <w:rsid w:val="004F71DB"/>
    <w:rsid w:val="004F72B4"/>
    <w:rsid w:val="004F72DD"/>
    <w:rsid w:val="004F74E8"/>
    <w:rsid w:val="004F7A5B"/>
    <w:rsid w:val="004F7A64"/>
    <w:rsid w:val="004F7A9C"/>
    <w:rsid w:val="004F7CB4"/>
    <w:rsid w:val="004F7D18"/>
    <w:rsid w:val="004F7D67"/>
    <w:rsid w:val="004F7F7B"/>
    <w:rsid w:val="005000D7"/>
    <w:rsid w:val="005000DE"/>
    <w:rsid w:val="00500194"/>
    <w:rsid w:val="005002F7"/>
    <w:rsid w:val="005003FF"/>
    <w:rsid w:val="005004E5"/>
    <w:rsid w:val="00500567"/>
    <w:rsid w:val="00500601"/>
    <w:rsid w:val="00500801"/>
    <w:rsid w:val="00500B22"/>
    <w:rsid w:val="00500BF4"/>
    <w:rsid w:val="00500C01"/>
    <w:rsid w:val="00500CDF"/>
    <w:rsid w:val="00500D14"/>
    <w:rsid w:val="00500E80"/>
    <w:rsid w:val="00500F54"/>
    <w:rsid w:val="00501042"/>
    <w:rsid w:val="00501089"/>
    <w:rsid w:val="0050114E"/>
    <w:rsid w:val="0050116C"/>
    <w:rsid w:val="00501230"/>
    <w:rsid w:val="005012D0"/>
    <w:rsid w:val="005012E0"/>
    <w:rsid w:val="0050146D"/>
    <w:rsid w:val="005015B7"/>
    <w:rsid w:val="00501608"/>
    <w:rsid w:val="005016F4"/>
    <w:rsid w:val="005018D9"/>
    <w:rsid w:val="005018E6"/>
    <w:rsid w:val="0050196B"/>
    <w:rsid w:val="005019D5"/>
    <w:rsid w:val="00501CD8"/>
    <w:rsid w:val="00501F5B"/>
    <w:rsid w:val="00501FAC"/>
    <w:rsid w:val="00501FCD"/>
    <w:rsid w:val="0050219A"/>
    <w:rsid w:val="005021C4"/>
    <w:rsid w:val="0050226D"/>
    <w:rsid w:val="00502441"/>
    <w:rsid w:val="00502478"/>
    <w:rsid w:val="005024DF"/>
    <w:rsid w:val="005025FD"/>
    <w:rsid w:val="0050265E"/>
    <w:rsid w:val="00502694"/>
    <w:rsid w:val="00502835"/>
    <w:rsid w:val="005029C1"/>
    <w:rsid w:val="00502A27"/>
    <w:rsid w:val="00502C5B"/>
    <w:rsid w:val="00502CB2"/>
    <w:rsid w:val="00502CFE"/>
    <w:rsid w:val="00502E3A"/>
    <w:rsid w:val="00502E73"/>
    <w:rsid w:val="00502E8F"/>
    <w:rsid w:val="0050310C"/>
    <w:rsid w:val="005031D9"/>
    <w:rsid w:val="005031E5"/>
    <w:rsid w:val="00503242"/>
    <w:rsid w:val="0050324C"/>
    <w:rsid w:val="0050353D"/>
    <w:rsid w:val="005035E6"/>
    <w:rsid w:val="005038BB"/>
    <w:rsid w:val="005038F1"/>
    <w:rsid w:val="00503915"/>
    <w:rsid w:val="005039C5"/>
    <w:rsid w:val="00503B34"/>
    <w:rsid w:val="00503BD0"/>
    <w:rsid w:val="00503CC6"/>
    <w:rsid w:val="00503D15"/>
    <w:rsid w:val="00504115"/>
    <w:rsid w:val="0050423D"/>
    <w:rsid w:val="00504322"/>
    <w:rsid w:val="005045F8"/>
    <w:rsid w:val="0050469D"/>
    <w:rsid w:val="0050473D"/>
    <w:rsid w:val="00504920"/>
    <w:rsid w:val="00504AC2"/>
    <w:rsid w:val="00504CC0"/>
    <w:rsid w:val="00504D7B"/>
    <w:rsid w:val="00504F19"/>
    <w:rsid w:val="00504F63"/>
    <w:rsid w:val="005050C5"/>
    <w:rsid w:val="0050536B"/>
    <w:rsid w:val="005053E0"/>
    <w:rsid w:val="005053FC"/>
    <w:rsid w:val="00505418"/>
    <w:rsid w:val="00505440"/>
    <w:rsid w:val="0050573D"/>
    <w:rsid w:val="005058E4"/>
    <w:rsid w:val="00505BAB"/>
    <w:rsid w:val="005060A6"/>
    <w:rsid w:val="005061C6"/>
    <w:rsid w:val="00506291"/>
    <w:rsid w:val="005062AC"/>
    <w:rsid w:val="005063A2"/>
    <w:rsid w:val="00506513"/>
    <w:rsid w:val="0050652C"/>
    <w:rsid w:val="00506569"/>
    <w:rsid w:val="005067F5"/>
    <w:rsid w:val="0050680F"/>
    <w:rsid w:val="00506B5D"/>
    <w:rsid w:val="00506E7F"/>
    <w:rsid w:val="00507102"/>
    <w:rsid w:val="00507223"/>
    <w:rsid w:val="0050726C"/>
    <w:rsid w:val="0050730D"/>
    <w:rsid w:val="00507366"/>
    <w:rsid w:val="00507581"/>
    <w:rsid w:val="00507598"/>
    <w:rsid w:val="005075EF"/>
    <w:rsid w:val="0050789E"/>
    <w:rsid w:val="0050794B"/>
    <w:rsid w:val="005079A2"/>
    <w:rsid w:val="005079BD"/>
    <w:rsid w:val="00507BA3"/>
    <w:rsid w:val="00507CAE"/>
    <w:rsid w:val="00507DAF"/>
    <w:rsid w:val="00507EC3"/>
    <w:rsid w:val="00510429"/>
    <w:rsid w:val="0051060F"/>
    <w:rsid w:val="00510814"/>
    <w:rsid w:val="00510846"/>
    <w:rsid w:val="00510AC2"/>
    <w:rsid w:val="00510B54"/>
    <w:rsid w:val="00510B9D"/>
    <w:rsid w:val="00510CE0"/>
    <w:rsid w:val="00510D66"/>
    <w:rsid w:val="005110FD"/>
    <w:rsid w:val="00511179"/>
    <w:rsid w:val="00511275"/>
    <w:rsid w:val="00511290"/>
    <w:rsid w:val="00511367"/>
    <w:rsid w:val="00511372"/>
    <w:rsid w:val="005114EC"/>
    <w:rsid w:val="005115BD"/>
    <w:rsid w:val="005115BF"/>
    <w:rsid w:val="005117F9"/>
    <w:rsid w:val="00511879"/>
    <w:rsid w:val="005118AF"/>
    <w:rsid w:val="005118B6"/>
    <w:rsid w:val="00511909"/>
    <w:rsid w:val="00511A0F"/>
    <w:rsid w:val="00511B9B"/>
    <w:rsid w:val="00511BF9"/>
    <w:rsid w:val="00511D64"/>
    <w:rsid w:val="00511D7F"/>
    <w:rsid w:val="00511DEF"/>
    <w:rsid w:val="00511DF5"/>
    <w:rsid w:val="00511E8C"/>
    <w:rsid w:val="00512121"/>
    <w:rsid w:val="00512394"/>
    <w:rsid w:val="005123AA"/>
    <w:rsid w:val="005123C3"/>
    <w:rsid w:val="0051268A"/>
    <w:rsid w:val="00512696"/>
    <w:rsid w:val="005128B5"/>
    <w:rsid w:val="00512A58"/>
    <w:rsid w:val="00512A62"/>
    <w:rsid w:val="00512BF6"/>
    <w:rsid w:val="00512C09"/>
    <w:rsid w:val="00512CBC"/>
    <w:rsid w:val="00512CEB"/>
    <w:rsid w:val="00512D81"/>
    <w:rsid w:val="00512EE9"/>
    <w:rsid w:val="00512F9E"/>
    <w:rsid w:val="005131AB"/>
    <w:rsid w:val="005136FB"/>
    <w:rsid w:val="0051381D"/>
    <w:rsid w:val="00513846"/>
    <w:rsid w:val="00513965"/>
    <w:rsid w:val="00513B20"/>
    <w:rsid w:val="00513C69"/>
    <w:rsid w:val="00513CEA"/>
    <w:rsid w:val="00513DBB"/>
    <w:rsid w:val="00513E1F"/>
    <w:rsid w:val="00513EBA"/>
    <w:rsid w:val="0051410F"/>
    <w:rsid w:val="005141E8"/>
    <w:rsid w:val="0051423C"/>
    <w:rsid w:val="00514375"/>
    <w:rsid w:val="005144E3"/>
    <w:rsid w:val="00514513"/>
    <w:rsid w:val="0051467E"/>
    <w:rsid w:val="005146C0"/>
    <w:rsid w:val="0051474F"/>
    <w:rsid w:val="00514972"/>
    <w:rsid w:val="005149FA"/>
    <w:rsid w:val="00514DC1"/>
    <w:rsid w:val="00514FA1"/>
    <w:rsid w:val="00514FD7"/>
    <w:rsid w:val="005151D1"/>
    <w:rsid w:val="005151D6"/>
    <w:rsid w:val="005152AF"/>
    <w:rsid w:val="00515348"/>
    <w:rsid w:val="00515569"/>
    <w:rsid w:val="00515689"/>
    <w:rsid w:val="005159D8"/>
    <w:rsid w:val="00515A13"/>
    <w:rsid w:val="00515ACE"/>
    <w:rsid w:val="00515C82"/>
    <w:rsid w:val="00515CF3"/>
    <w:rsid w:val="00515D25"/>
    <w:rsid w:val="0051608B"/>
    <w:rsid w:val="005160F7"/>
    <w:rsid w:val="00516230"/>
    <w:rsid w:val="00516277"/>
    <w:rsid w:val="005162A2"/>
    <w:rsid w:val="005162BA"/>
    <w:rsid w:val="00516752"/>
    <w:rsid w:val="0051675D"/>
    <w:rsid w:val="0051679C"/>
    <w:rsid w:val="00516813"/>
    <w:rsid w:val="00516984"/>
    <w:rsid w:val="00516BC0"/>
    <w:rsid w:val="00516C92"/>
    <w:rsid w:val="005171B2"/>
    <w:rsid w:val="005171CF"/>
    <w:rsid w:val="005172FA"/>
    <w:rsid w:val="00517670"/>
    <w:rsid w:val="00517710"/>
    <w:rsid w:val="00517758"/>
    <w:rsid w:val="005177D4"/>
    <w:rsid w:val="0051783B"/>
    <w:rsid w:val="005178F4"/>
    <w:rsid w:val="00517ADD"/>
    <w:rsid w:val="00517AE1"/>
    <w:rsid w:val="00517AF1"/>
    <w:rsid w:val="00517B01"/>
    <w:rsid w:val="00517BC6"/>
    <w:rsid w:val="00517E53"/>
    <w:rsid w:val="00517FAB"/>
    <w:rsid w:val="00520007"/>
    <w:rsid w:val="00520191"/>
    <w:rsid w:val="00520199"/>
    <w:rsid w:val="0052028A"/>
    <w:rsid w:val="005203FC"/>
    <w:rsid w:val="005206F3"/>
    <w:rsid w:val="00520754"/>
    <w:rsid w:val="005207BD"/>
    <w:rsid w:val="00520947"/>
    <w:rsid w:val="0052099C"/>
    <w:rsid w:val="005209A2"/>
    <w:rsid w:val="00520A9A"/>
    <w:rsid w:val="00520C04"/>
    <w:rsid w:val="00520CC2"/>
    <w:rsid w:val="00521392"/>
    <w:rsid w:val="00521630"/>
    <w:rsid w:val="00521A4F"/>
    <w:rsid w:val="00521E09"/>
    <w:rsid w:val="0052231A"/>
    <w:rsid w:val="005225D9"/>
    <w:rsid w:val="00522620"/>
    <w:rsid w:val="005227EC"/>
    <w:rsid w:val="00522914"/>
    <w:rsid w:val="00522B93"/>
    <w:rsid w:val="00522C0D"/>
    <w:rsid w:val="00522C48"/>
    <w:rsid w:val="00522C7C"/>
    <w:rsid w:val="00522CA6"/>
    <w:rsid w:val="00522DAC"/>
    <w:rsid w:val="00522FC2"/>
    <w:rsid w:val="00523202"/>
    <w:rsid w:val="005233A5"/>
    <w:rsid w:val="00523516"/>
    <w:rsid w:val="005236B2"/>
    <w:rsid w:val="00523908"/>
    <w:rsid w:val="00523A2B"/>
    <w:rsid w:val="00523CD3"/>
    <w:rsid w:val="00523EDA"/>
    <w:rsid w:val="00523F36"/>
    <w:rsid w:val="00524054"/>
    <w:rsid w:val="00524157"/>
    <w:rsid w:val="0052449A"/>
    <w:rsid w:val="00524672"/>
    <w:rsid w:val="005249FE"/>
    <w:rsid w:val="00524A4E"/>
    <w:rsid w:val="00524ADD"/>
    <w:rsid w:val="00524B75"/>
    <w:rsid w:val="00524F27"/>
    <w:rsid w:val="00524F96"/>
    <w:rsid w:val="0052510D"/>
    <w:rsid w:val="00525146"/>
    <w:rsid w:val="0052516C"/>
    <w:rsid w:val="0052517C"/>
    <w:rsid w:val="0052526B"/>
    <w:rsid w:val="005252B4"/>
    <w:rsid w:val="005255DF"/>
    <w:rsid w:val="00525632"/>
    <w:rsid w:val="005257B4"/>
    <w:rsid w:val="00525A44"/>
    <w:rsid w:val="00525AE9"/>
    <w:rsid w:val="00525B6D"/>
    <w:rsid w:val="00525B6E"/>
    <w:rsid w:val="00525C03"/>
    <w:rsid w:val="00525C90"/>
    <w:rsid w:val="00525DB2"/>
    <w:rsid w:val="00525E0F"/>
    <w:rsid w:val="0052609F"/>
    <w:rsid w:val="005260CE"/>
    <w:rsid w:val="00526180"/>
    <w:rsid w:val="005263EE"/>
    <w:rsid w:val="0052643E"/>
    <w:rsid w:val="00526479"/>
    <w:rsid w:val="005264E6"/>
    <w:rsid w:val="005266AC"/>
    <w:rsid w:val="00526768"/>
    <w:rsid w:val="0052676B"/>
    <w:rsid w:val="005267EC"/>
    <w:rsid w:val="005269EC"/>
    <w:rsid w:val="00526B69"/>
    <w:rsid w:val="00526D05"/>
    <w:rsid w:val="00526DF4"/>
    <w:rsid w:val="005270F3"/>
    <w:rsid w:val="00527120"/>
    <w:rsid w:val="00527286"/>
    <w:rsid w:val="0052731F"/>
    <w:rsid w:val="005273BC"/>
    <w:rsid w:val="00527505"/>
    <w:rsid w:val="00527601"/>
    <w:rsid w:val="005278CE"/>
    <w:rsid w:val="0052799E"/>
    <w:rsid w:val="00527A35"/>
    <w:rsid w:val="00527B7C"/>
    <w:rsid w:val="00527E1D"/>
    <w:rsid w:val="00527E77"/>
    <w:rsid w:val="00530065"/>
    <w:rsid w:val="00530134"/>
    <w:rsid w:val="0053020A"/>
    <w:rsid w:val="00530351"/>
    <w:rsid w:val="00530375"/>
    <w:rsid w:val="0053044E"/>
    <w:rsid w:val="00530470"/>
    <w:rsid w:val="005305BE"/>
    <w:rsid w:val="00530633"/>
    <w:rsid w:val="005306BD"/>
    <w:rsid w:val="005307D6"/>
    <w:rsid w:val="005307DC"/>
    <w:rsid w:val="0053087F"/>
    <w:rsid w:val="005308D5"/>
    <w:rsid w:val="0053090B"/>
    <w:rsid w:val="00530979"/>
    <w:rsid w:val="00530D92"/>
    <w:rsid w:val="00530E19"/>
    <w:rsid w:val="00530E72"/>
    <w:rsid w:val="00530F51"/>
    <w:rsid w:val="005310C7"/>
    <w:rsid w:val="0053123C"/>
    <w:rsid w:val="005312F2"/>
    <w:rsid w:val="0053147B"/>
    <w:rsid w:val="005316F0"/>
    <w:rsid w:val="00531741"/>
    <w:rsid w:val="00531860"/>
    <w:rsid w:val="00531898"/>
    <w:rsid w:val="00531DB2"/>
    <w:rsid w:val="00531DC7"/>
    <w:rsid w:val="00531FCC"/>
    <w:rsid w:val="005321EF"/>
    <w:rsid w:val="005321F2"/>
    <w:rsid w:val="005322AC"/>
    <w:rsid w:val="00532680"/>
    <w:rsid w:val="0053287A"/>
    <w:rsid w:val="00532A23"/>
    <w:rsid w:val="00532C05"/>
    <w:rsid w:val="00532CAB"/>
    <w:rsid w:val="00532E98"/>
    <w:rsid w:val="00532F01"/>
    <w:rsid w:val="005330C9"/>
    <w:rsid w:val="00533155"/>
    <w:rsid w:val="005333A6"/>
    <w:rsid w:val="00533568"/>
    <w:rsid w:val="00533587"/>
    <w:rsid w:val="0053380F"/>
    <w:rsid w:val="00533937"/>
    <w:rsid w:val="00533BED"/>
    <w:rsid w:val="00533CE4"/>
    <w:rsid w:val="00533DFB"/>
    <w:rsid w:val="00533EAC"/>
    <w:rsid w:val="00533FED"/>
    <w:rsid w:val="00534094"/>
    <w:rsid w:val="00534147"/>
    <w:rsid w:val="00534208"/>
    <w:rsid w:val="00534248"/>
    <w:rsid w:val="005342B4"/>
    <w:rsid w:val="005342CB"/>
    <w:rsid w:val="005343DC"/>
    <w:rsid w:val="0053486A"/>
    <w:rsid w:val="0053490E"/>
    <w:rsid w:val="00534BA0"/>
    <w:rsid w:val="00534E0D"/>
    <w:rsid w:val="005351E5"/>
    <w:rsid w:val="005353AB"/>
    <w:rsid w:val="0053540E"/>
    <w:rsid w:val="00535538"/>
    <w:rsid w:val="005356C6"/>
    <w:rsid w:val="005357BD"/>
    <w:rsid w:val="00535BC1"/>
    <w:rsid w:val="00535CB1"/>
    <w:rsid w:val="00535CC1"/>
    <w:rsid w:val="00535EC8"/>
    <w:rsid w:val="00536014"/>
    <w:rsid w:val="0053624E"/>
    <w:rsid w:val="005362A5"/>
    <w:rsid w:val="00536336"/>
    <w:rsid w:val="005363A4"/>
    <w:rsid w:val="0053648E"/>
    <w:rsid w:val="0053652F"/>
    <w:rsid w:val="00536581"/>
    <w:rsid w:val="005365B2"/>
    <w:rsid w:val="005365E9"/>
    <w:rsid w:val="0053665C"/>
    <w:rsid w:val="00536683"/>
    <w:rsid w:val="005367C4"/>
    <w:rsid w:val="005369D9"/>
    <w:rsid w:val="00536C44"/>
    <w:rsid w:val="00536C4D"/>
    <w:rsid w:val="00536D9A"/>
    <w:rsid w:val="00536E2F"/>
    <w:rsid w:val="00536E35"/>
    <w:rsid w:val="00536E90"/>
    <w:rsid w:val="00536F8C"/>
    <w:rsid w:val="005371FC"/>
    <w:rsid w:val="00537282"/>
    <w:rsid w:val="005372C1"/>
    <w:rsid w:val="0053742C"/>
    <w:rsid w:val="005374DB"/>
    <w:rsid w:val="005375ED"/>
    <w:rsid w:val="0053761C"/>
    <w:rsid w:val="00537864"/>
    <w:rsid w:val="005378AE"/>
    <w:rsid w:val="00537907"/>
    <w:rsid w:val="00537923"/>
    <w:rsid w:val="005379AC"/>
    <w:rsid w:val="00537A8A"/>
    <w:rsid w:val="00537E1C"/>
    <w:rsid w:val="00537E93"/>
    <w:rsid w:val="005400AB"/>
    <w:rsid w:val="005403D7"/>
    <w:rsid w:val="005403E8"/>
    <w:rsid w:val="00540B26"/>
    <w:rsid w:val="00540CE1"/>
    <w:rsid w:val="00540D4C"/>
    <w:rsid w:val="00541002"/>
    <w:rsid w:val="0054107F"/>
    <w:rsid w:val="00541086"/>
    <w:rsid w:val="005410F6"/>
    <w:rsid w:val="0054117B"/>
    <w:rsid w:val="00541197"/>
    <w:rsid w:val="00541219"/>
    <w:rsid w:val="0054131D"/>
    <w:rsid w:val="00541327"/>
    <w:rsid w:val="005416DC"/>
    <w:rsid w:val="00541821"/>
    <w:rsid w:val="005418CB"/>
    <w:rsid w:val="00541984"/>
    <w:rsid w:val="005419B2"/>
    <w:rsid w:val="005419F7"/>
    <w:rsid w:val="00541A4A"/>
    <w:rsid w:val="00541B10"/>
    <w:rsid w:val="00541F08"/>
    <w:rsid w:val="00542159"/>
    <w:rsid w:val="00542351"/>
    <w:rsid w:val="0054252F"/>
    <w:rsid w:val="005425C3"/>
    <w:rsid w:val="005429EA"/>
    <w:rsid w:val="005429EB"/>
    <w:rsid w:val="00542A0C"/>
    <w:rsid w:val="00542CB4"/>
    <w:rsid w:val="00542EB2"/>
    <w:rsid w:val="00542F2A"/>
    <w:rsid w:val="00542FB4"/>
    <w:rsid w:val="005430DF"/>
    <w:rsid w:val="00543136"/>
    <w:rsid w:val="00543455"/>
    <w:rsid w:val="0054349A"/>
    <w:rsid w:val="0054354D"/>
    <w:rsid w:val="00543734"/>
    <w:rsid w:val="0054377C"/>
    <w:rsid w:val="0054380B"/>
    <w:rsid w:val="00543836"/>
    <w:rsid w:val="00543A5E"/>
    <w:rsid w:val="00543AA7"/>
    <w:rsid w:val="00543BB3"/>
    <w:rsid w:val="00543CA9"/>
    <w:rsid w:val="00543D1D"/>
    <w:rsid w:val="00543F23"/>
    <w:rsid w:val="00544084"/>
    <w:rsid w:val="005440BD"/>
    <w:rsid w:val="0054428A"/>
    <w:rsid w:val="005444D2"/>
    <w:rsid w:val="005446B4"/>
    <w:rsid w:val="0054479D"/>
    <w:rsid w:val="005448E3"/>
    <w:rsid w:val="00544A89"/>
    <w:rsid w:val="00544DA4"/>
    <w:rsid w:val="00544DED"/>
    <w:rsid w:val="00544EC7"/>
    <w:rsid w:val="005450BC"/>
    <w:rsid w:val="005450C0"/>
    <w:rsid w:val="005451D6"/>
    <w:rsid w:val="0054526B"/>
    <w:rsid w:val="005453B2"/>
    <w:rsid w:val="005454C0"/>
    <w:rsid w:val="005456D6"/>
    <w:rsid w:val="00545857"/>
    <w:rsid w:val="00545A89"/>
    <w:rsid w:val="00545AFD"/>
    <w:rsid w:val="00545B0F"/>
    <w:rsid w:val="00545B88"/>
    <w:rsid w:val="00545BCA"/>
    <w:rsid w:val="00545BE2"/>
    <w:rsid w:val="00545C2E"/>
    <w:rsid w:val="00545CD2"/>
    <w:rsid w:val="00545DF7"/>
    <w:rsid w:val="00545E23"/>
    <w:rsid w:val="00545E83"/>
    <w:rsid w:val="00545E99"/>
    <w:rsid w:val="00545F6B"/>
    <w:rsid w:val="00545FAB"/>
    <w:rsid w:val="005460DC"/>
    <w:rsid w:val="005461E9"/>
    <w:rsid w:val="00546216"/>
    <w:rsid w:val="005463AD"/>
    <w:rsid w:val="0054647B"/>
    <w:rsid w:val="005464B2"/>
    <w:rsid w:val="005465A4"/>
    <w:rsid w:val="00546605"/>
    <w:rsid w:val="005468E2"/>
    <w:rsid w:val="00546A73"/>
    <w:rsid w:val="00546A9A"/>
    <w:rsid w:val="00546B65"/>
    <w:rsid w:val="00546CF8"/>
    <w:rsid w:val="00546DC3"/>
    <w:rsid w:val="00546FC2"/>
    <w:rsid w:val="00546FEE"/>
    <w:rsid w:val="005470ED"/>
    <w:rsid w:val="0054742C"/>
    <w:rsid w:val="0054742D"/>
    <w:rsid w:val="0054745C"/>
    <w:rsid w:val="005474B3"/>
    <w:rsid w:val="005474CC"/>
    <w:rsid w:val="005476DD"/>
    <w:rsid w:val="005477C7"/>
    <w:rsid w:val="005477D7"/>
    <w:rsid w:val="005477F4"/>
    <w:rsid w:val="00547A6F"/>
    <w:rsid w:val="00547A97"/>
    <w:rsid w:val="00547D2A"/>
    <w:rsid w:val="00547E39"/>
    <w:rsid w:val="00550371"/>
    <w:rsid w:val="0055050B"/>
    <w:rsid w:val="00550537"/>
    <w:rsid w:val="005505B6"/>
    <w:rsid w:val="005506B2"/>
    <w:rsid w:val="00550866"/>
    <w:rsid w:val="005508EA"/>
    <w:rsid w:val="005509C1"/>
    <w:rsid w:val="00550A93"/>
    <w:rsid w:val="00550B86"/>
    <w:rsid w:val="00550FF7"/>
    <w:rsid w:val="00551009"/>
    <w:rsid w:val="005510A3"/>
    <w:rsid w:val="0055113E"/>
    <w:rsid w:val="0055117F"/>
    <w:rsid w:val="00551499"/>
    <w:rsid w:val="005514BA"/>
    <w:rsid w:val="00551546"/>
    <w:rsid w:val="005515AD"/>
    <w:rsid w:val="005515EC"/>
    <w:rsid w:val="005515ED"/>
    <w:rsid w:val="005515F0"/>
    <w:rsid w:val="005516CC"/>
    <w:rsid w:val="0055186E"/>
    <w:rsid w:val="00551941"/>
    <w:rsid w:val="00551B1F"/>
    <w:rsid w:val="00551C12"/>
    <w:rsid w:val="00551D08"/>
    <w:rsid w:val="00551F16"/>
    <w:rsid w:val="00551F62"/>
    <w:rsid w:val="00551FF3"/>
    <w:rsid w:val="00552008"/>
    <w:rsid w:val="00552137"/>
    <w:rsid w:val="0055231C"/>
    <w:rsid w:val="00552591"/>
    <w:rsid w:val="00552646"/>
    <w:rsid w:val="005527DA"/>
    <w:rsid w:val="005528EF"/>
    <w:rsid w:val="0055299E"/>
    <w:rsid w:val="00552CFE"/>
    <w:rsid w:val="00552D31"/>
    <w:rsid w:val="00552DFD"/>
    <w:rsid w:val="00552E82"/>
    <w:rsid w:val="00552F4C"/>
    <w:rsid w:val="00552F99"/>
    <w:rsid w:val="005530BA"/>
    <w:rsid w:val="005530D0"/>
    <w:rsid w:val="0055318B"/>
    <w:rsid w:val="0055320D"/>
    <w:rsid w:val="00553243"/>
    <w:rsid w:val="0055343A"/>
    <w:rsid w:val="00553652"/>
    <w:rsid w:val="00553667"/>
    <w:rsid w:val="005537C2"/>
    <w:rsid w:val="00553874"/>
    <w:rsid w:val="00553892"/>
    <w:rsid w:val="005538AC"/>
    <w:rsid w:val="00553BB2"/>
    <w:rsid w:val="00553C70"/>
    <w:rsid w:val="00553D92"/>
    <w:rsid w:val="00553F71"/>
    <w:rsid w:val="00553FA9"/>
    <w:rsid w:val="00554129"/>
    <w:rsid w:val="0055496F"/>
    <w:rsid w:val="00554982"/>
    <w:rsid w:val="00554E10"/>
    <w:rsid w:val="00554F6E"/>
    <w:rsid w:val="005550AB"/>
    <w:rsid w:val="00555108"/>
    <w:rsid w:val="005551B4"/>
    <w:rsid w:val="00555249"/>
    <w:rsid w:val="005553D4"/>
    <w:rsid w:val="005555DC"/>
    <w:rsid w:val="005556E7"/>
    <w:rsid w:val="00555701"/>
    <w:rsid w:val="00555A32"/>
    <w:rsid w:val="00555A6B"/>
    <w:rsid w:val="00555A75"/>
    <w:rsid w:val="00555CF2"/>
    <w:rsid w:val="00555D81"/>
    <w:rsid w:val="00555DCE"/>
    <w:rsid w:val="00555E36"/>
    <w:rsid w:val="00555F5A"/>
    <w:rsid w:val="00555FAA"/>
    <w:rsid w:val="0055601B"/>
    <w:rsid w:val="0055609E"/>
    <w:rsid w:val="005561F3"/>
    <w:rsid w:val="00556495"/>
    <w:rsid w:val="005564A3"/>
    <w:rsid w:val="00556601"/>
    <w:rsid w:val="0055671F"/>
    <w:rsid w:val="005568F8"/>
    <w:rsid w:val="00556929"/>
    <w:rsid w:val="0055692D"/>
    <w:rsid w:val="005569D6"/>
    <w:rsid w:val="00556A77"/>
    <w:rsid w:val="00556C54"/>
    <w:rsid w:val="00556DBB"/>
    <w:rsid w:val="00556F5B"/>
    <w:rsid w:val="005571E4"/>
    <w:rsid w:val="005571F2"/>
    <w:rsid w:val="005571F7"/>
    <w:rsid w:val="005572F5"/>
    <w:rsid w:val="005573C5"/>
    <w:rsid w:val="005573F2"/>
    <w:rsid w:val="00557653"/>
    <w:rsid w:val="0055770A"/>
    <w:rsid w:val="0055781A"/>
    <w:rsid w:val="00557ABB"/>
    <w:rsid w:val="00557F4B"/>
    <w:rsid w:val="005600FF"/>
    <w:rsid w:val="005601A4"/>
    <w:rsid w:val="00560207"/>
    <w:rsid w:val="0056051B"/>
    <w:rsid w:val="00560909"/>
    <w:rsid w:val="00560A1A"/>
    <w:rsid w:val="00560B33"/>
    <w:rsid w:val="00560C23"/>
    <w:rsid w:val="00560D86"/>
    <w:rsid w:val="00560E0D"/>
    <w:rsid w:val="00560F73"/>
    <w:rsid w:val="00561189"/>
    <w:rsid w:val="00561227"/>
    <w:rsid w:val="0056138D"/>
    <w:rsid w:val="005617B5"/>
    <w:rsid w:val="005618B4"/>
    <w:rsid w:val="00561915"/>
    <w:rsid w:val="00561AC6"/>
    <w:rsid w:val="00561BA4"/>
    <w:rsid w:val="00561E58"/>
    <w:rsid w:val="0056201D"/>
    <w:rsid w:val="00562035"/>
    <w:rsid w:val="00562159"/>
    <w:rsid w:val="00562170"/>
    <w:rsid w:val="005621AB"/>
    <w:rsid w:val="005623F0"/>
    <w:rsid w:val="00562420"/>
    <w:rsid w:val="0056244F"/>
    <w:rsid w:val="005624EE"/>
    <w:rsid w:val="0056268F"/>
    <w:rsid w:val="005626DD"/>
    <w:rsid w:val="005627F8"/>
    <w:rsid w:val="00562A87"/>
    <w:rsid w:val="00562BEB"/>
    <w:rsid w:val="00562C39"/>
    <w:rsid w:val="00562F1A"/>
    <w:rsid w:val="00562F5E"/>
    <w:rsid w:val="00562F7D"/>
    <w:rsid w:val="005633A0"/>
    <w:rsid w:val="0056342D"/>
    <w:rsid w:val="00563438"/>
    <w:rsid w:val="00563553"/>
    <w:rsid w:val="0056389A"/>
    <w:rsid w:val="005638B7"/>
    <w:rsid w:val="005639C3"/>
    <w:rsid w:val="00563B2A"/>
    <w:rsid w:val="00563B73"/>
    <w:rsid w:val="00563D08"/>
    <w:rsid w:val="0056451E"/>
    <w:rsid w:val="005646BF"/>
    <w:rsid w:val="005646C6"/>
    <w:rsid w:val="005647DB"/>
    <w:rsid w:val="00564BF3"/>
    <w:rsid w:val="00564D2E"/>
    <w:rsid w:val="00564E82"/>
    <w:rsid w:val="00564F8E"/>
    <w:rsid w:val="00565145"/>
    <w:rsid w:val="00565207"/>
    <w:rsid w:val="00565286"/>
    <w:rsid w:val="005653B0"/>
    <w:rsid w:val="005653C7"/>
    <w:rsid w:val="005655CA"/>
    <w:rsid w:val="00565759"/>
    <w:rsid w:val="005657C9"/>
    <w:rsid w:val="0056585F"/>
    <w:rsid w:val="00565B73"/>
    <w:rsid w:val="00565CA9"/>
    <w:rsid w:val="00565D68"/>
    <w:rsid w:val="00565DEB"/>
    <w:rsid w:val="00565DFA"/>
    <w:rsid w:val="005660FD"/>
    <w:rsid w:val="0056626F"/>
    <w:rsid w:val="0056637F"/>
    <w:rsid w:val="005663BE"/>
    <w:rsid w:val="005663C4"/>
    <w:rsid w:val="00566494"/>
    <w:rsid w:val="0056661D"/>
    <w:rsid w:val="00566635"/>
    <w:rsid w:val="005668C9"/>
    <w:rsid w:val="005668F0"/>
    <w:rsid w:val="00566ED4"/>
    <w:rsid w:val="00566FD1"/>
    <w:rsid w:val="00566FE4"/>
    <w:rsid w:val="0056732E"/>
    <w:rsid w:val="00567362"/>
    <w:rsid w:val="005673B2"/>
    <w:rsid w:val="005673C8"/>
    <w:rsid w:val="005675A8"/>
    <w:rsid w:val="005675BF"/>
    <w:rsid w:val="00567609"/>
    <w:rsid w:val="0056765E"/>
    <w:rsid w:val="00567729"/>
    <w:rsid w:val="00567744"/>
    <w:rsid w:val="005678BF"/>
    <w:rsid w:val="00567AC1"/>
    <w:rsid w:val="00567B70"/>
    <w:rsid w:val="00567BBF"/>
    <w:rsid w:val="00567C29"/>
    <w:rsid w:val="00567C31"/>
    <w:rsid w:val="00567C57"/>
    <w:rsid w:val="00567D68"/>
    <w:rsid w:val="00567D86"/>
    <w:rsid w:val="00567E1B"/>
    <w:rsid w:val="00567E33"/>
    <w:rsid w:val="00567F8A"/>
    <w:rsid w:val="00570092"/>
    <w:rsid w:val="00570622"/>
    <w:rsid w:val="00570696"/>
    <w:rsid w:val="00570871"/>
    <w:rsid w:val="005709E2"/>
    <w:rsid w:val="00570A63"/>
    <w:rsid w:val="00570AAB"/>
    <w:rsid w:val="00570AE0"/>
    <w:rsid w:val="00570B8B"/>
    <w:rsid w:val="00571000"/>
    <w:rsid w:val="005713A4"/>
    <w:rsid w:val="00571411"/>
    <w:rsid w:val="005714E1"/>
    <w:rsid w:val="00571624"/>
    <w:rsid w:val="00571A84"/>
    <w:rsid w:val="00571C30"/>
    <w:rsid w:val="00571CDE"/>
    <w:rsid w:val="00571D93"/>
    <w:rsid w:val="00572055"/>
    <w:rsid w:val="00572076"/>
    <w:rsid w:val="00572106"/>
    <w:rsid w:val="005721CD"/>
    <w:rsid w:val="00572345"/>
    <w:rsid w:val="00572384"/>
    <w:rsid w:val="00572449"/>
    <w:rsid w:val="005724EF"/>
    <w:rsid w:val="005725CC"/>
    <w:rsid w:val="00572891"/>
    <w:rsid w:val="00572914"/>
    <w:rsid w:val="00572A89"/>
    <w:rsid w:val="00572BBD"/>
    <w:rsid w:val="00572E9D"/>
    <w:rsid w:val="00573018"/>
    <w:rsid w:val="00573388"/>
    <w:rsid w:val="00573393"/>
    <w:rsid w:val="005733F3"/>
    <w:rsid w:val="0057358D"/>
    <w:rsid w:val="0057395A"/>
    <w:rsid w:val="00573B39"/>
    <w:rsid w:val="00573C52"/>
    <w:rsid w:val="00573EAE"/>
    <w:rsid w:val="00573F8B"/>
    <w:rsid w:val="00573FEE"/>
    <w:rsid w:val="00574164"/>
    <w:rsid w:val="005742E1"/>
    <w:rsid w:val="005743EE"/>
    <w:rsid w:val="0057465C"/>
    <w:rsid w:val="005747A9"/>
    <w:rsid w:val="0057483D"/>
    <w:rsid w:val="005748B4"/>
    <w:rsid w:val="0057498E"/>
    <w:rsid w:val="00574B6D"/>
    <w:rsid w:val="00574D5D"/>
    <w:rsid w:val="00574D6A"/>
    <w:rsid w:val="00574F2C"/>
    <w:rsid w:val="00575244"/>
    <w:rsid w:val="00575257"/>
    <w:rsid w:val="005752AF"/>
    <w:rsid w:val="00575514"/>
    <w:rsid w:val="00575748"/>
    <w:rsid w:val="005757CF"/>
    <w:rsid w:val="00575ADF"/>
    <w:rsid w:val="00575B4F"/>
    <w:rsid w:val="00575CB3"/>
    <w:rsid w:val="00575D6D"/>
    <w:rsid w:val="00575E14"/>
    <w:rsid w:val="00575F81"/>
    <w:rsid w:val="00576005"/>
    <w:rsid w:val="005760D5"/>
    <w:rsid w:val="005762BC"/>
    <w:rsid w:val="005763FF"/>
    <w:rsid w:val="00576557"/>
    <w:rsid w:val="00576706"/>
    <w:rsid w:val="0057677B"/>
    <w:rsid w:val="00576872"/>
    <w:rsid w:val="00576994"/>
    <w:rsid w:val="00576A01"/>
    <w:rsid w:val="00576A47"/>
    <w:rsid w:val="00576A5C"/>
    <w:rsid w:val="00576BC8"/>
    <w:rsid w:val="00576C0E"/>
    <w:rsid w:val="00576DE8"/>
    <w:rsid w:val="00576F35"/>
    <w:rsid w:val="0057702A"/>
    <w:rsid w:val="00577109"/>
    <w:rsid w:val="0057737C"/>
    <w:rsid w:val="005773A4"/>
    <w:rsid w:val="005773AC"/>
    <w:rsid w:val="0057740A"/>
    <w:rsid w:val="0057744B"/>
    <w:rsid w:val="005775AF"/>
    <w:rsid w:val="00577679"/>
    <w:rsid w:val="005777EC"/>
    <w:rsid w:val="0057781B"/>
    <w:rsid w:val="00577DBD"/>
    <w:rsid w:val="00577DDB"/>
    <w:rsid w:val="00577E76"/>
    <w:rsid w:val="00577E8C"/>
    <w:rsid w:val="005800B5"/>
    <w:rsid w:val="005800D0"/>
    <w:rsid w:val="00580264"/>
    <w:rsid w:val="005803B2"/>
    <w:rsid w:val="005807F0"/>
    <w:rsid w:val="00580837"/>
    <w:rsid w:val="005809C8"/>
    <w:rsid w:val="00580AAE"/>
    <w:rsid w:val="00580B42"/>
    <w:rsid w:val="00580B6D"/>
    <w:rsid w:val="00580D9A"/>
    <w:rsid w:val="00580DB9"/>
    <w:rsid w:val="00580E22"/>
    <w:rsid w:val="00580E7A"/>
    <w:rsid w:val="00580E8B"/>
    <w:rsid w:val="00580F31"/>
    <w:rsid w:val="00580F74"/>
    <w:rsid w:val="005810CD"/>
    <w:rsid w:val="00581246"/>
    <w:rsid w:val="0058124C"/>
    <w:rsid w:val="00581286"/>
    <w:rsid w:val="00581314"/>
    <w:rsid w:val="005813C0"/>
    <w:rsid w:val="0058146C"/>
    <w:rsid w:val="005814AC"/>
    <w:rsid w:val="005815B2"/>
    <w:rsid w:val="005815CB"/>
    <w:rsid w:val="005816EC"/>
    <w:rsid w:val="00581CE8"/>
    <w:rsid w:val="00581FAE"/>
    <w:rsid w:val="00582058"/>
    <w:rsid w:val="005821E6"/>
    <w:rsid w:val="00582216"/>
    <w:rsid w:val="005822DC"/>
    <w:rsid w:val="0058278F"/>
    <w:rsid w:val="00582A75"/>
    <w:rsid w:val="00582ACB"/>
    <w:rsid w:val="00582B42"/>
    <w:rsid w:val="00582BDD"/>
    <w:rsid w:val="00582C03"/>
    <w:rsid w:val="00582F03"/>
    <w:rsid w:val="00582FFD"/>
    <w:rsid w:val="00583036"/>
    <w:rsid w:val="005830BD"/>
    <w:rsid w:val="00583433"/>
    <w:rsid w:val="00583814"/>
    <w:rsid w:val="0058389E"/>
    <w:rsid w:val="00583BC7"/>
    <w:rsid w:val="00583E81"/>
    <w:rsid w:val="00583F11"/>
    <w:rsid w:val="0058414E"/>
    <w:rsid w:val="005842C3"/>
    <w:rsid w:val="00584326"/>
    <w:rsid w:val="00584484"/>
    <w:rsid w:val="005844B5"/>
    <w:rsid w:val="005844E6"/>
    <w:rsid w:val="005844F2"/>
    <w:rsid w:val="00584567"/>
    <w:rsid w:val="0058457C"/>
    <w:rsid w:val="005845EA"/>
    <w:rsid w:val="005846FE"/>
    <w:rsid w:val="00584864"/>
    <w:rsid w:val="005848FA"/>
    <w:rsid w:val="005849C2"/>
    <w:rsid w:val="00584A55"/>
    <w:rsid w:val="00584CEB"/>
    <w:rsid w:val="00584D54"/>
    <w:rsid w:val="00585321"/>
    <w:rsid w:val="00585327"/>
    <w:rsid w:val="0058540A"/>
    <w:rsid w:val="00585467"/>
    <w:rsid w:val="005855D9"/>
    <w:rsid w:val="005855E2"/>
    <w:rsid w:val="00585644"/>
    <w:rsid w:val="00585926"/>
    <w:rsid w:val="00585947"/>
    <w:rsid w:val="00585976"/>
    <w:rsid w:val="00585A42"/>
    <w:rsid w:val="00585B8B"/>
    <w:rsid w:val="00585C68"/>
    <w:rsid w:val="00585D4D"/>
    <w:rsid w:val="00585E01"/>
    <w:rsid w:val="00585F51"/>
    <w:rsid w:val="00585F73"/>
    <w:rsid w:val="00585FE8"/>
    <w:rsid w:val="00586244"/>
    <w:rsid w:val="0058625F"/>
    <w:rsid w:val="00586338"/>
    <w:rsid w:val="005863D4"/>
    <w:rsid w:val="0058644E"/>
    <w:rsid w:val="005864AE"/>
    <w:rsid w:val="0058655F"/>
    <w:rsid w:val="005865D6"/>
    <w:rsid w:val="00586705"/>
    <w:rsid w:val="00586708"/>
    <w:rsid w:val="00586A11"/>
    <w:rsid w:val="00586A3C"/>
    <w:rsid w:val="00586ADE"/>
    <w:rsid w:val="00586B0B"/>
    <w:rsid w:val="00586B75"/>
    <w:rsid w:val="00586F0A"/>
    <w:rsid w:val="00587030"/>
    <w:rsid w:val="005872D7"/>
    <w:rsid w:val="0058733F"/>
    <w:rsid w:val="0058735F"/>
    <w:rsid w:val="0058736B"/>
    <w:rsid w:val="00587378"/>
    <w:rsid w:val="005878D3"/>
    <w:rsid w:val="00587A63"/>
    <w:rsid w:val="00587BCE"/>
    <w:rsid w:val="00587F7F"/>
    <w:rsid w:val="00590154"/>
    <w:rsid w:val="00590173"/>
    <w:rsid w:val="005903E1"/>
    <w:rsid w:val="0059046E"/>
    <w:rsid w:val="00590692"/>
    <w:rsid w:val="0059072E"/>
    <w:rsid w:val="00590757"/>
    <w:rsid w:val="005909FB"/>
    <w:rsid w:val="00590C0E"/>
    <w:rsid w:val="00590E0A"/>
    <w:rsid w:val="00590E75"/>
    <w:rsid w:val="00590F49"/>
    <w:rsid w:val="005911E2"/>
    <w:rsid w:val="00591386"/>
    <w:rsid w:val="005913DD"/>
    <w:rsid w:val="00591550"/>
    <w:rsid w:val="00591601"/>
    <w:rsid w:val="00591623"/>
    <w:rsid w:val="0059168C"/>
    <w:rsid w:val="005919F5"/>
    <w:rsid w:val="00591CEA"/>
    <w:rsid w:val="00591D94"/>
    <w:rsid w:val="00591DE6"/>
    <w:rsid w:val="00591DEC"/>
    <w:rsid w:val="00591E9C"/>
    <w:rsid w:val="00591ED6"/>
    <w:rsid w:val="00592152"/>
    <w:rsid w:val="0059219D"/>
    <w:rsid w:val="0059248E"/>
    <w:rsid w:val="00592739"/>
    <w:rsid w:val="005927BF"/>
    <w:rsid w:val="00592831"/>
    <w:rsid w:val="00592915"/>
    <w:rsid w:val="005929E0"/>
    <w:rsid w:val="00592B12"/>
    <w:rsid w:val="00592B7A"/>
    <w:rsid w:val="00592F50"/>
    <w:rsid w:val="00592F7F"/>
    <w:rsid w:val="00592FBF"/>
    <w:rsid w:val="005931BB"/>
    <w:rsid w:val="00593220"/>
    <w:rsid w:val="00593289"/>
    <w:rsid w:val="005932FC"/>
    <w:rsid w:val="005933BF"/>
    <w:rsid w:val="0059342B"/>
    <w:rsid w:val="005934D3"/>
    <w:rsid w:val="00593665"/>
    <w:rsid w:val="005937A9"/>
    <w:rsid w:val="005938A6"/>
    <w:rsid w:val="005939D8"/>
    <w:rsid w:val="00593B3B"/>
    <w:rsid w:val="00593C48"/>
    <w:rsid w:val="00593CAC"/>
    <w:rsid w:val="00593D7A"/>
    <w:rsid w:val="00593DB2"/>
    <w:rsid w:val="00593E3B"/>
    <w:rsid w:val="005940B2"/>
    <w:rsid w:val="0059415E"/>
    <w:rsid w:val="005941EC"/>
    <w:rsid w:val="005942EA"/>
    <w:rsid w:val="005943B2"/>
    <w:rsid w:val="00594479"/>
    <w:rsid w:val="00594589"/>
    <w:rsid w:val="005945C6"/>
    <w:rsid w:val="0059468A"/>
    <w:rsid w:val="005948DD"/>
    <w:rsid w:val="00594938"/>
    <w:rsid w:val="00594B21"/>
    <w:rsid w:val="00594B9E"/>
    <w:rsid w:val="00594C12"/>
    <w:rsid w:val="00594DB6"/>
    <w:rsid w:val="00594E66"/>
    <w:rsid w:val="00594F40"/>
    <w:rsid w:val="00594F91"/>
    <w:rsid w:val="005950B5"/>
    <w:rsid w:val="005950DD"/>
    <w:rsid w:val="005950EC"/>
    <w:rsid w:val="00595194"/>
    <w:rsid w:val="00595266"/>
    <w:rsid w:val="00595329"/>
    <w:rsid w:val="0059533F"/>
    <w:rsid w:val="00595498"/>
    <w:rsid w:val="00595501"/>
    <w:rsid w:val="00595669"/>
    <w:rsid w:val="00595776"/>
    <w:rsid w:val="0059582C"/>
    <w:rsid w:val="00595851"/>
    <w:rsid w:val="005958A0"/>
    <w:rsid w:val="005958B5"/>
    <w:rsid w:val="005958F4"/>
    <w:rsid w:val="0059594D"/>
    <w:rsid w:val="00595AD5"/>
    <w:rsid w:val="00595B79"/>
    <w:rsid w:val="00595D0C"/>
    <w:rsid w:val="00595D57"/>
    <w:rsid w:val="0059607F"/>
    <w:rsid w:val="00596282"/>
    <w:rsid w:val="00596320"/>
    <w:rsid w:val="00596323"/>
    <w:rsid w:val="005963E7"/>
    <w:rsid w:val="00596547"/>
    <w:rsid w:val="00596581"/>
    <w:rsid w:val="00596584"/>
    <w:rsid w:val="00596635"/>
    <w:rsid w:val="005967C6"/>
    <w:rsid w:val="00596C65"/>
    <w:rsid w:val="00596C6B"/>
    <w:rsid w:val="00596D51"/>
    <w:rsid w:val="00596EC6"/>
    <w:rsid w:val="00596F63"/>
    <w:rsid w:val="00596F96"/>
    <w:rsid w:val="00596FC7"/>
    <w:rsid w:val="005970CF"/>
    <w:rsid w:val="005972BC"/>
    <w:rsid w:val="0059743F"/>
    <w:rsid w:val="005974B4"/>
    <w:rsid w:val="005975F3"/>
    <w:rsid w:val="00597630"/>
    <w:rsid w:val="005976C1"/>
    <w:rsid w:val="005976D8"/>
    <w:rsid w:val="00597745"/>
    <w:rsid w:val="005977C9"/>
    <w:rsid w:val="005979D9"/>
    <w:rsid w:val="00597AAA"/>
    <w:rsid w:val="00597AFD"/>
    <w:rsid w:val="00597BE1"/>
    <w:rsid w:val="00597BF8"/>
    <w:rsid w:val="00597DC5"/>
    <w:rsid w:val="005A0087"/>
    <w:rsid w:val="005A0376"/>
    <w:rsid w:val="005A0391"/>
    <w:rsid w:val="005A040A"/>
    <w:rsid w:val="005A0453"/>
    <w:rsid w:val="005A0497"/>
    <w:rsid w:val="005A06C2"/>
    <w:rsid w:val="005A08EC"/>
    <w:rsid w:val="005A098E"/>
    <w:rsid w:val="005A09F2"/>
    <w:rsid w:val="005A0A8C"/>
    <w:rsid w:val="005A0C5C"/>
    <w:rsid w:val="005A0C87"/>
    <w:rsid w:val="005A0D28"/>
    <w:rsid w:val="005A0E22"/>
    <w:rsid w:val="005A0E54"/>
    <w:rsid w:val="005A0EE0"/>
    <w:rsid w:val="005A0FE3"/>
    <w:rsid w:val="005A1078"/>
    <w:rsid w:val="005A1244"/>
    <w:rsid w:val="005A15C3"/>
    <w:rsid w:val="005A16F8"/>
    <w:rsid w:val="005A177F"/>
    <w:rsid w:val="005A17CB"/>
    <w:rsid w:val="005A1896"/>
    <w:rsid w:val="005A18B1"/>
    <w:rsid w:val="005A197B"/>
    <w:rsid w:val="005A1A63"/>
    <w:rsid w:val="005A1AF1"/>
    <w:rsid w:val="005A1B86"/>
    <w:rsid w:val="005A1DA3"/>
    <w:rsid w:val="005A1EFB"/>
    <w:rsid w:val="005A2029"/>
    <w:rsid w:val="005A20C4"/>
    <w:rsid w:val="005A2156"/>
    <w:rsid w:val="005A242B"/>
    <w:rsid w:val="005A2682"/>
    <w:rsid w:val="005A26FF"/>
    <w:rsid w:val="005A279A"/>
    <w:rsid w:val="005A28B0"/>
    <w:rsid w:val="005A28E8"/>
    <w:rsid w:val="005A298F"/>
    <w:rsid w:val="005A299F"/>
    <w:rsid w:val="005A2B7C"/>
    <w:rsid w:val="005A2D21"/>
    <w:rsid w:val="005A2D6B"/>
    <w:rsid w:val="005A2EEF"/>
    <w:rsid w:val="005A2FC8"/>
    <w:rsid w:val="005A2FF8"/>
    <w:rsid w:val="005A30B1"/>
    <w:rsid w:val="005A324B"/>
    <w:rsid w:val="005A3279"/>
    <w:rsid w:val="005A33A7"/>
    <w:rsid w:val="005A344B"/>
    <w:rsid w:val="005A37B0"/>
    <w:rsid w:val="005A3C38"/>
    <w:rsid w:val="005A3DC0"/>
    <w:rsid w:val="005A3ED5"/>
    <w:rsid w:val="005A3F2C"/>
    <w:rsid w:val="005A42E7"/>
    <w:rsid w:val="005A4449"/>
    <w:rsid w:val="005A4485"/>
    <w:rsid w:val="005A472F"/>
    <w:rsid w:val="005A4917"/>
    <w:rsid w:val="005A4970"/>
    <w:rsid w:val="005A4CF7"/>
    <w:rsid w:val="005A4D48"/>
    <w:rsid w:val="005A4EDD"/>
    <w:rsid w:val="005A5048"/>
    <w:rsid w:val="005A53E2"/>
    <w:rsid w:val="005A54DB"/>
    <w:rsid w:val="005A56F0"/>
    <w:rsid w:val="005A585E"/>
    <w:rsid w:val="005A5935"/>
    <w:rsid w:val="005A59D4"/>
    <w:rsid w:val="005A5B18"/>
    <w:rsid w:val="005A5DA3"/>
    <w:rsid w:val="005A5E1A"/>
    <w:rsid w:val="005A5F3F"/>
    <w:rsid w:val="005A5F7E"/>
    <w:rsid w:val="005A6063"/>
    <w:rsid w:val="005A6071"/>
    <w:rsid w:val="005A6112"/>
    <w:rsid w:val="005A62D9"/>
    <w:rsid w:val="005A631A"/>
    <w:rsid w:val="005A643F"/>
    <w:rsid w:val="005A66AB"/>
    <w:rsid w:val="005A676C"/>
    <w:rsid w:val="005A680C"/>
    <w:rsid w:val="005A689B"/>
    <w:rsid w:val="005A69C9"/>
    <w:rsid w:val="005A6A21"/>
    <w:rsid w:val="005A6AA5"/>
    <w:rsid w:val="005A6B1E"/>
    <w:rsid w:val="005A6C66"/>
    <w:rsid w:val="005A7131"/>
    <w:rsid w:val="005A740E"/>
    <w:rsid w:val="005A75AC"/>
    <w:rsid w:val="005A7622"/>
    <w:rsid w:val="005A76B5"/>
    <w:rsid w:val="005A77D5"/>
    <w:rsid w:val="005A788B"/>
    <w:rsid w:val="005A7AC7"/>
    <w:rsid w:val="005A7C46"/>
    <w:rsid w:val="005A7C48"/>
    <w:rsid w:val="005A7CDE"/>
    <w:rsid w:val="005A7D00"/>
    <w:rsid w:val="005A7E17"/>
    <w:rsid w:val="005A7F0C"/>
    <w:rsid w:val="005A93AD"/>
    <w:rsid w:val="005A966D"/>
    <w:rsid w:val="005B0119"/>
    <w:rsid w:val="005B011F"/>
    <w:rsid w:val="005B03C1"/>
    <w:rsid w:val="005B0477"/>
    <w:rsid w:val="005B051F"/>
    <w:rsid w:val="005B0656"/>
    <w:rsid w:val="005B0783"/>
    <w:rsid w:val="005B091C"/>
    <w:rsid w:val="005B0AB1"/>
    <w:rsid w:val="005B0B98"/>
    <w:rsid w:val="005B0D8D"/>
    <w:rsid w:val="005B0F58"/>
    <w:rsid w:val="005B1172"/>
    <w:rsid w:val="005B11A2"/>
    <w:rsid w:val="005B1231"/>
    <w:rsid w:val="005B128C"/>
    <w:rsid w:val="005B1424"/>
    <w:rsid w:val="005B1455"/>
    <w:rsid w:val="005B159E"/>
    <w:rsid w:val="005B1695"/>
    <w:rsid w:val="005B16E1"/>
    <w:rsid w:val="005B1A31"/>
    <w:rsid w:val="005B1A75"/>
    <w:rsid w:val="005B1B12"/>
    <w:rsid w:val="005B1C08"/>
    <w:rsid w:val="005B1C0E"/>
    <w:rsid w:val="005B1C47"/>
    <w:rsid w:val="005B1CE0"/>
    <w:rsid w:val="005B1E7D"/>
    <w:rsid w:val="005B1E8D"/>
    <w:rsid w:val="005B1F5B"/>
    <w:rsid w:val="005B20CB"/>
    <w:rsid w:val="005B2151"/>
    <w:rsid w:val="005B225A"/>
    <w:rsid w:val="005B22A1"/>
    <w:rsid w:val="005B23D1"/>
    <w:rsid w:val="005B24C4"/>
    <w:rsid w:val="005B265B"/>
    <w:rsid w:val="005B2749"/>
    <w:rsid w:val="005B27E9"/>
    <w:rsid w:val="005B29C0"/>
    <w:rsid w:val="005B2FDF"/>
    <w:rsid w:val="005B330D"/>
    <w:rsid w:val="005B3523"/>
    <w:rsid w:val="005B3547"/>
    <w:rsid w:val="005B3602"/>
    <w:rsid w:val="005B3710"/>
    <w:rsid w:val="005B3A51"/>
    <w:rsid w:val="005B3BEA"/>
    <w:rsid w:val="005B3BFE"/>
    <w:rsid w:val="005B3C9E"/>
    <w:rsid w:val="005B3CDC"/>
    <w:rsid w:val="005B3CEC"/>
    <w:rsid w:val="005B3CF1"/>
    <w:rsid w:val="005B3DCD"/>
    <w:rsid w:val="005B4063"/>
    <w:rsid w:val="005B4075"/>
    <w:rsid w:val="005B40AF"/>
    <w:rsid w:val="005B410F"/>
    <w:rsid w:val="005B417A"/>
    <w:rsid w:val="005B4293"/>
    <w:rsid w:val="005B4493"/>
    <w:rsid w:val="005B45DE"/>
    <w:rsid w:val="005B4631"/>
    <w:rsid w:val="005B49F2"/>
    <w:rsid w:val="005B4B75"/>
    <w:rsid w:val="005B4D80"/>
    <w:rsid w:val="005B4E27"/>
    <w:rsid w:val="005B5061"/>
    <w:rsid w:val="005B50A1"/>
    <w:rsid w:val="005B5141"/>
    <w:rsid w:val="005B51DA"/>
    <w:rsid w:val="005B528D"/>
    <w:rsid w:val="005B5621"/>
    <w:rsid w:val="005B5666"/>
    <w:rsid w:val="005B5674"/>
    <w:rsid w:val="005B58AA"/>
    <w:rsid w:val="005B58E0"/>
    <w:rsid w:val="005B59E8"/>
    <w:rsid w:val="005B5A9B"/>
    <w:rsid w:val="005B5B13"/>
    <w:rsid w:val="005B5CF1"/>
    <w:rsid w:val="005B5D12"/>
    <w:rsid w:val="005B5E30"/>
    <w:rsid w:val="005B5E90"/>
    <w:rsid w:val="005B6058"/>
    <w:rsid w:val="005B61A6"/>
    <w:rsid w:val="005B627E"/>
    <w:rsid w:val="005B62A2"/>
    <w:rsid w:val="005B64A6"/>
    <w:rsid w:val="005B6556"/>
    <w:rsid w:val="005B6607"/>
    <w:rsid w:val="005B6637"/>
    <w:rsid w:val="005B666D"/>
    <w:rsid w:val="005B692F"/>
    <w:rsid w:val="005B6A4B"/>
    <w:rsid w:val="005B6B12"/>
    <w:rsid w:val="005B6B33"/>
    <w:rsid w:val="005B6E22"/>
    <w:rsid w:val="005B6E8D"/>
    <w:rsid w:val="005B6F3F"/>
    <w:rsid w:val="005B70A3"/>
    <w:rsid w:val="005B7128"/>
    <w:rsid w:val="005B7175"/>
    <w:rsid w:val="005B7206"/>
    <w:rsid w:val="005B73BC"/>
    <w:rsid w:val="005B7729"/>
    <w:rsid w:val="005B7804"/>
    <w:rsid w:val="005B7980"/>
    <w:rsid w:val="005B79B6"/>
    <w:rsid w:val="005B79C9"/>
    <w:rsid w:val="005B7A57"/>
    <w:rsid w:val="005B7B5C"/>
    <w:rsid w:val="005B7C16"/>
    <w:rsid w:val="005B7DC4"/>
    <w:rsid w:val="005B7DC7"/>
    <w:rsid w:val="005B7E97"/>
    <w:rsid w:val="005B7F97"/>
    <w:rsid w:val="005B7FBA"/>
    <w:rsid w:val="005C0076"/>
    <w:rsid w:val="005C0145"/>
    <w:rsid w:val="005C0158"/>
    <w:rsid w:val="005C01AB"/>
    <w:rsid w:val="005C036A"/>
    <w:rsid w:val="005C0460"/>
    <w:rsid w:val="005C0551"/>
    <w:rsid w:val="005C0602"/>
    <w:rsid w:val="005C067C"/>
    <w:rsid w:val="005C06A0"/>
    <w:rsid w:val="005C08BC"/>
    <w:rsid w:val="005C094D"/>
    <w:rsid w:val="005C0B31"/>
    <w:rsid w:val="005C0B57"/>
    <w:rsid w:val="005C0CB0"/>
    <w:rsid w:val="005C0D96"/>
    <w:rsid w:val="005C10BB"/>
    <w:rsid w:val="005C12E4"/>
    <w:rsid w:val="005C131B"/>
    <w:rsid w:val="005C13D6"/>
    <w:rsid w:val="005C13EF"/>
    <w:rsid w:val="005C13F8"/>
    <w:rsid w:val="005C15A2"/>
    <w:rsid w:val="005C180C"/>
    <w:rsid w:val="005C189F"/>
    <w:rsid w:val="005C18A5"/>
    <w:rsid w:val="005C1ABE"/>
    <w:rsid w:val="005C1C6A"/>
    <w:rsid w:val="005C1D82"/>
    <w:rsid w:val="005C1DE0"/>
    <w:rsid w:val="005C1F6D"/>
    <w:rsid w:val="005C1F72"/>
    <w:rsid w:val="005C2069"/>
    <w:rsid w:val="005C22E0"/>
    <w:rsid w:val="005C2321"/>
    <w:rsid w:val="005C2422"/>
    <w:rsid w:val="005C257A"/>
    <w:rsid w:val="005C29D0"/>
    <w:rsid w:val="005C2EE3"/>
    <w:rsid w:val="005C306F"/>
    <w:rsid w:val="005C308F"/>
    <w:rsid w:val="005C3105"/>
    <w:rsid w:val="005C31B4"/>
    <w:rsid w:val="005C3352"/>
    <w:rsid w:val="005C34CB"/>
    <w:rsid w:val="005C35F8"/>
    <w:rsid w:val="005C36D8"/>
    <w:rsid w:val="005C37EF"/>
    <w:rsid w:val="005C3833"/>
    <w:rsid w:val="005C3984"/>
    <w:rsid w:val="005C39B5"/>
    <w:rsid w:val="005C3A4F"/>
    <w:rsid w:val="005C3BEF"/>
    <w:rsid w:val="005C3F45"/>
    <w:rsid w:val="005C4097"/>
    <w:rsid w:val="005C41D5"/>
    <w:rsid w:val="005C4462"/>
    <w:rsid w:val="005C44FC"/>
    <w:rsid w:val="005C45D0"/>
    <w:rsid w:val="005C46F4"/>
    <w:rsid w:val="005C487B"/>
    <w:rsid w:val="005C4947"/>
    <w:rsid w:val="005C4C91"/>
    <w:rsid w:val="005C4E53"/>
    <w:rsid w:val="005C52F5"/>
    <w:rsid w:val="005C5471"/>
    <w:rsid w:val="005C59E3"/>
    <w:rsid w:val="005C5B55"/>
    <w:rsid w:val="005C5B6E"/>
    <w:rsid w:val="005C5E82"/>
    <w:rsid w:val="005C6072"/>
    <w:rsid w:val="005C6335"/>
    <w:rsid w:val="005C642E"/>
    <w:rsid w:val="005C6442"/>
    <w:rsid w:val="005C6453"/>
    <w:rsid w:val="005C65AC"/>
    <w:rsid w:val="005C65B4"/>
    <w:rsid w:val="005C67A8"/>
    <w:rsid w:val="005C686D"/>
    <w:rsid w:val="005C686F"/>
    <w:rsid w:val="005C6877"/>
    <w:rsid w:val="005C68D0"/>
    <w:rsid w:val="005C694B"/>
    <w:rsid w:val="005C69BD"/>
    <w:rsid w:val="005C6A73"/>
    <w:rsid w:val="005C7066"/>
    <w:rsid w:val="005C74B3"/>
    <w:rsid w:val="005C74E6"/>
    <w:rsid w:val="005C75C3"/>
    <w:rsid w:val="005C7820"/>
    <w:rsid w:val="005C7BBE"/>
    <w:rsid w:val="005C7BD2"/>
    <w:rsid w:val="005C7CA1"/>
    <w:rsid w:val="005C7DF9"/>
    <w:rsid w:val="005C7EF3"/>
    <w:rsid w:val="005D0029"/>
    <w:rsid w:val="005D002D"/>
    <w:rsid w:val="005D014B"/>
    <w:rsid w:val="005D01B9"/>
    <w:rsid w:val="005D02BA"/>
    <w:rsid w:val="005D0428"/>
    <w:rsid w:val="005D073E"/>
    <w:rsid w:val="005D0840"/>
    <w:rsid w:val="005D0957"/>
    <w:rsid w:val="005D09A5"/>
    <w:rsid w:val="005D0DCD"/>
    <w:rsid w:val="005D0EB1"/>
    <w:rsid w:val="005D0F18"/>
    <w:rsid w:val="005D11F1"/>
    <w:rsid w:val="005D14F7"/>
    <w:rsid w:val="005D153F"/>
    <w:rsid w:val="005D183C"/>
    <w:rsid w:val="005D1995"/>
    <w:rsid w:val="005D1BCB"/>
    <w:rsid w:val="005D1BD3"/>
    <w:rsid w:val="005D1C19"/>
    <w:rsid w:val="005D1C22"/>
    <w:rsid w:val="005D1D42"/>
    <w:rsid w:val="005D1FA8"/>
    <w:rsid w:val="005D2030"/>
    <w:rsid w:val="005D2085"/>
    <w:rsid w:val="005D20DD"/>
    <w:rsid w:val="005D226A"/>
    <w:rsid w:val="005D22CA"/>
    <w:rsid w:val="005D2622"/>
    <w:rsid w:val="005D2875"/>
    <w:rsid w:val="005D2884"/>
    <w:rsid w:val="005D296A"/>
    <w:rsid w:val="005D2CA7"/>
    <w:rsid w:val="005D2E1A"/>
    <w:rsid w:val="005D2F0B"/>
    <w:rsid w:val="005D3118"/>
    <w:rsid w:val="005D3195"/>
    <w:rsid w:val="005D32F4"/>
    <w:rsid w:val="005D33F1"/>
    <w:rsid w:val="005D3534"/>
    <w:rsid w:val="005D3877"/>
    <w:rsid w:val="005D38A5"/>
    <w:rsid w:val="005D3C68"/>
    <w:rsid w:val="005D3CDC"/>
    <w:rsid w:val="005D3E47"/>
    <w:rsid w:val="005D3F92"/>
    <w:rsid w:val="005D43BC"/>
    <w:rsid w:val="005D44A4"/>
    <w:rsid w:val="005D45B0"/>
    <w:rsid w:val="005D4638"/>
    <w:rsid w:val="005D4937"/>
    <w:rsid w:val="005D4B6F"/>
    <w:rsid w:val="005D4D6C"/>
    <w:rsid w:val="005D4EAE"/>
    <w:rsid w:val="005D4F68"/>
    <w:rsid w:val="005D4F90"/>
    <w:rsid w:val="005D4FC3"/>
    <w:rsid w:val="005D4FE5"/>
    <w:rsid w:val="005D50AE"/>
    <w:rsid w:val="005D5231"/>
    <w:rsid w:val="005D52EA"/>
    <w:rsid w:val="005D53C3"/>
    <w:rsid w:val="005D54C5"/>
    <w:rsid w:val="005D5587"/>
    <w:rsid w:val="005D558E"/>
    <w:rsid w:val="005D569B"/>
    <w:rsid w:val="005D5711"/>
    <w:rsid w:val="005D57AB"/>
    <w:rsid w:val="005D57D9"/>
    <w:rsid w:val="005D586F"/>
    <w:rsid w:val="005D593F"/>
    <w:rsid w:val="005D5A51"/>
    <w:rsid w:val="005D5A68"/>
    <w:rsid w:val="005D5A91"/>
    <w:rsid w:val="005D5B90"/>
    <w:rsid w:val="005D5E13"/>
    <w:rsid w:val="005D5E96"/>
    <w:rsid w:val="005D5F36"/>
    <w:rsid w:val="005D5F4A"/>
    <w:rsid w:val="005D5F52"/>
    <w:rsid w:val="005D5FD4"/>
    <w:rsid w:val="005D5FF5"/>
    <w:rsid w:val="005D62D8"/>
    <w:rsid w:val="005D6450"/>
    <w:rsid w:val="005D64CC"/>
    <w:rsid w:val="005D661D"/>
    <w:rsid w:val="005D663C"/>
    <w:rsid w:val="005D67B6"/>
    <w:rsid w:val="005D68D5"/>
    <w:rsid w:val="005D6AE4"/>
    <w:rsid w:val="005D6C24"/>
    <w:rsid w:val="005D6C5E"/>
    <w:rsid w:val="005D6CD3"/>
    <w:rsid w:val="005D6E45"/>
    <w:rsid w:val="005D6F7D"/>
    <w:rsid w:val="005D701F"/>
    <w:rsid w:val="005D7183"/>
    <w:rsid w:val="005D72EB"/>
    <w:rsid w:val="005D737F"/>
    <w:rsid w:val="005D7402"/>
    <w:rsid w:val="005D747C"/>
    <w:rsid w:val="005D7647"/>
    <w:rsid w:val="005D76BD"/>
    <w:rsid w:val="005D77CD"/>
    <w:rsid w:val="005D790A"/>
    <w:rsid w:val="005D7C0E"/>
    <w:rsid w:val="005D7CD3"/>
    <w:rsid w:val="005D7D3F"/>
    <w:rsid w:val="005D7F18"/>
    <w:rsid w:val="005E0057"/>
    <w:rsid w:val="005E0210"/>
    <w:rsid w:val="005E05AF"/>
    <w:rsid w:val="005E068C"/>
    <w:rsid w:val="005E0706"/>
    <w:rsid w:val="005E0B15"/>
    <w:rsid w:val="005E0CBB"/>
    <w:rsid w:val="005E0CE2"/>
    <w:rsid w:val="005E0DAE"/>
    <w:rsid w:val="005E0E37"/>
    <w:rsid w:val="005E128A"/>
    <w:rsid w:val="005E132A"/>
    <w:rsid w:val="005E137F"/>
    <w:rsid w:val="005E13A4"/>
    <w:rsid w:val="005E13AC"/>
    <w:rsid w:val="005E1436"/>
    <w:rsid w:val="005E14FB"/>
    <w:rsid w:val="005E1573"/>
    <w:rsid w:val="005E1583"/>
    <w:rsid w:val="005E19F1"/>
    <w:rsid w:val="005E1AD5"/>
    <w:rsid w:val="005E1C45"/>
    <w:rsid w:val="005E1C47"/>
    <w:rsid w:val="005E1CBD"/>
    <w:rsid w:val="005E1CC5"/>
    <w:rsid w:val="005E1D19"/>
    <w:rsid w:val="005E1D1B"/>
    <w:rsid w:val="005E1DED"/>
    <w:rsid w:val="005E1FE9"/>
    <w:rsid w:val="005E21A1"/>
    <w:rsid w:val="005E24C2"/>
    <w:rsid w:val="005E2532"/>
    <w:rsid w:val="005E268E"/>
    <w:rsid w:val="005E27F8"/>
    <w:rsid w:val="005E292D"/>
    <w:rsid w:val="005E2A28"/>
    <w:rsid w:val="005E2A79"/>
    <w:rsid w:val="005E2BE9"/>
    <w:rsid w:val="005E2DC0"/>
    <w:rsid w:val="005E2F04"/>
    <w:rsid w:val="005E2F3D"/>
    <w:rsid w:val="005E2FA5"/>
    <w:rsid w:val="005E309A"/>
    <w:rsid w:val="005E3428"/>
    <w:rsid w:val="005E3438"/>
    <w:rsid w:val="005E34B7"/>
    <w:rsid w:val="005E350B"/>
    <w:rsid w:val="005E361F"/>
    <w:rsid w:val="005E3714"/>
    <w:rsid w:val="005E37C3"/>
    <w:rsid w:val="005E37DD"/>
    <w:rsid w:val="005E3838"/>
    <w:rsid w:val="005E395A"/>
    <w:rsid w:val="005E39D4"/>
    <w:rsid w:val="005E3C51"/>
    <w:rsid w:val="005E3CF9"/>
    <w:rsid w:val="005E3E7B"/>
    <w:rsid w:val="005E3EBA"/>
    <w:rsid w:val="005E3FD9"/>
    <w:rsid w:val="005E4008"/>
    <w:rsid w:val="005E402A"/>
    <w:rsid w:val="005E45AA"/>
    <w:rsid w:val="005E45FB"/>
    <w:rsid w:val="005E491D"/>
    <w:rsid w:val="005E4B40"/>
    <w:rsid w:val="005E4B4E"/>
    <w:rsid w:val="005E4C4A"/>
    <w:rsid w:val="005E4CD8"/>
    <w:rsid w:val="005E4D4F"/>
    <w:rsid w:val="005E50C5"/>
    <w:rsid w:val="005E516D"/>
    <w:rsid w:val="005E55BE"/>
    <w:rsid w:val="005E56A7"/>
    <w:rsid w:val="005E56B2"/>
    <w:rsid w:val="005E5763"/>
    <w:rsid w:val="005E57C2"/>
    <w:rsid w:val="005E587B"/>
    <w:rsid w:val="005E5C05"/>
    <w:rsid w:val="005E5CAA"/>
    <w:rsid w:val="005E5DAD"/>
    <w:rsid w:val="005E5EF1"/>
    <w:rsid w:val="005E5F6A"/>
    <w:rsid w:val="005E604C"/>
    <w:rsid w:val="005E6134"/>
    <w:rsid w:val="005E61E1"/>
    <w:rsid w:val="005E625E"/>
    <w:rsid w:val="005E636B"/>
    <w:rsid w:val="005E6394"/>
    <w:rsid w:val="005E6458"/>
    <w:rsid w:val="005E6556"/>
    <w:rsid w:val="005E65B4"/>
    <w:rsid w:val="005E67AF"/>
    <w:rsid w:val="005E6885"/>
    <w:rsid w:val="005E6A9E"/>
    <w:rsid w:val="005E6BE5"/>
    <w:rsid w:val="005E6F54"/>
    <w:rsid w:val="005E7031"/>
    <w:rsid w:val="005E710D"/>
    <w:rsid w:val="005E71DF"/>
    <w:rsid w:val="005E722F"/>
    <w:rsid w:val="005E743E"/>
    <w:rsid w:val="005E775F"/>
    <w:rsid w:val="005E77B6"/>
    <w:rsid w:val="005E7A97"/>
    <w:rsid w:val="005E7AAE"/>
    <w:rsid w:val="005E7B5D"/>
    <w:rsid w:val="005E7BC3"/>
    <w:rsid w:val="005E7D62"/>
    <w:rsid w:val="005E7E4D"/>
    <w:rsid w:val="005E7E5E"/>
    <w:rsid w:val="005E7F0D"/>
    <w:rsid w:val="005F00CE"/>
    <w:rsid w:val="005F0226"/>
    <w:rsid w:val="005F024D"/>
    <w:rsid w:val="005F03E1"/>
    <w:rsid w:val="005F03F6"/>
    <w:rsid w:val="005F0509"/>
    <w:rsid w:val="005F06FD"/>
    <w:rsid w:val="005F085B"/>
    <w:rsid w:val="005F090B"/>
    <w:rsid w:val="005F09F6"/>
    <w:rsid w:val="005F0B44"/>
    <w:rsid w:val="005F0B49"/>
    <w:rsid w:val="005F0D22"/>
    <w:rsid w:val="005F0D3F"/>
    <w:rsid w:val="005F0EDD"/>
    <w:rsid w:val="005F1217"/>
    <w:rsid w:val="005F1348"/>
    <w:rsid w:val="005F142D"/>
    <w:rsid w:val="005F159F"/>
    <w:rsid w:val="005F1678"/>
    <w:rsid w:val="005F16B5"/>
    <w:rsid w:val="005F185B"/>
    <w:rsid w:val="005F18C7"/>
    <w:rsid w:val="005F1D0D"/>
    <w:rsid w:val="005F1D12"/>
    <w:rsid w:val="005F1DF7"/>
    <w:rsid w:val="005F1E3B"/>
    <w:rsid w:val="005F1E88"/>
    <w:rsid w:val="005F1FA5"/>
    <w:rsid w:val="005F1FFB"/>
    <w:rsid w:val="005F200E"/>
    <w:rsid w:val="005F20BD"/>
    <w:rsid w:val="005F239F"/>
    <w:rsid w:val="005F256B"/>
    <w:rsid w:val="005F25AC"/>
    <w:rsid w:val="005F2652"/>
    <w:rsid w:val="005F26E5"/>
    <w:rsid w:val="005F296A"/>
    <w:rsid w:val="005F29A1"/>
    <w:rsid w:val="005F29EF"/>
    <w:rsid w:val="005F2A98"/>
    <w:rsid w:val="005F2BDB"/>
    <w:rsid w:val="005F2C3B"/>
    <w:rsid w:val="005F2D1F"/>
    <w:rsid w:val="005F2DDF"/>
    <w:rsid w:val="005F2ED0"/>
    <w:rsid w:val="005F323F"/>
    <w:rsid w:val="005F3351"/>
    <w:rsid w:val="005F3361"/>
    <w:rsid w:val="005F34CD"/>
    <w:rsid w:val="005F3574"/>
    <w:rsid w:val="005F378F"/>
    <w:rsid w:val="005F37D5"/>
    <w:rsid w:val="005F382C"/>
    <w:rsid w:val="005F3884"/>
    <w:rsid w:val="005F3A5C"/>
    <w:rsid w:val="005F3AD4"/>
    <w:rsid w:val="005F3BC4"/>
    <w:rsid w:val="005F3D30"/>
    <w:rsid w:val="005F3DBC"/>
    <w:rsid w:val="005F3DF9"/>
    <w:rsid w:val="005F3F2D"/>
    <w:rsid w:val="005F3F79"/>
    <w:rsid w:val="005F3F95"/>
    <w:rsid w:val="005F3FCF"/>
    <w:rsid w:val="005F3FEE"/>
    <w:rsid w:val="005F407A"/>
    <w:rsid w:val="005F4244"/>
    <w:rsid w:val="005F42CB"/>
    <w:rsid w:val="005F42D0"/>
    <w:rsid w:val="005F45A9"/>
    <w:rsid w:val="005F460D"/>
    <w:rsid w:val="005F4620"/>
    <w:rsid w:val="005F465C"/>
    <w:rsid w:val="005F46F3"/>
    <w:rsid w:val="005F47EC"/>
    <w:rsid w:val="005F4881"/>
    <w:rsid w:val="005F4A4B"/>
    <w:rsid w:val="005F4A6F"/>
    <w:rsid w:val="005F4A97"/>
    <w:rsid w:val="005F4AD9"/>
    <w:rsid w:val="005F4B01"/>
    <w:rsid w:val="005F4BC9"/>
    <w:rsid w:val="005F4BFD"/>
    <w:rsid w:val="005F4D42"/>
    <w:rsid w:val="005F4D45"/>
    <w:rsid w:val="005F4D64"/>
    <w:rsid w:val="005F4D6F"/>
    <w:rsid w:val="005F4E9D"/>
    <w:rsid w:val="005F512D"/>
    <w:rsid w:val="005F5137"/>
    <w:rsid w:val="005F5139"/>
    <w:rsid w:val="005F538A"/>
    <w:rsid w:val="005F53FE"/>
    <w:rsid w:val="005F5501"/>
    <w:rsid w:val="005F551F"/>
    <w:rsid w:val="005F5550"/>
    <w:rsid w:val="005F5563"/>
    <w:rsid w:val="005F5580"/>
    <w:rsid w:val="005F562A"/>
    <w:rsid w:val="005F5646"/>
    <w:rsid w:val="005F57C5"/>
    <w:rsid w:val="005F58DE"/>
    <w:rsid w:val="005F592B"/>
    <w:rsid w:val="005F5B19"/>
    <w:rsid w:val="005F5D1D"/>
    <w:rsid w:val="005F602C"/>
    <w:rsid w:val="005F605C"/>
    <w:rsid w:val="005F6092"/>
    <w:rsid w:val="005F60CF"/>
    <w:rsid w:val="005F6139"/>
    <w:rsid w:val="005F6253"/>
    <w:rsid w:val="005F6334"/>
    <w:rsid w:val="005F6366"/>
    <w:rsid w:val="005F6372"/>
    <w:rsid w:val="005F6410"/>
    <w:rsid w:val="005F64BD"/>
    <w:rsid w:val="005F65EF"/>
    <w:rsid w:val="005F65F9"/>
    <w:rsid w:val="005F6632"/>
    <w:rsid w:val="005F6776"/>
    <w:rsid w:val="005F6A38"/>
    <w:rsid w:val="005F6C31"/>
    <w:rsid w:val="005F6CF2"/>
    <w:rsid w:val="005F6D34"/>
    <w:rsid w:val="005F70D5"/>
    <w:rsid w:val="005F7199"/>
    <w:rsid w:val="005F74ED"/>
    <w:rsid w:val="005F763E"/>
    <w:rsid w:val="005F7798"/>
    <w:rsid w:val="005F7827"/>
    <w:rsid w:val="005F783C"/>
    <w:rsid w:val="005F7955"/>
    <w:rsid w:val="005F795D"/>
    <w:rsid w:val="005F7968"/>
    <w:rsid w:val="005F799E"/>
    <w:rsid w:val="005F7B80"/>
    <w:rsid w:val="005F7C16"/>
    <w:rsid w:val="005F7F2A"/>
    <w:rsid w:val="005F7F3E"/>
    <w:rsid w:val="005F7FFA"/>
    <w:rsid w:val="00600113"/>
    <w:rsid w:val="0060011D"/>
    <w:rsid w:val="006001A0"/>
    <w:rsid w:val="00600200"/>
    <w:rsid w:val="006002A7"/>
    <w:rsid w:val="00600881"/>
    <w:rsid w:val="006008CF"/>
    <w:rsid w:val="0060092D"/>
    <w:rsid w:val="00600B2B"/>
    <w:rsid w:val="00600E32"/>
    <w:rsid w:val="00600F45"/>
    <w:rsid w:val="006012CD"/>
    <w:rsid w:val="00601302"/>
    <w:rsid w:val="006014B6"/>
    <w:rsid w:val="00601599"/>
    <w:rsid w:val="0060176D"/>
    <w:rsid w:val="00601997"/>
    <w:rsid w:val="00601C78"/>
    <w:rsid w:val="00601D8D"/>
    <w:rsid w:val="00601DEE"/>
    <w:rsid w:val="00601DFD"/>
    <w:rsid w:val="00601EC6"/>
    <w:rsid w:val="006021A4"/>
    <w:rsid w:val="0060260B"/>
    <w:rsid w:val="006028F1"/>
    <w:rsid w:val="006029D7"/>
    <w:rsid w:val="00602C0B"/>
    <w:rsid w:val="00602CA0"/>
    <w:rsid w:val="00602CA6"/>
    <w:rsid w:val="00602FBE"/>
    <w:rsid w:val="006033D3"/>
    <w:rsid w:val="006036E1"/>
    <w:rsid w:val="006036F9"/>
    <w:rsid w:val="0060378F"/>
    <w:rsid w:val="00603B68"/>
    <w:rsid w:val="00603B90"/>
    <w:rsid w:val="00603BC0"/>
    <w:rsid w:val="00603C42"/>
    <w:rsid w:val="00603C59"/>
    <w:rsid w:val="00603CDF"/>
    <w:rsid w:val="00603E97"/>
    <w:rsid w:val="00603F1E"/>
    <w:rsid w:val="00603F40"/>
    <w:rsid w:val="00603FF3"/>
    <w:rsid w:val="0060438E"/>
    <w:rsid w:val="006044E0"/>
    <w:rsid w:val="00604718"/>
    <w:rsid w:val="006048EF"/>
    <w:rsid w:val="00604C0A"/>
    <w:rsid w:val="00604D44"/>
    <w:rsid w:val="00604EDB"/>
    <w:rsid w:val="00604EF7"/>
    <w:rsid w:val="00605028"/>
    <w:rsid w:val="00605034"/>
    <w:rsid w:val="0060519C"/>
    <w:rsid w:val="006051D8"/>
    <w:rsid w:val="006052D8"/>
    <w:rsid w:val="006053C0"/>
    <w:rsid w:val="00605845"/>
    <w:rsid w:val="00605A0A"/>
    <w:rsid w:val="00605AA5"/>
    <w:rsid w:val="00605C11"/>
    <w:rsid w:val="00605D2C"/>
    <w:rsid w:val="00605ED7"/>
    <w:rsid w:val="00606066"/>
    <w:rsid w:val="006063A0"/>
    <w:rsid w:val="006064AA"/>
    <w:rsid w:val="0060650B"/>
    <w:rsid w:val="006066A6"/>
    <w:rsid w:val="00606901"/>
    <w:rsid w:val="00606920"/>
    <w:rsid w:val="0060692C"/>
    <w:rsid w:val="006069CA"/>
    <w:rsid w:val="00606A6F"/>
    <w:rsid w:val="00606B32"/>
    <w:rsid w:val="00606C36"/>
    <w:rsid w:val="00606D5C"/>
    <w:rsid w:val="00606D77"/>
    <w:rsid w:val="00606E5D"/>
    <w:rsid w:val="00606E62"/>
    <w:rsid w:val="00606E8B"/>
    <w:rsid w:val="006071F4"/>
    <w:rsid w:val="00607398"/>
    <w:rsid w:val="0060742D"/>
    <w:rsid w:val="006074A8"/>
    <w:rsid w:val="006076E6"/>
    <w:rsid w:val="0060796D"/>
    <w:rsid w:val="00607AF7"/>
    <w:rsid w:val="00607B43"/>
    <w:rsid w:val="00607C32"/>
    <w:rsid w:val="00607F59"/>
    <w:rsid w:val="00607FAF"/>
    <w:rsid w:val="00610110"/>
    <w:rsid w:val="006101B1"/>
    <w:rsid w:val="006103F5"/>
    <w:rsid w:val="00610418"/>
    <w:rsid w:val="00610920"/>
    <w:rsid w:val="006109A8"/>
    <w:rsid w:val="00610A0A"/>
    <w:rsid w:val="00610A6F"/>
    <w:rsid w:val="00610B64"/>
    <w:rsid w:val="00610BAA"/>
    <w:rsid w:val="00610C3C"/>
    <w:rsid w:val="00610C57"/>
    <w:rsid w:val="00610F4A"/>
    <w:rsid w:val="00611035"/>
    <w:rsid w:val="0061109E"/>
    <w:rsid w:val="006110C6"/>
    <w:rsid w:val="00611242"/>
    <w:rsid w:val="0061126A"/>
    <w:rsid w:val="00611340"/>
    <w:rsid w:val="00611765"/>
    <w:rsid w:val="006117ED"/>
    <w:rsid w:val="00611A20"/>
    <w:rsid w:val="00611D5B"/>
    <w:rsid w:val="00611F82"/>
    <w:rsid w:val="00612045"/>
    <w:rsid w:val="00612072"/>
    <w:rsid w:val="006121C3"/>
    <w:rsid w:val="006121C9"/>
    <w:rsid w:val="00612251"/>
    <w:rsid w:val="006123CE"/>
    <w:rsid w:val="00612411"/>
    <w:rsid w:val="006124B2"/>
    <w:rsid w:val="00612B5A"/>
    <w:rsid w:val="00612C40"/>
    <w:rsid w:val="00612CE7"/>
    <w:rsid w:val="006130BC"/>
    <w:rsid w:val="006133AD"/>
    <w:rsid w:val="00613426"/>
    <w:rsid w:val="00613626"/>
    <w:rsid w:val="0061372C"/>
    <w:rsid w:val="0061378D"/>
    <w:rsid w:val="0061385F"/>
    <w:rsid w:val="00613953"/>
    <w:rsid w:val="00613A56"/>
    <w:rsid w:val="00613AB2"/>
    <w:rsid w:val="00613B76"/>
    <w:rsid w:val="00613B7C"/>
    <w:rsid w:val="00613C3D"/>
    <w:rsid w:val="00613E0A"/>
    <w:rsid w:val="00613E22"/>
    <w:rsid w:val="00614243"/>
    <w:rsid w:val="00614269"/>
    <w:rsid w:val="006142D3"/>
    <w:rsid w:val="0061432F"/>
    <w:rsid w:val="0061443C"/>
    <w:rsid w:val="0061450B"/>
    <w:rsid w:val="0061455B"/>
    <w:rsid w:val="0061464D"/>
    <w:rsid w:val="00614667"/>
    <w:rsid w:val="0061472D"/>
    <w:rsid w:val="0061479C"/>
    <w:rsid w:val="00614967"/>
    <w:rsid w:val="00614A58"/>
    <w:rsid w:val="00614AF0"/>
    <w:rsid w:val="00614AF9"/>
    <w:rsid w:val="00614B52"/>
    <w:rsid w:val="00614C32"/>
    <w:rsid w:val="00614C79"/>
    <w:rsid w:val="00614E57"/>
    <w:rsid w:val="00614E68"/>
    <w:rsid w:val="00615012"/>
    <w:rsid w:val="00615080"/>
    <w:rsid w:val="0061521C"/>
    <w:rsid w:val="00615497"/>
    <w:rsid w:val="0061557A"/>
    <w:rsid w:val="006155E2"/>
    <w:rsid w:val="00615660"/>
    <w:rsid w:val="0061567E"/>
    <w:rsid w:val="006156F4"/>
    <w:rsid w:val="006157DF"/>
    <w:rsid w:val="006158AD"/>
    <w:rsid w:val="006159C2"/>
    <w:rsid w:val="00615B97"/>
    <w:rsid w:val="00615C56"/>
    <w:rsid w:val="00615D61"/>
    <w:rsid w:val="00615E37"/>
    <w:rsid w:val="00615E71"/>
    <w:rsid w:val="00615F9D"/>
    <w:rsid w:val="0061605A"/>
    <w:rsid w:val="0061615D"/>
    <w:rsid w:val="006161CC"/>
    <w:rsid w:val="006161D5"/>
    <w:rsid w:val="006165B0"/>
    <w:rsid w:val="006166F1"/>
    <w:rsid w:val="00616744"/>
    <w:rsid w:val="0061683B"/>
    <w:rsid w:val="00617026"/>
    <w:rsid w:val="006170A1"/>
    <w:rsid w:val="0061710D"/>
    <w:rsid w:val="00617145"/>
    <w:rsid w:val="0061721B"/>
    <w:rsid w:val="00617243"/>
    <w:rsid w:val="006172DE"/>
    <w:rsid w:val="006172F4"/>
    <w:rsid w:val="006174E7"/>
    <w:rsid w:val="00617574"/>
    <w:rsid w:val="00617658"/>
    <w:rsid w:val="0061767A"/>
    <w:rsid w:val="00617938"/>
    <w:rsid w:val="00617B48"/>
    <w:rsid w:val="00617B95"/>
    <w:rsid w:val="00617FF8"/>
    <w:rsid w:val="0062006B"/>
    <w:rsid w:val="00620285"/>
    <w:rsid w:val="00620300"/>
    <w:rsid w:val="0062053D"/>
    <w:rsid w:val="00620572"/>
    <w:rsid w:val="0062062D"/>
    <w:rsid w:val="00620814"/>
    <w:rsid w:val="00620846"/>
    <w:rsid w:val="00620B66"/>
    <w:rsid w:val="00620D9E"/>
    <w:rsid w:val="00620E3A"/>
    <w:rsid w:val="00620EB9"/>
    <w:rsid w:val="00620F08"/>
    <w:rsid w:val="00620F27"/>
    <w:rsid w:val="00620F38"/>
    <w:rsid w:val="0062101F"/>
    <w:rsid w:val="0062106D"/>
    <w:rsid w:val="00621221"/>
    <w:rsid w:val="0062132C"/>
    <w:rsid w:val="00621420"/>
    <w:rsid w:val="0062166E"/>
    <w:rsid w:val="00621702"/>
    <w:rsid w:val="00621AFF"/>
    <w:rsid w:val="00621BDD"/>
    <w:rsid w:val="00621FA3"/>
    <w:rsid w:val="00621FD4"/>
    <w:rsid w:val="00622003"/>
    <w:rsid w:val="00622422"/>
    <w:rsid w:val="00622466"/>
    <w:rsid w:val="00622494"/>
    <w:rsid w:val="00622540"/>
    <w:rsid w:val="006226C8"/>
    <w:rsid w:val="00622790"/>
    <w:rsid w:val="0062279B"/>
    <w:rsid w:val="006229B6"/>
    <w:rsid w:val="00622A2E"/>
    <w:rsid w:val="00622A8D"/>
    <w:rsid w:val="00622C68"/>
    <w:rsid w:val="00622D15"/>
    <w:rsid w:val="00622FB9"/>
    <w:rsid w:val="00623250"/>
    <w:rsid w:val="006232D7"/>
    <w:rsid w:val="00623453"/>
    <w:rsid w:val="0062358F"/>
    <w:rsid w:val="006235B3"/>
    <w:rsid w:val="00623616"/>
    <w:rsid w:val="00623766"/>
    <w:rsid w:val="006239E5"/>
    <w:rsid w:val="006239F2"/>
    <w:rsid w:val="00623C41"/>
    <w:rsid w:val="00623CB5"/>
    <w:rsid w:val="00623D40"/>
    <w:rsid w:val="00623E75"/>
    <w:rsid w:val="00623EBE"/>
    <w:rsid w:val="00624268"/>
    <w:rsid w:val="0062437B"/>
    <w:rsid w:val="00624429"/>
    <w:rsid w:val="0062448E"/>
    <w:rsid w:val="00624771"/>
    <w:rsid w:val="0062477F"/>
    <w:rsid w:val="00624830"/>
    <w:rsid w:val="00624850"/>
    <w:rsid w:val="00624B69"/>
    <w:rsid w:val="00624BD7"/>
    <w:rsid w:val="00624BEA"/>
    <w:rsid w:val="00625030"/>
    <w:rsid w:val="0062505F"/>
    <w:rsid w:val="0062522B"/>
    <w:rsid w:val="006254C9"/>
    <w:rsid w:val="0062560F"/>
    <w:rsid w:val="006256B4"/>
    <w:rsid w:val="0062570A"/>
    <w:rsid w:val="00625735"/>
    <w:rsid w:val="006257B7"/>
    <w:rsid w:val="006257DF"/>
    <w:rsid w:val="0062581B"/>
    <w:rsid w:val="006259F2"/>
    <w:rsid w:val="006259F4"/>
    <w:rsid w:val="00625BE7"/>
    <w:rsid w:val="00625CA1"/>
    <w:rsid w:val="00625EAD"/>
    <w:rsid w:val="00625EDD"/>
    <w:rsid w:val="00625FD0"/>
    <w:rsid w:val="00626360"/>
    <w:rsid w:val="0062655C"/>
    <w:rsid w:val="00626675"/>
    <w:rsid w:val="006268BE"/>
    <w:rsid w:val="006268CE"/>
    <w:rsid w:val="006268D3"/>
    <w:rsid w:val="00626A01"/>
    <w:rsid w:val="00626B22"/>
    <w:rsid w:val="00626B3B"/>
    <w:rsid w:val="00626C07"/>
    <w:rsid w:val="00626C98"/>
    <w:rsid w:val="00626CE2"/>
    <w:rsid w:val="00626E4C"/>
    <w:rsid w:val="00626E94"/>
    <w:rsid w:val="00626ECC"/>
    <w:rsid w:val="00626EE3"/>
    <w:rsid w:val="00627125"/>
    <w:rsid w:val="00627237"/>
    <w:rsid w:val="00627283"/>
    <w:rsid w:val="00627472"/>
    <w:rsid w:val="00627569"/>
    <w:rsid w:val="00627732"/>
    <w:rsid w:val="00627746"/>
    <w:rsid w:val="0062787E"/>
    <w:rsid w:val="00627BA5"/>
    <w:rsid w:val="00627BF6"/>
    <w:rsid w:val="00627CC3"/>
    <w:rsid w:val="00627E03"/>
    <w:rsid w:val="00627F5E"/>
    <w:rsid w:val="00630174"/>
    <w:rsid w:val="006305E5"/>
    <w:rsid w:val="006306AB"/>
    <w:rsid w:val="00630804"/>
    <w:rsid w:val="00630962"/>
    <w:rsid w:val="00630A9F"/>
    <w:rsid w:val="00630B66"/>
    <w:rsid w:val="00630B86"/>
    <w:rsid w:val="00630BFC"/>
    <w:rsid w:val="00630C37"/>
    <w:rsid w:val="00630C6E"/>
    <w:rsid w:val="00630E64"/>
    <w:rsid w:val="00630F14"/>
    <w:rsid w:val="00630F5D"/>
    <w:rsid w:val="0063100F"/>
    <w:rsid w:val="006311FA"/>
    <w:rsid w:val="0063133E"/>
    <w:rsid w:val="006315AA"/>
    <w:rsid w:val="00631670"/>
    <w:rsid w:val="00631914"/>
    <w:rsid w:val="00631C6F"/>
    <w:rsid w:val="00631E56"/>
    <w:rsid w:val="0063215D"/>
    <w:rsid w:val="0063217A"/>
    <w:rsid w:val="00632183"/>
    <w:rsid w:val="00632246"/>
    <w:rsid w:val="006322A9"/>
    <w:rsid w:val="00632360"/>
    <w:rsid w:val="006323AF"/>
    <w:rsid w:val="00632419"/>
    <w:rsid w:val="006325AD"/>
    <w:rsid w:val="006326C6"/>
    <w:rsid w:val="00632762"/>
    <w:rsid w:val="00632805"/>
    <w:rsid w:val="00632A88"/>
    <w:rsid w:val="00632C0A"/>
    <w:rsid w:val="00632C1E"/>
    <w:rsid w:val="00632C2B"/>
    <w:rsid w:val="00632E1C"/>
    <w:rsid w:val="00632E50"/>
    <w:rsid w:val="00632E98"/>
    <w:rsid w:val="00632EF1"/>
    <w:rsid w:val="00633051"/>
    <w:rsid w:val="006330C4"/>
    <w:rsid w:val="00633232"/>
    <w:rsid w:val="0063327C"/>
    <w:rsid w:val="006332A5"/>
    <w:rsid w:val="0063359C"/>
    <w:rsid w:val="0063362E"/>
    <w:rsid w:val="006336BC"/>
    <w:rsid w:val="0063375C"/>
    <w:rsid w:val="00633771"/>
    <w:rsid w:val="0063395B"/>
    <w:rsid w:val="00633C80"/>
    <w:rsid w:val="00633CF1"/>
    <w:rsid w:val="00633D77"/>
    <w:rsid w:val="00633DF8"/>
    <w:rsid w:val="00634087"/>
    <w:rsid w:val="006340BB"/>
    <w:rsid w:val="006340CB"/>
    <w:rsid w:val="006341AB"/>
    <w:rsid w:val="006341B6"/>
    <w:rsid w:val="006343EF"/>
    <w:rsid w:val="006344BA"/>
    <w:rsid w:val="00634573"/>
    <w:rsid w:val="00634642"/>
    <w:rsid w:val="0063478C"/>
    <w:rsid w:val="006347E0"/>
    <w:rsid w:val="00634908"/>
    <w:rsid w:val="0063492A"/>
    <w:rsid w:val="00634A20"/>
    <w:rsid w:val="00634B20"/>
    <w:rsid w:val="00634C8F"/>
    <w:rsid w:val="00634CF9"/>
    <w:rsid w:val="00634DCA"/>
    <w:rsid w:val="00634E91"/>
    <w:rsid w:val="00634FB8"/>
    <w:rsid w:val="00634FC1"/>
    <w:rsid w:val="0063526A"/>
    <w:rsid w:val="006352B3"/>
    <w:rsid w:val="006352EB"/>
    <w:rsid w:val="0063539B"/>
    <w:rsid w:val="006353B4"/>
    <w:rsid w:val="006353E9"/>
    <w:rsid w:val="0063541D"/>
    <w:rsid w:val="00635506"/>
    <w:rsid w:val="00635571"/>
    <w:rsid w:val="0063565D"/>
    <w:rsid w:val="006356CD"/>
    <w:rsid w:val="00635700"/>
    <w:rsid w:val="00635A49"/>
    <w:rsid w:val="00635B34"/>
    <w:rsid w:val="00635BC8"/>
    <w:rsid w:val="00635EF1"/>
    <w:rsid w:val="00635F1C"/>
    <w:rsid w:val="0063618E"/>
    <w:rsid w:val="00636308"/>
    <w:rsid w:val="0063639C"/>
    <w:rsid w:val="00636500"/>
    <w:rsid w:val="0063650F"/>
    <w:rsid w:val="006367C4"/>
    <w:rsid w:val="0063692E"/>
    <w:rsid w:val="00636AA6"/>
    <w:rsid w:val="00636AA9"/>
    <w:rsid w:val="00636AB5"/>
    <w:rsid w:val="00636B2C"/>
    <w:rsid w:val="00636CB1"/>
    <w:rsid w:val="00636EB9"/>
    <w:rsid w:val="00636EC9"/>
    <w:rsid w:val="00636F37"/>
    <w:rsid w:val="006370A2"/>
    <w:rsid w:val="0063711E"/>
    <w:rsid w:val="0063716D"/>
    <w:rsid w:val="00637303"/>
    <w:rsid w:val="006373DE"/>
    <w:rsid w:val="006374E4"/>
    <w:rsid w:val="00637610"/>
    <w:rsid w:val="00637727"/>
    <w:rsid w:val="0063787E"/>
    <w:rsid w:val="00637A38"/>
    <w:rsid w:val="00637AEB"/>
    <w:rsid w:val="00637B9D"/>
    <w:rsid w:val="00637FA1"/>
    <w:rsid w:val="00637FCF"/>
    <w:rsid w:val="00640009"/>
    <w:rsid w:val="006401ED"/>
    <w:rsid w:val="006402A7"/>
    <w:rsid w:val="006402E3"/>
    <w:rsid w:val="006402E5"/>
    <w:rsid w:val="006403CB"/>
    <w:rsid w:val="006404FE"/>
    <w:rsid w:val="0064051C"/>
    <w:rsid w:val="0064053D"/>
    <w:rsid w:val="006406D4"/>
    <w:rsid w:val="006406EF"/>
    <w:rsid w:val="006407A4"/>
    <w:rsid w:val="00640AD3"/>
    <w:rsid w:val="00640BBC"/>
    <w:rsid w:val="00640BEE"/>
    <w:rsid w:val="00640D7D"/>
    <w:rsid w:val="00640EA9"/>
    <w:rsid w:val="00640ECA"/>
    <w:rsid w:val="00640FF2"/>
    <w:rsid w:val="0064100A"/>
    <w:rsid w:val="006410A4"/>
    <w:rsid w:val="006415AC"/>
    <w:rsid w:val="00641701"/>
    <w:rsid w:val="00641718"/>
    <w:rsid w:val="006417A5"/>
    <w:rsid w:val="00641938"/>
    <w:rsid w:val="006419DD"/>
    <w:rsid w:val="00641AF0"/>
    <w:rsid w:val="00641D28"/>
    <w:rsid w:val="00641DCC"/>
    <w:rsid w:val="00641F13"/>
    <w:rsid w:val="00641F6B"/>
    <w:rsid w:val="00642005"/>
    <w:rsid w:val="0064205D"/>
    <w:rsid w:val="00642241"/>
    <w:rsid w:val="0064225C"/>
    <w:rsid w:val="006422BE"/>
    <w:rsid w:val="006423E8"/>
    <w:rsid w:val="006423F9"/>
    <w:rsid w:val="006423FC"/>
    <w:rsid w:val="00642481"/>
    <w:rsid w:val="00642491"/>
    <w:rsid w:val="0064267A"/>
    <w:rsid w:val="00642775"/>
    <w:rsid w:val="00642801"/>
    <w:rsid w:val="00642895"/>
    <w:rsid w:val="00642AA8"/>
    <w:rsid w:val="00642BE0"/>
    <w:rsid w:val="00643112"/>
    <w:rsid w:val="00643178"/>
    <w:rsid w:val="00643245"/>
    <w:rsid w:val="00643270"/>
    <w:rsid w:val="00643314"/>
    <w:rsid w:val="0064362E"/>
    <w:rsid w:val="0064376B"/>
    <w:rsid w:val="0064391F"/>
    <w:rsid w:val="006439C3"/>
    <w:rsid w:val="00643B27"/>
    <w:rsid w:val="00643B38"/>
    <w:rsid w:val="00643B53"/>
    <w:rsid w:val="00643E98"/>
    <w:rsid w:val="00643ECE"/>
    <w:rsid w:val="00643EE1"/>
    <w:rsid w:val="006440D2"/>
    <w:rsid w:val="00644135"/>
    <w:rsid w:val="00644340"/>
    <w:rsid w:val="00644434"/>
    <w:rsid w:val="006444B4"/>
    <w:rsid w:val="006444F1"/>
    <w:rsid w:val="0064486F"/>
    <w:rsid w:val="0064489C"/>
    <w:rsid w:val="006449E4"/>
    <w:rsid w:val="00644B31"/>
    <w:rsid w:val="00644B32"/>
    <w:rsid w:val="00644B4C"/>
    <w:rsid w:val="00644D4D"/>
    <w:rsid w:val="00644EF2"/>
    <w:rsid w:val="00644F80"/>
    <w:rsid w:val="00644FBD"/>
    <w:rsid w:val="00645055"/>
    <w:rsid w:val="00645179"/>
    <w:rsid w:val="006452A5"/>
    <w:rsid w:val="0064553D"/>
    <w:rsid w:val="006455B3"/>
    <w:rsid w:val="0064562F"/>
    <w:rsid w:val="006459A0"/>
    <w:rsid w:val="00645A6B"/>
    <w:rsid w:val="00645CA9"/>
    <w:rsid w:val="00645DAE"/>
    <w:rsid w:val="00645DFB"/>
    <w:rsid w:val="0064616B"/>
    <w:rsid w:val="00646178"/>
    <w:rsid w:val="006461A4"/>
    <w:rsid w:val="00646264"/>
    <w:rsid w:val="00646445"/>
    <w:rsid w:val="006467C6"/>
    <w:rsid w:val="006468B5"/>
    <w:rsid w:val="00646AA7"/>
    <w:rsid w:val="00646BC4"/>
    <w:rsid w:val="00646C8E"/>
    <w:rsid w:val="00646D68"/>
    <w:rsid w:val="00646EC3"/>
    <w:rsid w:val="00646F7A"/>
    <w:rsid w:val="00646FE1"/>
    <w:rsid w:val="00647041"/>
    <w:rsid w:val="006471EE"/>
    <w:rsid w:val="00647219"/>
    <w:rsid w:val="006472F2"/>
    <w:rsid w:val="00647574"/>
    <w:rsid w:val="00647598"/>
    <w:rsid w:val="00647681"/>
    <w:rsid w:val="00647693"/>
    <w:rsid w:val="006476C5"/>
    <w:rsid w:val="00647A60"/>
    <w:rsid w:val="00647C32"/>
    <w:rsid w:val="00647CAB"/>
    <w:rsid w:val="00647DC4"/>
    <w:rsid w:val="006500AD"/>
    <w:rsid w:val="006501D1"/>
    <w:rsid w:val="006502F3"/>
    <w:rsid w:val="00650462"/>
    <w:rsid w:val="00650482"/>
    <w:rsid w:val="00650852"/>
    <w:rsid w:val="0065086A"/>
    <w:rsid w:val="00650905"/>
    <w:rsid w:val="00650AED"/>
    <w:rsid w:val="00650B41"/>
    <w:rsid w:val="00650D26"/>
    <w:rsid w:val="00650E46"/>
    <w:rsid w:val="00651235"/>
    <w:rsid w:val="00651313"/>
    <w:rsid w:val="006513D8"/>
    <w:rsid w:val="00651455"/>
    <w:rsid w:val="0065147B"/>
    <w:rsid w:val="006514D9"/>
    <w:rsid w:val="006516D3"/>
    <w:rsid w:val="00651716"/>
    <w:rsid w:val="0065174C"/>
    <w:rsid w:val="006517C2"/>
    <w:rsid w:val="00651851"/>
    <w:rsid w:val="00651860"/>
    <w:rsid w:val="006518DB"/>
    <w:rsid w:val="006518E1"/>
    <w:rsid w:val="00651A99"/>
    <w:rsid w:val="00651AC8"/>
    <w:rsid w:val="00652084"/>
    <w:rsid w:val="006520C6"/>
    <w:rsid w:val="006523C7"/>
    <w:rsid w:val="00652635"/>
    <w:rsid w:val="006526C0"/>
    <w:rsid w:val="006526C6"/>
    <w:rsid w:val="006526CB"/>
    <w:rsid w:val="006528F0"/>
    <w:rsid w:val="00652A92"/>
    <w:rsid w:val="00652B44"/>
    <w:rsid w:val="00652F0C"/>
    <w:rsid w:val="006531A3"/>
    <w:rsid w:val="00653579"/>
    <w:rsid w:val="00653588"/>
    <w:rsid w:val="0065358E"/>
    <w:rsid w:val="0065366C"/>
    <w:rsid w:val="00653784"/>
    <w:rsid w:val="00653809"/>
    <w:rsid w:val="006538C7"/>
    <w:rsid w:val="0065391B"/>
    <w:rsid w:val="006539B8"/>
    <w:rsid w:val="00653ADF"/>
    <w:rsid w:val="00653D6C"/>
    <w:rsid w:val="00653D7C"/>
    <w:rsid w:val="00653EC9"/>
    <w:rsid w:val="00653F07"/>
    <w:rsid w:val="00653F8E"/>
    <w:rsid w:val="006540C5"/>
    <w:rsid w:val="006540DF"/>
    <w:rsid w:val="006542E9"/>
    <w:rsid w:val="00654371"/>
    <w:rsid w:val="006543C9"/>
    <w:rsid w:val="00654503"/>
    <w:rsid w:val="00654538"/>
    <w:rsid w:val="00654664"/>
    <w:rsid w:val="00654690"/>
    <w:rsid w:val="0065490C"/>
    <w:rsid w:val="0065494E"/>
    <w:rsid w:val="00654954"/>
    <w:rsid w:val="00654A27"/>
    <w:rsid w:val="00654AA9"/>
    <w:rsid w:val="00654B1B"/>
    <w:rsid w:val="00654EC2"/>
    <w:rsid w:val="00654F2F"/>
    <w:rsid w:val="0065507E"/>
    <w:rsid w:val="006550D8"/>
    <w:rsid w:val="006553F1"/>
    <w:rsid w:val="0065559E"/>
    <w:rsid w:val="00655619"/>
    <w:rsid w:val="00655737"/>
    <w:rsid w:val="006557DD"/>
    <w:rsid w:val="006558EB"/>
    <w:rsid w:val="00655B1C"/>
    <w:rsid w:val="00655B31"/>
    <w:rsid w:val="00655B37"/>
    <w:rsid w:val="00655C10"/>
    <w:rsid w:val="00655D92"/>
    <w:rsid w:val="00655DAB"/>
    <w:rsid w:val="00655ED5"/>
    <w:rsid w:val="00655F19"/>
    <w:rsid w:val="0065619B"/>
    <w:rsid w:val="00656238"/>
    <w:rsid w:val="006562D3"/>
    <w:rsid w:val="006563C8"/>
    <w:rsid w:val="0065656C"/>
    <w:rsid w:val="006565A1"/>
    <w:rsid w:val="00656663"/>
    <w:rsid w:val="006567E3"/>
    <w:rsid w:val="006568C7"/>
    <w:rsid w:val="00656A60"/>
    <w:rsid w:val="006570A0"/>
    <w:rsid w:val="006570BD"/>
    <w:rsid w:val="006571AA"/>
    <w:rsid w:val="00657200"/>
    <w:rsid w:val="00657211"/>
    <w:rsid w:val="0065731A"/>
    <w:rsid w:val="00657614"/>
    <w:rsid w:val="00657678"/>
    <w:rsid w:val="0065786A"/>
    <w:rsid w:val="006579BA"/>
    <w:rsid w:val="00657C86"/>
    <w:rsid w:val="00657DC7"/>
    <w:rsid w:val="00657FCB"/>
    <w:rsid w:val="0066013C"/>
    <w:rsid w:val="00660302"/>
    <w:rsid w:val="0066034B"/>
    <w:rsid w:val="0066046C"/>
    <w:rsid w:val="00660544"/>
    <w:rsid w:val="006605CD"/>
    <w:rsid w:val="006607D5"/>
    <w:rsid w:val="00660881"/>
    <w:rsid w:val="00660909"/>
    <w:rsid w:val="0066092C"/>
    <w:rsid w:val="00660A5D"/>
    <w:rsid w:val="00660C5F"/>
    <w:rsid w:val="00660F17"/>
    <w:rsid w:val="00661012"/>
    <w:rsid w:val="00661107"/>
    <w:rsid w:val="00661446"/>
    <w:rsid w:val="00661701"/>
    <w:rsid w:val="00661759"/>
    <w:rsid w:val="00661814"/>
    <w:rsid w:val="00661CC5"/>
    <w:rsid w:val="00661FA5"/>
    <w:rsid w:val="00662297"/>
    <w:rsid w:val="00662361"/>
    <w:rsid w:val="00662498"/>
    <w:rsid w:val="00662762"/>
    <w:rsid w:val="00662810"/>
    <w:rsid w:val="00662863"/>
    <w:rsid w:val="00662AEA"/>
    <w:rsid w:val="00662BE0"/>
    <w:rsid w:val="00662BE7"/>
    <w:rsid w:val="00662C41"/>
    <w:rsid w:val="00662CF1"/>
    <w:rsid w:val="00662CFD"/>
    <w:rsid w:val="00662E5A"/>
    <w:rsid w:val="00662F78"/>
    <w:rsid w:val="00663033"/>
    <w:rsid w:val="006630B5"/>
    <w:rsid w:val="0066313A"/>
    <w:rsid w:val="006632EB"/>
    <w:rsid w:val="00663437"/>
    <w:rsid w:val="00663582"/>
    <w:rsid w:val="006635CB"/>
    <w:rsid w:val="0066365C"/>
    <w:rsid w:val="006636AB"/>
    <w:rsid w:val="00663A38"/>
    <w:rsid w:val="00663B7B"/>
    <w:rsid w:val="00663B99"/>
    <w:rsid w:val="00663C19"/>
    <w:rsid w:val="00663EF7"/>
    <w:rsid w:val="00663F30"/>
    <w:rsid w:val="0066418D"/>
    <w:rsid w:val="00664271"/>
    <w:rsid w:val="006642FE"/>
    <w:rsid w:val="006644E0"/>
    <w:rsid w:val="00664512"/>
    <w:rsid w:val="00664553"/>
    <w:rsid w:val="006645BE"/>
    <w:rsid w:val="006646D0"/>
    <w:rsid w:val="006646EF"/>
    <w:rsid w:val="00664797"/>
    <w:rsid w:val="00664B48"/>
    <w:rsid w:val="00664DFF"/>
    <w:rsid w:val="00665015"/>
    <w:rsid w:val="00665059"/>
    <w:rsid w:val="006650AA"/>
    <w:rsid w:val="006652B3"/>
    <w:rsid w:val="0066538B"/>
    <w:rsid w:val="00665554"/>
    <w:rsid w:val="0066558D"/>
    <w:rsid w:val="006655B5"/>
    <w:rsid w:val="006656BA"/>
    <w:rsid w:val="00665983"/>
    <w:rsid w:val="00665A31"/>
    <w:rsid w:val="00665D25"/>
    <w:rsid w:val="00665F99"/>
    <w:rsid w:val="0066602A"/>
    <w:rsid w:val="00666043"/>
    <w:rsid w:val="006661D3"/>
    <w:rsid w:val="006661D7"/>
    <w:rsid w:val="0066644D"/>
    <w:rsid w:val="00666476"/>
    <w:rsid w:val="0066674B"/>
    <w:rsid w:val="006667AD"/>
    <w:rsid w:val="00666880"/>
    <w:rsid w:val="006669A8"/>
    <w:rsid w:val="00666EA3"/>
    <w:rsid w:val="00666F0B"/>
    <w:rsid w:val="00666F94"/>
    <w:rsid w:val="0066700A"/>
    <w:rsid w:val="00667040"/>
    <w:rsid w:val="00667063"/>
    <w:rsid w:val="0066721B"/>
    <w:rsid w:val="00667296"/>
    <w:rsid w:val="00667400"/>
    <w:rsid w:val="006675FD"/>
    <w:rsid w:val="0066761F"/>
    <w:rsid w:val="00667720"/>
    <w:rsid w:val="006678D7"/>
    <w:rsid w:val="006678DC"/>
    <w:rsid w:val="00667B86"/>
    <w:rsid w:val="00667C52"/>
    <w:rsid w:val="00667D39"/>
    <w:rsid w:val="00667DBB"/>
    <w:rsid w:val="00667E2A"/>
    <w:rsid w:val="00667E39"/>
    <w:rsid w:val="00670011"/>
    <w:rsid w:val="00670023"/>
    <w:rsid w:val="006701CB"/>
    <w:rsid w:val="0067021C"/>
    <w:rsid w:val="00670337"/>
    <w:rsid w:val="0067037D"/>
    <w:rsid w:val="00670498"/>
    <w:rsid w:val="0067062C"/>
    <w:rsid w:val="006708F6"/>
    <w:rsid w:val="00670B9B"/>
    <w:rsid w:val="00670BFA"/>
    <w:rsid w:val="00670D9C"/>
    <w:rsid w:val="00670E59"/>
    <w:rsid w:val="00670F21"/>
    <w:rsid w:val="00670F8D"/>
    <w:rsid w:val="0067115A"/>
    <w:rsid w:val="0067120A"/>
    <w:rsid w:val="00671565"/>
    <w:rsid w:val="006715AC"/>
    <w:rsid w:val="00671776"/>
    <w:rsid w:val="0067177D"/>
    <w:rsid w:val="006717F3"/>
    <w:rsid w:val="00671C22"/>
    <w:rsid w:val="00671E47"/>
    <w:rsid w:val="00671E4B"/>
    <w:rsid w:val="00672010"/>
    <w:rsid w:val="00672049"/>
    <w:rsid w:val="006720E4"/>
    <w:rsid w:val="00672168"/>
    <w:rsid w:val="0067219B"/>
    <w:rsid w:val="006721AA"/>
    <w:rsid w:val="0067279B"/>
    <w:rsid w:val="00672987"/>
    <w:rsid w:val="00672DC2"/>
    <w:rsid w:val="00672F50"/>
    <w:rsid w:val="00673047"/>
    <w:rsid w:val="00673146"/>
    <w:rsid w:val="00673188"/>
    <w:rsid w:val="0067359B"/>
    <w:rsid w:val="0067363F"/>
    <w:rsid w:val="0067364C"/>
    <w:rsid w:val="00673662"/>
    <w:rsid w:val="00673908"/>
    <w:rsid w:val="00673C28"/>
    <w:rsid w:val="00673C72"/>
    <w:rsid w:val="00673CC0"/>
    <w:rsid w:val="00673DA7"/>
    <w:rsid w:val="006743DF"/>
    <w:rsid w:val="006743EE"/>
    <w:rsid w:val="00674442"/>
    <w:rsid w:val="006744D7"/>
    <w:rsid w:val="00674585"/>
    <w:rsid w:val="006746D1"/>
    <w:rsid w:val="00674840"/>
    <w:rsid w:val="00674891"/>
    <w:rsid w:val="006749C8"/>
    <w:rsid w:val="00674BEF"/>
    <w:rsid w:val="00674C9E"/>
    <w:rsid w:val="00674DAD"/>
    <w:rsid w:val="00674F00"/>
    <w:rsid w:val="00674FA9"/>
    <w:rsid w:val="0067526A"/>
    <w:rsid w:val="00675342"/>
    <w:rsid w:val="006753C9"/>
    <w:rsid w:val="006753CB"/>
    <w:rsid w:val="00675427"/>
    <w:rsid w:val="0067548B"/>
    <w:rsid w:val="006754C3"/>
    <w:rsid w:val="00675541"/>
    <w:rsid w:val="006756F4"/>
    <w:rsid w:val="0067572D"/>
    <w:rsid w:val="00675798"/>
    <w:rsid w:val="00675847"/>
    <w:rsid w:val="006758FF"/>
    <w:rsid w:val="00675B6D"/>
    <w:rsid w:val="00675B83"/>
    <w:rsid w:val="00675BF5"/>
    <w:rsid w:val="00675F0B"/>
    <w:rsid w:val="00676068"/>
    <w:rsid w:val="0067613D"/>
    <w:rsid w:val="006761D4"/>
    <w:rsid w:val="00676227"/>
    <w:rsid w:val="006763A6"/>
    <w:rsid w:val="00676659"/>
    <w:rsid w:val="006769B3"/>
    <w:rsid w:val="006769F8"/>
    <w:rsid w:val="00676AD7"/>
    <w:rsid w:val="00676B38"/>
    <w:rsid w:val="00676B52"/>
    <w:rsid w:val="00676D08"/>
    <w:rsid w:val="00676D2F"/>
    <w:rsid w:val="00676D7B"/>
    <w:rsid w:val="00676DFC"/>
    <w:rsid w:val="00676F0A"/>
    <w:rsid w:val="00676F84"/>
    <w:rsid w:val="00677049"/>
    <w:rsid w:val="0067711F"/>
    <w:rsid w:val="00677141"/>
    <w:rsid w:val="00677277"/>
    <w:rsid w:val="006773B3"/>
    <w:rsid w:val="0067797A"/>
    <w:rsid w:val="00677A44"/>
    <w:rsid w:val="00677C0E"/>
    <w:rsid w:val="00677C46"/>
    <w:rsid w:val="00677CBC"/>
    <w:rsid w:val="00677D06"/>
    <w:rsid w:val="00680186"/>
    <w:rsid w:val="0068020D"/>
    <w:rsid w:val="006803AC"/>
    <w:rsid w:val="006804CA"/>
    <w:rsid w:val="006804CD"/>
    <w:rsid w:val="00680851"/>
    <w:rsid w:val="00680884"/>
    <w:rsid w:val="00680B2E"/>
    <w:rsid w:val="00680CC4"/>
    <w:rsid w:val="00680CC9"/>
    <w:rsid w:val="00680E92"/>
    <w:rsid w:val="0068109E"/>
    <w:rsid w:val="00681179"/>
    <w:rsid w:val="006812D6"/>
    <w:rsid w:val="00681317"/>
    <w:rsid w:val="006813C4"/>
    <w:rsid w:val="0068149F"/>
    <w:rsid w:val="00681586"/>
    <w:rsid w:val="006816BE"/>
    <w:rsid w:val="006817C2"/>
    <w:rsid w:val="00681800"/>
    <w:rsid w:val="00681832"/>
    <w:rsid w:val="0068198D"/>
    <w:rsid w:val="00681A7C"/>
    <w:rsid w:val="00681B49"/>
    <w:rsid w:val="00681C45"/>
    <w:rsid w:val="00681D16"/>
    <w:rsid w:val="0068202C"/>
    <w:rsid w:val="00682075"/>
    <w:rsid w:val="00682094"/>
    <w:rsid w:val="00682138"/>
    <w:rsid w:val="0068214C"/>
    <w:rsid w:val="006821EE"/>
    <w:rsid w:val="0068226E"/>
    <w:rsid w:val="00682276"/>
    <w:rsid w:val="00682507"/>
    <w:rsid w:val="0068253D"/>
    <w:rsid w:val="00682831"/>
    <w:rsid w:val="0068284E"/>
    <w:rsid w:val="00682C5A"/>
    <w:rsid w:val="00682CA7"/>
    <w:rsid w:val="00682CFB"/>
    <w:rsid w:val="00682DC0"/>
    <w:rsid w:val="00683054"/>
    <w:rsid w:val="0068316B"/>
    <w:rsid w:val="00683330"/>
    <w:rsid w:val="006833AA"/>
    <w:rsid w:val="00683471"/>
    <w:rsid w:val="00683574"/>
    <w:rsid w:val="00683589"/>
    <w:rsid w:val="00683A82"/>
    <w:rsid w:val="00683AE6"/>
    <w:rsid w:val="00683AF9"/>
    <w:rsid w:val="00683BAA"/>
    <w:rsid w:val="00683CE2"/>
    <w:rsid w:val="00683CEC"/>
    <w:rsid w:val="00683D69"/>
    <w:rsid w:val="00684142"/>
    <w:rsid w:val="00684183"/>
    <w:rsid w:val="00684200"/>
    <w:rsid w:val="00684237"/>
    <w:rsid w:val="006844E4"/>
    <w:rsid w:val="006846A5"/>
    <w:rsid w:val="00684A33"/>
    <w:rsid w:val="00684CC2"/>
    <w:rsid w:val="00684DCE"/>
    <w:rsid w:val="00684E25"/>
    <w:rsid w:val="00684E57"/>
    <w:rsid w:val="00684F37"/>
    <w:rsid w:val="00684FBA"/>
    <w:rsid w:val="00684FF8"/>
    <w:rsid w:val="00685100"/>
    <w:rsid w:val="00685232"/>
    <w:rsid w:val="00685269"/>
    <w:rsid w:val="00685308"/>
    <w:rsid w:val="0068536B"/>
    <w:rsid w:val="006853BF"/>
    <w:rsid w:val="00685435"/>
    <w:rsid w:val="00685571"/>
    <w:rsid w:val="00685667"/>
    <w:rsid w:val="00685754"/>
    <w:rsid w:val="006858A9"/>
    <w:rsid w:val="006858B0"/>
    <w:rsid w:val="006858DE"/>
    <w:rsid w:val="00685955"/>
    <w:rsid w:val="00685CEE"/>
    <w:rsid w:val="00685D42"/>
    <w:rsid w:val="00685D94"/>
    <w:rsid w:val="00685EBC"/>
    <w:rsid w:val="00685FEA"/>
    <w:rsid w:val="006860CB"/>
    <w:rsid w:val="00686132"/>
    <w:rsid w:val="006862E3"/>
    <w:rsid w:val="006864E4"/>
    <w:rsid w:val="00686734"/>
    <w:rsid w:val="006867AF"/>
    <w:rsid w:val="00686810"/>
    <w:rsid w:val="00686979"/>
    <w:rsid w:val="0068697C"/>
    <w:rsid w:val="00686BE9"/>
    <w:rsid w:val="00686FEA"/>
    <w:rsid w:val="00687235"/>
    <w:rsid w:val="006875A1"/>
    <w:rsid w:val="006876C1"/>
    <w:rsid w:val="006878A7"/>
    <w:rsid w:val="006878DB"/>
    <w:rsid w:val="00687912"/>
    <w:rsid w:val="00687A14"/>
    <w:rsid w:val="00687B5B"/>
    <w:rsid w:val="00687C1D"/>
    <w:rsid w:val="00687C20"/>
    <w:rsid w:val="00687D15"/>
    <w:rsid w:val="00687D83"/>
    <w:rsid w:val="00687EAB"/>
    <w:rsid w:val="0069001C"/>
    <w:rsid w:val="006900D3"/>
    <w:rsid w:val="00690180"/>
    <w:rsid w:val="006901F1"/>
    <w:rsid w:val="00690294"/>
    <w:rsid w:val="00690446"/>
    <w:rsid w:val="00690457"/>
    <w:rsid w:val="006906BC"/>
    <w:rsid w:val="00690745"/>
    <w:rsid w:val="006909B3"/>
    <w:rsid w:val="00690AB4"/>
    <w:rsid w:val="00690B30"/>
    <w:rsid w:val="00690B35"/>
    <w:rsid w:val="00690D44"/>
    <w:rsid w:val="00690D9A"/>
    <w:rsid w:val="00690F95"/>
    <w:rsid w:val="00691477"/>
    <w:rsid w:val="006914D4"/>
    <w:rsid w:val="006914EA"/>
    <w:rsid w:val="0069153F"/>
    <w:rsid w:val="00691580"/>
    <w:rsid w:val="006915AE"/>
    <w:rsid w:val="00691600"/>
    <w:rsid w:val="0069164D"/>
    <w:rsid w:val="006917EA"/>
    <w:rsid w:val="00691891"/>
    <w:rsid w:val="00691B98"/>
    <w:rsid w:val="00691C99"/>
    <w:rsid w:val="00691F1C"/>
    <w:rsid w:val="00691F6F"/>
    <w:rsid w:val="00692282"/>
    <w:rsid w:val="00692300"/>
    <w:rsid w:val="006924C7"/>
    <w:rsid w:val="0069255E"/>
    <w:rsid w:val="0069258C"/>
    <w:rsid w:val="00692595"/>
    <w:rsid w:val="006925EB"/>
    <w:rsid w:val="00692753"/>
    <w:rsid w:val="006927C7"/>
    <w:rsid w:val="00692A8D"/>
    <w:rsid w:val="00692B90"/>
    <w:rsid w:val="00692BA0"/>
    <w:rsid w:val="00692BC8"/>
    <w:rsid w:val="00692C96"/>
    <w:rsid w:val="00692F04"/>
    <w:rsid w:val="00692F49"/>
    <w:rsid w:val="00692FA4"/>
    <w:rsid w:val="006930E2"/>
    <w:rsid w:val="006931A2"/>
    <w:rsid w:val="00693333"/>
    <w:rsid w:val="00693380"/>
    <w:rsid w:val="006935A4"/>
    <w:rsid w:val="00693830"/>
    <w:rsid w:val="00693841"/>
    <w:rsid w:val="00693980"/>
    <w:rsid w:val="00693C3D"/>
    <w:rsid w:val="00693D57"/>
    <w:rsid w:val="00693F86"/>
    <w:rsid w:val="0069422F"/>
    <w:rsid w:val="006945FF"/>
    <w:rsid w:val="006946B8"/>
    <w:rsid w:val="006946BF"/>
    <w:rsid w:val="00694893"/>
    <w:rsid w:val="006948D5"/>
    <w:rsid w:val="00694959"/>
    <w:rsid w:val="00694ADE"/>
    <w:rsid w:val="00694C1E"/>
    <w:rsid w:val="00694C5D"/>
    <w:rsid w:val="00694C6F"/>
    <w:rsid w:val="00694D8D"/>
    <w:rsid w:val="00694E01"/>
    <w:rsid w:val="0069518B"/>
    <w:rsid w:val="006951E0"/>
    <w:rsid w:val="00695308"/>
    <w:rsid w:val="00695332"/>
    <w:rsid w:val="0069557A"/>
    <w:rsid w:val="0069562D"/>
    <w:rsid w:val="00695630"/>
    <w:rsid w:val="00695687"/>
    <w:rsid w:val="00695895"/>
    <w:rsid w:val="00695A0C"/>
    <w:rsid w:val="00695A51"/>
    <w:rsid w:val="00695B00"/>
    <w:rsid w:val="00695C11"/>
    <w:rsid w:val="00695FED"/>
    <w:rsid w:val="0069601C"/>
    <w:rsid w:val="00696061"/>
    <w:rsid w:val="00696206"/>
    <w:rsid w:val="00696311"/>
    <w:rsid w:val="0069645D"/>
    <w:rsid w:val="006964FD"/>
    <w:rsid w:val="006965F4"/>
    <w:rsid w:val="00696752"/>
    <w:rsid w:val="006967DD"/>
    <w:rsid w:val="006968B4"/>
    <w:rsid w:val="006969B8"/>
    <w:rsid w:val="00696A33"/>
    <w:rsid w:val="00696ADF"/>
    <w:rsid w:val="00696B3E"/>
    <w:rsid w:val="00696BD4"/>
    <w:rsid w:val="00696DA8"/>
    <w:rsid w:val="00696EC9"/>
    <w:rsid w:val="006970BE"/>
    <w:rsid w:val="006970EC"/>
    <w:rsid w:val="00697153"/>
    <w:rsid w:val="006971AA"/>
    <w:rsid w:val="006971B8"/>
    <w:rsid w:val="006971C4"/>
    <w:rsid w:val="0069729B"/>
    <w:rsid w:val="0069733E"/>
    <w:rsid w:val="0069782A"/>
    <w:rsid w:val="00697860"/>
    <w:rsid w:val="00697937"/>
    <w:rsid w:val="00697A6B"/>
    <w:rsid w:val="00697B57"/>
    <w:rsid w:val="00697BAA"/>
    <w:rsid w:val="00697E13"/>
    <w:rsid w:val="00697E4D"/>
    <w:rsid w:val="006A0070"/>
    <w:rsid w:val="006A00E0"/>
    <w:rsid w:val="006A01B1"/>
    <w:rsid w:val="006A03E9"/>
    <w:rsid w:val="006A03ED"/>
    <w:rsid w:val="006A05A0"/>
    <w:rsid w:val="006A06BF"/>
    <w:rsid w:val="006A073C"/>
    <w:rsid w:val="006A0770"/>
    <w:rsid w:val="006A0780"/>
    <w:rsid w:val="006A07AA"/>
    <w:rsid w:val="006A0956"/>
    <w:rsid w:val="006A09FD"/>
    <w:rsid w:val="006A0AD0"/>
    <w:rsid w:val="006A0AFE"/>
    <w:rsid w:val="006A0B46"/>
    <w:rsid w:val="006A0D08"/>
    <w:rsid w:val="006A0EB0"/>
    <w:rsid w:val="006A108E"/>
    <w:rsid w:val="006A109E"/>
    <w:rsid w:val="006A119A"/>
    <w:rsid w:val="006A11D8"/>
    <w:rsid w:val="006A11FC"/>
    <w:rsid w:val="006A1317"/>
    <w:rsid w:val="006A1460"/>
    <w:rsid w:val="006A15B3"/>
    <w:rsid w:val="006A160F"/>
    <w:rsid w:val="006A162D"/>
    <w:rsid w:val="006A1739"/>
    <w:rsid w:val="006A1782"/>
    <w:rsid w:val="006A17F4"/>
    <w:rsid w:val="006A1870"/>
    <w:rsid w:val="006A18D8"/>
    <w:rsid w:val="006A18E7"/>
    <w:rsid w:val="006A190A"/>
    <w:rsid w:val="006A1ACB"/>
    <w:rsid w:val="006A1B93"/>
    <w:rsid w:val="006A1BBD"/>
    <w:rsid w:val="006A1BE6"/>
    <w:rsid w:val="006A1BFF"/>
    <w:rsid w:val="006A1FE1"/>
    <w:rsid w:val="006A20AC"/>
    <w:rsid w:val="006A21BB"/>
    <w:rsid w:val="006A22FC"/>
    <w:rsid w:val="006A2326"/>
    <w:rsid w:val="006A238A"/>
    <w:rsid w:val="006A2406"/>
    <w:rsid w:val="006A2430"/>
    <w:rsid w:val="006A27D8"/>
    <w:rsid w:val="006A2885"/>
    <w:rsid w:val="006A29F0"/>
    <w:rsid w:val="006A2D29"/>
    <w:rsid w:val="006A2DCE"/>
    <w:rsid w:val="006A300F"/>
    <w:rsid w:val="006A31C7"/>
    <w:rsid w:val="006A331F"/>
    <w:rsid w:val="006A3506"/>
    <w:rsid w:val="006A3524"/>
    <w:rsid w:val="006A3620"/>
    <w:rsid w:val="006A36F5"/>
    <w:rsid w:val="006A3AD7"/>
    <w:rsid w:val="006A3D9D"/>
    <w:rsid w:val="006A3ED8"/>
    <w:rsid w:val="006A40BA"/>
    <w:rsid w:val="006A421C"/>
    <w:rsid w:val="006A4354"/>
    <w:rsid w:val="006A4522"/>
    <w:rsid w:val="006A46E7"/>
    <w:rsid w:val="006A4899"/>
    <w:rsid w:val="006A4A3B"/>
    <w:rsid w:val="006A4AEC"/>
    <w:rsid w:val="006A4B56"/>
    <w:rsid w:val="006A4B8C"/>
    <w:rsid w:val="006A4B94"/>
    <w:rsid w:val="006A4C10"/>
    <w:rsid w:val="006A4C6F"/>
    <w:rsid w:val="006A4D88"/>
    <w:rsid w:val="006A4F8D"/>
    <w:rsid w:val="006A512D"/>
    <w:rsid w:val="006A5624"/>
    <w:rsid w:val="006A5645"/>
    <w:rsid w:val="006A5738"/>
    <w:rsid w:val="006A5988"/>
    <w:rsid w:val="006A59E2"/>
    <w:rsid w:val="006A5AAB"/>
    <w:rsid w:val="006A5BB2"/>
    <w:rsid w:val="006A5E6D"/>
    <w:rsid w:val="006A5E99"/>
    <w:rsid w:val="006A5ED8"/>
    <w:rsid w:val="006A6053"/>
    <w:rsid w:val="006A60EB"/>
    <w:rsid w:val="006A6584"/>
    <w:rsid w:val="006A65A8"/>
    <w:rsid w:val="006A6602"/>
    <w:rsid w:val="006A6666"/>
    <w:rsid w:val="006A6810"/>
    <w:rsid w:val="006A685E"/>
    <w:rsid w:val="006A6956"/>
    <w:rsid w:val="006A6AAA"/>
    <w:rsid w:val="006A6BF8"/>
    <w:rsid w:val="006A6CBF"/>
    <w:rsid w:val="006A6DDE"/>
    <w:rsid w:val="006A6E71"/>
    <w:rsid w:val="006A6ED9"/>
    <w:rsid w:val="006A73D5"/>
    <w:rsid w:val="006A74FA"/>
    <w:rsid w:val="006A75EF"/>
    <w:rsid w:val="006A761B"/>
    <w:rsid w:val="006A7773"/>
    <w:rsid w:val="006A7BB9"/>
    <w:rsid w:val="006A7C1E"/>
    <w:rsid w:val="006A7F5F"/>
    <w:rsid w:val="006A7F9F"/>
    <w:rsid w:val="006A7FAF"/>
    <w:rsid w:val="006B017B"/>
    <w:rsid w:val="006B03FC"/>
    <w:rsid w:val="006B0410"/>
    <w:rsid w:val="006B043B"/>
    <w:rsid w:val="006B04F7"/>
    <w:rsid w:val="006B0522"/>
    <w:rsid w:val="006B0633"/>
    <w:rsid w:val="006B0634"/>
    <w:rsid w:val="006B0661"/>
    <w:rsid w:val="006B0664"/>
    <w:rsid w:val="006B0668"/>
    <w:rsid w:val="006B0690"/>
    <w:rsid w:val="006B08DC"/>
    <w:rsid w:val="006B0951"/>
    <w:rsid w:val="006B0C67"/>
    <w:rsid w:val="006B0D3C"/>
    <w:rsid w:val="006B0D99"/>
    <w:rsid w:val="006B0DF4"/>
    <w:rsid w:val="006B0E08"/>
    <w:rsid w:val="006B108D"/>
    <w:rsid w:val="006B1090"/>
    <w:rsid w:val="006B113D"/>
    <w:rsid w:val="006B11CF"/>
    <w:rsid w:val="006B1255"/>
    <w:rsid w:val="006B160F"/>
    <w:rsid w:val="006B189B"/>
    <w:rsid w:val="006B199D"/>
    <w:rsid w:val="006B1B14"/>
    <w:rsid w:val="006B1E77"/>
    <w:rsid w:val="006B1EC5"/>
    <w:rsid w:val="006B20E1"/>
    <w:rsid w:val="006B2126"/>
    <w:rsid w:val="006B213C"/>
    <w:rsid w:val="006B214C"/>
    <w:rsid w:val="006B216C"/>
    <w:rsid w:val="006B22C4"/>
    <w:rsid w:val="006B254B"/>
    <w:rsid w:val="006B26E1"/>
    <w:rsid w:val="006B2807"/>
    <w:rsid w:val="006B2B6A"/>
    <w:rsid w:val="006B2BEA"/>
    <w:rsid w:val="006B2C3D"/>
    <w:rsid w:val="006B2D23"/>
    <w:rsid w:val="006B2D5C"/>
    <w:rsid w:val="006B2E24"/>
    <w:rsid w:val="006B31E0"/>
    <w:rsid w:val="006B33DC"/>
    <w:rsid w:val="006B3428"/>
    <w:rsid w:val="006B353F"/>
    <w:rsid w:val="006B358D"/>
    <w:rsid w:val="006B3732"/>
    <w:rsid w:val="006B3764"/>
    <w:rsid w:val="006B3796"/>
    <w:rsid w:val="006B3A68"/>
    <w:rsid w:val="006B3A73"/>
    <w:rsid w:val="006B3C7C"/>
    <w:rsid w:val="006B3E9C"/>
    <w:rsid w:val="006B3FDD"/>
    <w:rsid w:val="006B41B3"/>
    <w:rsid w:val="006B440F"/>
    <w:rsid w:val="006B4471"/>
    <w:rsid w:val="006B4740"/>
    <w:rsid w:val="006B4801"/>
    <w:rsid w:val="006B4804"/>
    <w:rsid w:val="006B4ACA"/>
    <w:rsid w:val="006B4D48"/>
    <w:rsid w:val="006B4DDD"/>
    <w:rsid w:val="006B500D"/>
    <w:rsid w:val="006B5160"/>
    <w:rsid w:val="006B52AB"/>
    <w:rsid w:val="006B55A7"/>
    <w:rsid w:val="006B561C"/>
    <w:rsid w:val="006B5A69"/>
    <w:rsid w:val="006B5A8D"/>
    <w:rsid w:val="006B5B9C"/>
    <w:rsid w:val="006B5CC1"/>
    <w:rsid w:val="006B5CE2"/>
    <w:rsid w:val="006B5CED"/>
    <w:rsid w:val="006B5DB1"/>
    <w:rsid w:val="006B5DE1"/>
    <w:rsid w:val="006B5F43"/>
    <w:rsid w:val="006B619B"/>
    <w:rsid w:val="006B63C0"/>
    <w:rsid w:val="006B644C"/>
    <w:rsid w:val="006B64ED"/>
    <w:rsid w:val="006B6889"/>
    <w:rsid w:val="006B6926"/>
    <w:rsid w:val="006B6B5C"/>
    <w:rsid w:val="006B6B61"/>
    <w:rsid w:val="006B6B8D"/>
    <w:rsid w:val="006B6BEE"/>
    <w:rsid w:val="006B6C6B"/>
    <w:rsid w:val="006B7513"/>
    <w:rsid w:val="006B755C"/>
    <w:rsid w:val="006B75A3"/>
    <w:rsid w:val="006B762A"/>
    <w:rsid w:val="006B7BE5"/>
    <w:rsid w:val="006B7C6E"/>
    <w:rsid w:val="006B7E86"/>
    <w:rsid w:val="006B7EBD"/>
    <w:rsid w:val="006C00C4"/>
    <w:rsid w:val="006C0180"/>
    <w:rsid w:val="006C0188"/>
    <w:rsid w:val="006C0219"/>
    <w:rsid w:val="006C03B0"/>
    <w:rsid w:val="006C03F8"/>
    <w:rsid w:val="006C074C"/>
    <w:rsid w:val="006C07AA"/>
    <w:rsid w:val="006C07B6"/>
    <w:rsid w:val="006C07C3"/>
    <w:rsid w:val="006C09DC"/>
    <w:rsid w:val="006C0B6C"/>
    <w:rsid w:val="006C0B9F"/>
    <w:rsid w:val="006C0C31"/>
    <w:rsid w:val="006C0CE4"/>
    <w:rsid w:val="006C0DE5"/>
    <w:rsid w:val="006C0E2F"/>
    <w:rsid w:val="006C0EE5"/>
    <w:rsid w:val="006C10F2"/>
    <w:rsid w:val="006C119D"/>
    <w:rsid w:val="006C17AA"/>
    <w:rsid w:val="006C17BF"/>
    <w:rsid w:val="006C18C1"/>
    <w:rsid w:val="006C1B06"/>
    <w:rsid w:val="006C1B65"/>
    <w:rsid w:val="006C1BAF"/>
    <w:rsid w:val="006C20F6"/>
    <w:rsid w:val="006C216E"/>
    <w:rsid w:val="006C2287"/>
    <w:rsid w:val="006C230D"/>
    <w:rsid w:val="006C23A6"/>
    <w:rsid w:val="006C2442"/>
    <w:rsid w:val="006C25B1"/>
    <w:rsid w:val="006C25C1"/>
    <w:rsid w:val="006C2739"/>
    <w:rsid w:val="006C2A03"/>
    <w:rsid w:val="006C2A9C"/>
    <w:rsid w:val="006C2B76"/>
    <w:rsid w:val="006C2CA7"/>
    <w:rsid w:val="006C2EE8"/>
    <w:rsid w:val="006C2F23"/>
    <w:rsid w:val="006C3115"/>
    <w:rsid w:val="006C3274"/>
    <w:rsid w:val="006C327F"/>
    <w:rsid w:val="006C33B4"/>
    <w:rsid w:val="006C34C0"/>
    <w:rsid w:val="006C34F7"/>
    <w:rsid w:val="006C34F9"/>
    <w:rsid w:val="006C3597"/>
    <w:rsid w:val="006C35CC"/>
    <w:rsid w:val="006C3619"/>
    <w:rsid w:val="006C372C"/>
    <w:rsid w:val="006C37D8"/>
    <w:rsid w:val="006C3826"/>
    <w:rsid w:val="006C3874"/>
    <w:rsid w:val="006C3900"/>
    <w:rsid w:val="006C390B"/>
    <w:rsid w:val="006C3A61"/>
    <w:rsid w:val="006C3AD6"/>
    <w:rsid w:val="006C3B1E"/>
    <w:rsid w:val="006C3B7C"/>
    <w:rsid w:val="006C3C1F"/>
    <w:rsid w:val="006C3CCF"/>
    <w:rsid w:val="006C3F87"/>
    <w:rsid w:val="006C402B"/>
    <w:rsid w:val="006C42CD"/>
    <w:rsid w:val="006C4382"/>
    <w:rsid w:val="006C43BA"/>
    <w:rsid w:val="006C4587"/>
    <w:rsid w:val="006C45E8"/>
    <w:rsid w:val="006C495B"/>
    <w:rsid w:val="006C4A39"/>
    <w:rsid w:val="006C4A75"/>
    <w:rsid w:val="006C4C2A"/>
    <w:rsid w:val="006C4D18"/>
    <w:rsid w:val="006C4D39"/>
    <w:rsid w:val="006C4F47"/>
    <w:rsid w:val="006C4FBC"/>
    <w:rsid w:val="006C4FEC"/>
    <w:rsid w:val="006C5083"/>
    <w:rsid w:val="006C5132"/>
    <w:rsid w:val="006C5136"/>
    <w:rsid w:val="006C5204"/>
    <w:rsid w:val="006C5241"/>
    <w:rsid w:val="006C53AD"/>
    <w:rsid w:val="006C53E4"/>
    <w:rsid w:val="006C5613"/>
    <w:rsid w:val="006C563D"/>
    <w:rsid w:val="006C5A0A"/>
    <w:rsid w:val="006C5A76"/>
    <w:rsid w:val="006C5B6A"/>
    <w:rsid w:val="006C5C38"/>
    <w:rsid w:val="006C5CDF"/>
    <w:rsid w:val="006C5E07"/>
    <w:rsid w:val="006C5F15"/>
    <w:rsid w:val="006C6189"/>
    <w:rsid w:val="006C62A6"/>
    <w:rsid w:val="006C6428"/>
    <w:rsid w:val="006C6649"/>
    <w:rsid w:val="006C66C0"/>
    <w:rsid w:val="006C6926"/>
    <w:rsid w:val="006C69D2"/>
    <w:rsid w:val="006C6A69"/>
    <w:rsid w:val="006C6A6E"/>
    <w:rsid w:val="006C6AE9"/>
    <w:rsid w:val="006C6E8D"/>
    <w:rsid w:val="006C6FE1"/>
    <w:rsid w:val="006C71B9"/>
    <w:rsid w:val="006C72D1"/>
    <w:rsid w:val="006C7353"/>
    <w:rsid w:val="006C7418"/>
    <w:rsid w:val="006C7476"/>
    <w:rsid w:val="006C74AF"/>
    <w:rsid w:val="006C74BE"/>
    <w:rsid w:val="006C79CB"/>
    <w:rsid w:val="006C79FD"/>
    <w:rsid w:val="006C7AE4"/>
    <w:rsid w:val="006C7D55"/>
    <w:rsid w:val="006C7D66"/>
    <w:rsid w:val="006C7E3B"/>
    <w:rsid w:val="006C7EB1"/>
    <w:rsid w:val="006C7F03"/>
    <w:rsid w:val="006C7FCE"/>
    <w:rsid w:val="006D0013"/>
    <w:rsid w:val="006D0074"/>
    <w:rsid w:val="006D0090"/>
    <w:rsid w:val="006D0322"/>
    <w:rsid w:val="006D08E1"/>
    <w:rsid w:val="006D09C6"/>
    <w:rsid w:val="006D0D7B"/>
    <w:rsid w:val="006D0D81"/>
    <w:rsid w:val="006D0E78"/>
    <w:rsid w:val="006D0F35"/>
    <w:rsid w:val="006D0F44"/>
    <w:rsid w:val="006D100C"/>
    <w:rsid w:val="006D1332"/>
    <w:rsid w:val="006D13AF"/>
    <w:rsid w:val="006D13F0"/>
    <w:rsid w:val="006D1450"/>
    <w:rsid w:val="006D1694"/>
    <w:rsid w:val="006D1802"/>
    <w:rsid w:val="006D1837"/>
    <w:rsid w:val="006D18F0"/>
    <w:rsid w:val="006D19F1"/>
    <w:rsid w:val="006D1CF1"/>
    <w:rsid w:val="006D1E81"/>
    <w:rsid w:val="006D201C"/>
    <w:rsid w:val="006D209D"/>
    <w:rsid w:val="006D22C5"/>
    <w:rsid w:val="006D22D6"/>
    <w:rsid w:val="006D230C"/>
    <w:rsid w:val="006D234F"/>
    <w:rsid w:val="006D240C"/>
    <w:rsid w:val="006D2461"/>
    <w:rsid w:val="006D266F"/>
    <w:rsid w:val="006D2860"/>
    <w:rsid w:val="006D2B9E"/>
    <w:rsid w:val="006D2C57"/>
    <w:rsid w:val="006D2D11"/>
    <w:rsid w:val="006D33AF"/>
    <w:rsid w:val="006D345E"/>
    <w:rsid w:val="006D3460"/>
    <w:rsid w:val="006D35C2"/>
    <w:rsid w:val="006D3623"/>
    <w:rsid w:val="006D365C"/>
    <w:rsid w:val="006D367C"/>
    <w:rsid w:val="006D3885"/>
    <w:rsid w:val="006D38DB"/>
    <w:rsid w:val="006D395D"/>
    <w:rsid w:val="006D3B09"/>
    <w:rsid w:val="006D3DC8"/>
    <w:rsid w:val="006D3DE9"/>
    <w:rsid w:val="006D3E22"/>
    <w:rsid w:val="006D3EDC"/>
    <w:rsid w:val="006D430D"/>
    <w:rsid w:val="006D480A"/>
    <w:rsid w:val="006D487C"/>
    <w:rsid w:val="006D4974"/>
    <w:rsid w:val="006D4DD6"/>
    <w:rsid w:val="006D4EE2"/>
    <w:rsid w:val="006D4F39"/>
    <w:rsid w:val="006D516B"/>
    <w:rsid w:val="006D5333"/>
    <w:rsid w:val="006D55EB"/>
    <w:rsid w:val="006D5702"/>
    <w:rsid w:val="006D577D"/>
    <w:rsid w:val="006D5799"/>
    <w:rsid w:val="006D58CC"/>
    <w:rsid w:val="006D5923"/>
    <w:rsid w:val="006D5988"/>
    <w:rsid w:val="006D5A8C"/>
    <w:rsid w:val="006D5C04"/>
    <w:rsid w:val="006D5C7B"/>
    <w:rsid w:val="006D5C7E"/>
    <w:rsid w:val="006D5DEF"/>
    <w:rsid w:val="006D5F82"/>
    <w:rsid w:val="006D6060"/>
    <w:rsid w:val="006D6118"/>
    <w:rsid w:val="006D61BE"/>
    <w:rsid w:val="006D6243"/>
    <w:rsid w:val="006D6410"/>
    <w:rsid w:val="006D6454"/>
    <w:rsid w:val="006D64DC"/>
    <w:rsid w:val="006D6511"/>
    <w:rsid w:val="006D6646"/>
    <w:rsid w:val="006D6841"/>
    <w:rsid w:val="006D6B42"/>
    <w:rsid w:val="006D6C2E"/>
    <w:rsid w:val="006D6F94"/>
    <w:rsid w:val="006D7103"/>
    <w:rsid w:val="006D7234"/>
    <w:rsid w:val="006D729C"/>
    <w:rsid w:val="006D737D"/>
    <w:rsid w:val="006D741D"/>
    <w:rsid w:val="006D745C"/>
    <w:rsid w:val="006D7637"/>
    <w:rsid w:val="006D78CD"/>
    <w:rsid w:val="006D78D3"/>
    <w:rsid w:val="006D7A77"/>
    <w:rsid w:val="006D7A84"/>
    <w:rsid w:val="006D7A88"/>
    <w:rsid w:val="006D7B95"/>
    <w:rsid w:val="006D7E50"/>
    <w:rsid w:val="006D7E9A"/>
    <w:rsid w:val="006E0416"/>
    <w:rsid w:val="006E0511"/>
    <w:rsid w:val="006E0555"/>
    <w:rsid w:val="006E074B"/>
    <w:rsid w:val="006E07E6"/>
    <w:rsid w:val="006E0944"/>
    <w:rsid w:val="006E09B2"/>
    <w:rsid w:val="006E0ACD"/>
    <w:rsid w:val="006E0FD0"/>
    <w:rsid w:val="006E1003"/>
    <w:rsid w:val="006E1054"/>
    <w:rsid w:val="006E121C"/>
    <w:rsid w:val="006E1264"/>
    <w:rsid w:val="006E145E"/>
    <w:rsid w:val="006E157A"/>
    <w:rsid w:val="006E180C"/>
    <w:rsid w:val="006E1A92"/>
    <w:rsid w:val="006E1C04"/>
    <w:rsid w:val="006E1D15"/>
    <w:rsid w:val="006E1E03"/>
    <w:rsid w:val="006E1E07"/>
    <w:rsid w:val="006E20EF"/>
    <w:rsid w:val="006E212E"/>
    <w:rsid w:val="006E2342"/>
    <w:rsid w:val="006E26ED"/>
    <w:rsid w:val="006E2764"/>
    <w:rsid w:val="006E284C"/>
    <w:rsid w:val="006E28AB"/>
    <w:rsid w:val="006E2D3A"/>
    <w:rsid w:val="006E2D64"/>
    <w:rsid w:val="006E31A2"/>
    <w:rsid w:val="006E3255"/>
    <w:rsid w:val="006E326C"/>
    <w:rsid w:val="006E391C"/>
    <w:rsid w:val="006E3A64"/>
    <w:rsid w:val="006E3A98"/>
    <w:rsid w:val="006E3B94"/>
    <w:rsid w:val="006E3C03"/>
    <w:rsid w:val="006E3C19"/>
    <w:rsid w:val="006E3E11"/>
    <w:rsid w:val="006E3F68"/>
    <w:rsid w:val="006E40F9"/>
    <w:rsid w:val="006E4208"/>
    <w:rsid w:val="006E4214"/>
    <w:rsid w:val="006E4365"/>
    <w:rsid w:val="006E4484"/>
    <w:rsid w:val="006E47E7"/>
    <w:rsid w:val="006E4A75"/>
    <w:rsid w:val="006E4C65"/>
    <w:rsid w:val="006E4C88"/>
    <w:rsid w:val="006E4E15"/>
    <w:rsid w:val="006E4E72"/>
    <w:rsid w:val="006E4F8E"/>
    <w:rsid w:val="006E5109"/>
    <w:rsid w:val="006E5130"/>
    <w:rsid w:val="006E5419"/>
    <w:rsid w:val="006E54CF"/>
    <w:rsid w:val="006E56A9"/>
    <w:rsid w:val="006E5940"/>
    <w:rsid w:val="006E59A4"/>
    <w:rsid w:val="006E5A64"/>
    <w:rsid w:val="006E5AB1"/>
    <w:rsid w:val="006E5AEB"/>
    <w:rsid w:val="006E5C92"/>
    <w:rsid w:val="006E5CCF"/>
    <w:rsid w:val="006E5E7C"/>
    <w:rsid w:val="006E5E80"/>
    <w:rsid w:val="006E5F72"/>
    <w:rsid w:val="006E618B"/>
    <w:rsid w:val="006E6197"/>
    <w:rsid w:val="006E62BB"/>
    <w:rsid w:val="006E64EC"/>
    <w:rsid w:val="006E6554"/>
    <w:rsid w:val="006E65E4"/>
    <w:rsid w:val="006E6788"/>
    <w:rsid w:val="006E6933"/>
    <w:rsid w:val="006E698E"/>
    <w:rsid w:val="006E69B7"/>
    <w:rsid w:val="006E6A52"/>
    <w:rsid w:val="006E6CCC"/>
    <w:rsid w:val="006E6E1D"/>
    <w:rsid w:val="006E6FA2"/>
    <w:rsid w:val="006E6FBA"/>
    <w:rsid w:val="006E7112"/>
    <w:rsid w:val="006E7298"/>
    <w:rsid w:val="006E73E6"/>
    <w:rsid w:val="006E78FD"/>
    <w:rsid w:val="006E796B"/>
    <w:rsid w:val="006E7A1E"/>
    <w:rsid w:val="006E7A83"/>
    <w:rsid w:val="006E7B60"/>
    <w:rsid w:val="006E7F3C"/>
    <w:rsid w:val="006E7FCB"/>
    <w:rsid w:val="006F00E6"/>
    <w:rsid w:val="006F01A7"/>
    <w:rsid w:val="006F0457"/>
    <w:rsid w:val="006F0646"/>
    <w:rsid w:val="006F070E"/>
    <w:rsid w:val="006F07EE"/>
    <w:rsid w:val="006F0835"/>
    <w:rsid w:val="006F08FE"/>
    <w:rsid w:val="006F0D41"/>
    <w:rsid w:val="006F0DC9"/>
    <w:rsid w:val="006F0E78"/>
    <w:rsid w:val="006F0EA7"/>
    <w:rsid w:val="006F0F7C"/>
    <w:rsid w:val="006F1002"/>
    <w:rsid w:val="006F1004"/>
    <w:rsid w:val="006F11D9"/>
    <w:rsid w:val="006F126A"/>
    <w:rsid w:val="006F134F"/>
    <w:rsid w:val="006F13B7"/>
    <w:rsid w:val="006F14F5"/>
    <w:rsid w:val="006F1694"/>
    <w:rsid w:val="006F16AF"/>
    <w:rsid w:val="006F16DD"/>
    <w:rsid w:val="006F16E5"/>
    <w:rsid w:val="006F1A80"/>
    <w:rsid w:val="006F1ADD"/>
    <w:rsid w:val="006F1B04"/>
    <w:rsid w:val="006F1B44"/>
    <w:rsid w:val="006F1D39"/>
    <w:rsid w:val="006F1D4C"/>
    <w:rsid w:val="006F22D7"/>
    <w:rsid w:val="006F25AF"/>
    <w:rsid w:val="006F2696"/>
    <w:rsid w:val="006F2775"/>
    <w:rsid w:val="006F2A68"/>
    <w:rsid w:val="006F2AB8"/>
    <w:rsid w:val="006F2ABB"/>
    <w:rsid w:val="006F2C3F"/>
    <w:rsid w:val="006F2CEE"/>
    <w:rsid w:val="006F2CFB"/>
    <w:rsid w:val="006F2FD9"/>
    <w:rsid w:val="006F3065"/>
    <w:rsid w:val="006F30FF"/>
    <w:rsid w:val="006F33C4"/>
    <w:rsid w:val="006F34F1"/>
    <w:rsid w:val="006F38F4"/>
    <w:rsid w:val="006F3A8E"/>
    <w:rsid w:val="006F3AC2"/>
    <w:rsid w:val="006F3AF5"/>
    <w:rsid w:val="006F3B6D"/>
    <w:rsid w:val="006F3E65"/>
    <w:rsid w:val="006F3EE2"/>
    <w:rsid w:val="006F3F53"/>
    <w:rsid w:val="006F3FA2"/>
    <w:rsid w:val="006F413D"/>
    <w:rsid w:val="006F4192"/>
    <w:rsid w:val="006F4308"/>
    <w:rsid w:val="006F43C4"/>
    <w:rsid w:val="006F43D2"/>
    <w:rsid w:val="006F4470"/>
    <w:rsid w:val="006F4704"/>
    <w:rsid w:val="006F47E8"/>
    <w:rsid w:val="006F4894"/>
    <w:rsid w:val="006F4929"/>
    <w:rsid w:val="006F496A"/>
    <w:rsid w:val="006F4A32"/>
    <w:rsid w:val="006F4B8C"/>
    <w:rsid w:val="006F4C06"/>
    <w:rsid w:val="006F4D4B"/>
    <w:rsid w:val="006F4E7A"/>
    <w:rsid w:val="006F4E85"/>
    <w:rsid w:val="006F51CF"/>
    <w:rsid w:val="006F5330"/>
    <w:rsid w:val="006F535F"/>
    <w:rsid w:val="006F5452"/>
    <w:rsid w:val="006F54F2"/>
    <w:rsid w:val="006F5603"/>
    <w:rsid w:val="006F5975"/>
    <w:rsid w:val="006F59BA"/>
    <w:rsid w:val="006F5A69"/>
    <w:rsid w:val="006F5B1A"/>
    <w:rsid w:val="006F5C91"/>
    <w:rsid w:val="006F5D07"/>
    <w:rsid w:val="006F5D38"/>
    <w:rsid w:val="006F5EAD"/>
    <w:rsid w:val="006F6307"/>
    <w:rsid w:val="006F63B2"/>
    <w:rsid w:val="006F65CB"/>
    <w:rsid w:val="006F6685"/>
    <w:rsid w:val="006F682F"/>
    <w:rsid w:val="006F6840"/>
    <w:rsid w:val="006F6A0D"/>
    <w:rsid w:val="006F6B07"/>
    <w:rsid w:val="006F6BDA"/>
    <w:rsid w:val="006F6C03"/>
    <w:rsid w:val="006F6C6A"/>
    <w:rsid w:val="006F6CDF"/>
    <w:rsid w:val="006F6E6E"/>
    <w:rsid w:val="006F6EC0"/>
    <w:rsid w:val="006F6FD7"/>
    <w:rsid w:val="006F7080"/>
    <w:rsid w:val="006F716D"/>
    <w:rsid w:val="006F71C2"/>
    <w:rsid w:val="006F7232"/>
    <w:rsid w:val="006F7250"/>
    <w:rsid w:val="006F73DB"/>
    <w:rsid w:val="006F73F5"/>
    <w:rsid w:val="006F74B9"/>
    <w:rsid w:val="006F74C2"/>
    <w:rsid w:val="006F75AB"/>
    <w:rsid w:val="006F75E2"/>
    <w:rsid w:val="006F7724"/>
    <w:rsid w:val="006F773A"/>
    <w:rsid w:val="006F7752"/>
    <w:rsid w:val="006F77DD"/>
    <w:rsid w:val="006F7988"/>
    <w:rsid w:val="006F7A6E"/>
    <w:rsid w:val="006F7ACF"/>
    <w:rsid w:val="006F7AF9"/>
    <w:rsid w:val="006F7E7C"/>
    <w:rsid w:val="006F7EFE"/>
    <w:rsid w:val="006F7FD0"/>
    <w:rsid w:val="00700126"/>
    <w:rsid w:val="007001A2"/>
    <w:rsid w:val="00700299"/>
    <w:rsid w:val="007002DB"/>
    <w:rsid w:val="007004C0"/>
    <w:rsid w:val="00700754"/>
    <w:rsid w:val="0070078C"/>
    <w:rsid w:val="007008F9"/>
    <w:rsid w:val="00700904"/>
    <w:rsid w:val="00700934"/>
    <w:rsid w:val="00700A0B"/>
    <w:rsid w:val="00700A4E"/>
    <w:rsid w:val="00700A4F"/>
    <w:rsid w:val="00700DA3"/>
    <w:rsid w:val="00700E37"/>
    <w:rsid w:val="00700E9A"/>
    <w:rsid w:val="00700EF2"/>
    <w:rsid w:val="00700F43"/>
    <w:rsid w:val="007011A2"/>
    <w:rsid w:val="0070124A"/>
    <w:rsid w:val="007012E7"/>
    <w:rsid w:val="007013E3"/>
    <w:rsid w:val="007014A1"/>
    <w:rsid w:val="00701517"/>
    <w:rsid w:val="00701866"/>
    <w:rsid w:val="00701867"/>
    <w:rsid w:val="00701A86"/>
    <w:rsid w:val="00701B1E"/>
    <w:rsid w:val="00701DEB"/>
    <w:rsid w:val="00701F11"/>
    <w:rsid w:val="007020BC"/>
    <w:rsid w:val="00702294"/>
    <w:rsid w:val="0070257B"/>
    <w:rsid w:val="007026A2"/>
    <w:rsid w:val="007027B9"/>
    <w:rsid w:val="0070295D"/>
    <w:rsid w:val="00702B67"/>
    <w:rsid w:val="00702EBE"/>
    <w:rsid w:val="00702F36"/>
    <w:rsid w:val="00703116"/>
    <w:rsid w:val="007031A1"/>
    <w:rsid w:val="0070336C"/>
    <w:rsid w:val="00703489"/>
    <w:rsid w:val="0070361E"/>
    <w:rsid w:val="007038C0"/>
    <w:rsid w:val="007039EC"/>
    <w:rsid w:val="00703ABE"/>
    <w:rsid w:val="00703B32"/>
    <w:rsid w:val="00703DC2"/>
    <w:rsid w:val="00703E25"/>
    <w:rsid w:val="00703E82"/>
    <w:rsid w:val="00703EB3"/>
    <w:rsid w:val="007040D6"/>
    <w:rsid w:val="007043B5"/>
    <w:rsid w:val="00704477"/>
    <w:rsid w:val="007044A1"/>
    <w:rsid w:val="00704554"/>
    <w:rsid w:val="00704647"/>
    <w:rsid w:val="007047B8"/>
    <w:rsid w:val="007047C1"/>
    <w:rsid w:val="007047D2"/>
    <w:rsid w:val="0070496E"/>
    <w:rsid w:val="00704A03"/>
    <w:rsid w:val="00704B1E"/>
    <w:rsid w:val="00704C02"/>
    <w:rsid w:val="00704C28"/>
    <w:rsid w:val="00704D71"/>
    <w:rsid w:val="00704E37"/>
    <w:rsid w:val="00704E81"/>
    <w:rsid w:val="00704F07"/>
    <w:rsid w:val="007050D2"/>
    <w:rsid w:val="007052DC"/>
    <w:rsid w:val="007052E8"/>
    <w:rsid w:val="007053DE"/>
    <w:rsid w:val="007053F4"/>
    <w:rsid w:val="007054E7"/>
    <w:rsid w:val="0070562E"/>
    <w:rsid w:val="00705633"/>
    <w:rsid w:val="00705668"/>
    <w:rsid w:val="007056B4"/>
    <w:rsid w:val="007056EB"/>
    <w:rsid w:val="00705798"/>
    <w:rsid w:val="007057AB"/>
    <w:rsid w:val="007057BF"/>
    <w:rsid w:val="007057C1"/>
    <w:rsid w:val="0070597D"/>
    <w:rsid w:val="00705A6C"/>
    <w:rsid w:val="00705B19"/>
    <w:rsid w:val="00705D5D"/>
    <w:rsid w:val="00705D6D"/>
    <w:rsid w:val="00705DAF"/>
    <w:rsid w:val="00705E44"/>
    <w:rsid w:val="00705EBC"/>
    <w:rsid w:val="00705F75"/>
    <w:rsid w:val="00706269"/>
    <w:rsid w:val="007063A5"/>
    <w:rsid w:val="007063EE"/>
    <w:rsid w:val="00706629"/>
    <w:rsid w:val="00706834"/>
    <w:rsid w:val="00706AA4"/>
    <w:rsid w:val="00706B4A"/>
    <w:rsid w:val="00706CFC"/>
    <w:rsid w:val="00706D30"/>
    <w:rsid w:val="00706E8F"/>
    <w:rsid w:val="007070D9"/>
    <w:rsid w:val="00707132"/>
    <w:rsid w:val="00707197"/>
    <w:rsid w:val="0070745D"/>
    <w:rsid w:val="00707530"/>
    <w:rsid w:val="00707648"/>
    <w:rsid w:val="0070780C"/>
    <w:rsid w:val="00707897"/>
    <w:rsid w:val="007079DA"/>
    <w:rsid w:val="00707A9E"/>
    <w:rsid w:val="00707AF9"/>
    <w:rsid w:val="00707AFE"/>
    <w:rsid w:val="00707B54"/>
    <w:rsid w:val="00707B69"/>
    <w:rsid w:val="00707B76"/>
    <w:rsid w:val="00707CA3"/>
    <w:rsid w:val="00707DB7"/>
    <w:rsid w:val="00707E51"/>
    <w:rsid w:val="00707F3B"/>
    <w:rsid w:val="00707F6D"/>
    <w:rsid w:val="007102D8"/>
    <w:rsid w:val="0071057C"/>
    <w:rsid w:val="007105BE"/>
    <w:rsid w:val="007105F4"/>
    <w:rsid w:val="007105FF"/>
    <w:rsid w:val="00710770"/>
    <w:rsid w:val="0071079E"/>
    <w:rsid w:val="007107B3"/>
    <w:rsid w:val="007107E3"/>
    <w:rsid w:val="007108F2"/>
    <w:rsid w:val="0071096F"/>
    <w:rsid w:val="007109F7"/>
    <w:rsid w:val="00710C45"/>
    <w:rsid w:val="00710D01"/>
    <w:rsid w:val="00710D6E"/>
    <w:rsid w:val="00710D92"/>
    <w:rsid w:val="00710E05"/>
    <w:rsid w:val="00710E7E"/>
    <w:rsid w:val="00711032"/>
    <w:rsid w:val="0071116B"/>
    <w:rsid w:val="00711473"/>
    <w:rsid w:val="007114D3"/>
    <w:rsid w:val="00711B01"/>
    <w:rsid w:val="00711B94"/>
    <w:rsid w:val="00711B9A"/>
    <w:rsid w:val="00711C0F"/>
    <w:rsid w:val="00711C1C"/>
    <w:rsid w:val="00711D03"/>
    <w:rsid w:val="00711D73"/>
    <w:rsid w:val="007120F5"/>
    <w:rsid w:val="0071223C"/>
    <w:rsid w:val="00712287"/>
    <w:rsid w:val="00712409"/>
    <w:rsid w:val="0071274A"/>
    <w:rsid w:val="007127DF"/>
    <w:rsid w:val="00712873"/>
    <w:rsid w:val="00712A98"/>
    <w:rsid w:val="00712B0F"/>
    <w:rsid w:val="00712B69"/>
    <w:rsid w:val="00712D21"/>
    <w:rsid w:val="00712E17"/>
    <w:rsid w:val="00712EDB"/>
    <w:rsid w:val="00712F89"/>
    <w:rsid w:val="007130A6"/>
    <w:rsid w:val="007130F7"/>
    <w:rsid w:val="007131E3"/>
    <w:rsid w:val="007132C8"/>
    <w:rsid w:val="007134B2"/>
    <w:rsid w:val="007135D2"/>
    <w:rsid w:val="00713608"/>
    <w:rsid w:val="007136C0"/>
    <w:rsid w:val="0071377E"/>
    <w:rsid w:val="007138B0"/>
    <w:rsid w:val="00713955"/>
    <w:rsid w:val="00713A02"/>
    <w:rsid w:val="00713BF8"/>
    <w:rsid w:val="00713C44"/>
    <w:rsid w:val="00713E4C"/>
    <w:rsid w:val="00713EC2"/>
    <w:rsid w:val="007141BD"/>
    <w:rsid w:val="00714476"/>
    <w:rsid w:val="007144C2"/>
    <w:rsid w:val="00714517"/>
    <w:rsid w:val="00714585"/>
    <w:rsid w:val="007145E9"/>
    <w:rsid w:val="007147BF"/>
    <w:rsid w:val="007149F5"/>
    <w:rsid w:val="00714A88"/>
    <w:rsid w:val="00714BE5"/>
    <w:rsid w:val="00714C2A"/>
    <w:rsid w:val="00714D00"/>
    <w:rsid w:val="00714D1E"/>
    <w:rsid w:val="00714FA7"/>
    <w:rsid w:val="00715236"/>
    <w:rsid w:val="00715257"/>
    <w:rsid w:val="007152A4"/>
    <w:rsid w:val="00715526"/>
    <w:rsid w:val="00715543"/>
    <w:rsid w:val="0071562B"/>
    <w:rsid w:val="0071591F"/>
    <w:rsid w:val="00715AA4"/>
    <w:rsid w:val="00715BEB"/>
    <w:rsid w:val="00716006"/>
    <w:rsid w:val="00716061"/>
    <w:rsid w:val="00716316"/>
    <w:rsid w:val="00716340"/>
    <w:rsid w:val="00716516"/>
    <w:rsid w:val="007168EC"/>
    <w:rsid w:val="00716998"/>
    <w:rsid w:val="00716ABA"/>
    <w:rsid w:val="00716AC7"/>
    <w:rsid w:val="00716B83"/>
    <w:rsid w:val="00716C9E"/>
    <w:rsid w:val="00716CB4"/>
    <w:rsid w:val="00716E56"/>
    <w:rsid w:val="00716F0C"/>
    <w:rsid w:val="00716F55"/>
    <w:rsid w:val="0071703A"/>
    <w:rsid w:val="007171CB"/>
    <w:rsid w:val="007171D1"/>
    <w:rsid w:val="0071721D"/>
    <w:rsid w:val="007173A9"/>
    <w:rsid w:val="0071758B"/>
    <w:rsid w:val="007176AB"/>
    <w:rsid w:val="00717828"/>
    <w:rsid w:val="00717830"/>
    <w:rsid w:val="007179FD"/>
    <w:rsid w:val="00717A22"/>
    <w:rsid w:val="00717A34"/>
    <w:rsid w:val="00717A87"/>
    <w:rsid w:val="00717AAE"/>
    <w:rsid w:val="00717AC9"/>
    <w:rsid w:val="00717B6A"/>
    <w:rsid w:val="00717B9D"/>
    <w:rsid w:val="00717C20"/>
    <w:rsid w:val="00717C94"/>
    <w:rsid w:val="00717EDD"/>
    <w:rsid w:val="00720175"/>
    <w:rsid w:val="0072025E"/>
    <w:rsid w:val="007203E5"/>
    <w:rsid w:val="0072054E"/>
    <w:rsid w:val="007205A0"/>
    <w:rsid w:val="007205AE"/>
    <w:rsid w:val="00720650"/>
    <w:rsid w:val="00720707"/>
    <w:rsid w:val="0072079A"/>
    <w:rsid w:val="007209F2"/>
    <w:rsid w:val="00720AE2"/>
    <w:rsid w:val="00720AE6"/>
    <w:rsid w:val="00720C6F"/>
    <w:rsid w:val="00720CBF"/>
    <w:rsid w:val="00720DD6"/>
    <w:rsid w:val="00720E6A"/>
    <w:rsid w:val="00720EC8"/>
    <w:rsid w:val="0072106A"/>
    <w:rsid w:val="007210FA"/>
    <w:rsid w:val="0072120D"/>
    <w:rsid w:val="0072126B"/>
    <w:rsid w:val="00721323"/>
    <w:rsid w:val="0072133F"/>
    <w:rsid w:val="00721475"/>
    <w:rsid w:val="007215A2"/>
    <w:rsid w:val="007215AB"/>
    <w:rsid w:val="0072193F"/>
    <w:rsid w:val="007219DD"/>
    <w:rsid w:val="007219FE"/>
    <w:rsid w:val="00721BA4"/>
    <w:rsid w:val="00721BBC"/>
    <w:rsid w:val="00721D3C"/>
    <w:rsid w:val="00721EFD"/>
    <w:rsid w:val="007220F1"/>
    <w:rsid w:val="0072212A"/>
    <w:rsid w:val="0072251F"/>
    <w:rsid w:val="00722643"/>
    <w:rsid w:val="0072282E"/>
    <w:rsid w:val="007228BC"/>
    <w:rsid w:val="00722BC7"/>
    <w:rsid w:val="00722C1D"/>
    <w:rsid w:val="00722C68"/>
    <w:rsid w:val="00722CEC"/>
    <w:rsid w:val="00722E07"/>
    <w:rsid w:val="00722E51"/>
    <w:rsid w:val="00722ED9"/>
    <w:rsid w:val="00722FD9"/>
    <w:rsid w:val="007230CC"/>
    <w:rsid w:val="007230EC"/>
    <w:rsid w:val="0072316D"/>
    <w:rsid w:val="007231C3"/>
    <w:rsid w:val="007232A1"/>
    <w:rsid w:val="0072333D"/>
    <w:rsid w:val="007233A8"/>
    <w:rsid w:val="007234A4"/>
    <w:rsid w:val="007234F4"/>
    <w:rsid w:val="00723535"/>
    <w:rsid w:val="0072354B"/>
    <w:rsid w:val="0072360B"/>
    <w:rsid w:val="007236DA"/>
    <w:rsid w:val="007237F5"/>
    <w:rsid w:val="00723A17"/>
    <w:rsid w:val="00723B72"/>
    <w:rsid w:val="00723B93"/>
    <w:rsid w:val="00723C59"/>
    <w:rsid w:val="00723D3C"/>
    <w:rsid w:val="00723E05"/>
    <w:rsid w:val="00723E3F"/>
    <w:rsid w:val="00723E83"/>
    <w:rsid w:val="00723F00"/>
    <w:rsid w:val="00723F4C"/>
    <w:rsid w:val="007241AD"/>
    <w:rsid w:val="0072468B"/>
    <w:rsid w:val="00724743"/>
    <w:rsid w:val="0072489C"/>
    <w:rsid w:val="00724943"/>
    <w:rsid w:val="007249BB"/>
    <w:rsid w:val="00724BC0"/>
    <w:rsid w:val="00724C5C"/>
    <w:rsid w:val="00724C8A"/>
    <w:rsid w:val="00724CB5"/>
    <w:rsid w:val="00724EFE"/>
    <w:rsid w:val="00724FB7"/>
    <w:rsid w:val="00725321"/>
    <w:rsid w:val="0072542D"/>
    <w:rsid w:val="00725479"/>
    <w:rsid w:val="0072557A"/>
    <w:rsid w:val="007257B2"/>
    <w:rsid w:val="00725822"/>
    <w:rsid w:val="00725853"/>
    <w:rsid w:val="00725860"/>
    <w:rsid w:val="00725A51"/>
    <w:rsid w:val="00725A54"/>
    <w:rsid w:val="00725AD7"/>
    <w:rsid w:val="00725AFB"/>
    <w:rsid w:val="00725C8A"/>
    <w:rsid w:val="00725FBD"/>
    <w:rsid w:val="00726030"/>
    <w:rsid w:val="0072607A"/>
    <w:rsid w:val="007260C8"/>
    <w:rsid w:val="007261AE"/>
    <w:rsid w:val="007261B2"/>
    <w:rsid w:val="0072639B"/>
    <w:rsid w:val="0072650D"/>
    <w:rsid w:val="007265F8"/>
    <w:rsid w:val="0072661F"/>
    <w:rsid w:val="007267BF"/>
    <w:rsid w:val="007268AA"/>
    <w:rsid w:val="007269A7"/>
    <w:rsid w:val="00726A38"/>
    <w:rsid w:val="00726ACB"/>
    <w:rsid w:val="00726B56"/>
    <w:rsid w:val="00726D09"/>
    <w:rsid w:val="00726D21"/>
    <w:rsid w:val="00726E99"/>
    <w:rsid w:val="00727062"/>
    <w:rsid w:val="007270BE"/>
    <w:rsid w:val="00727197"/>
    <w:rsid w:val="00727301"/>
    <w:rsid w:val="0072730B"/>
    <w:rsid w:val="00727336"/>
    <w:rsid w:val="0072736D"/>
    <w:rsid w:val="007275B4"/>
    <w:rsid w:val="00727616"/>
    <w:rsid w:val="007276BB"/>
    <w:rsid w:val="007276E3"/>
    <w:rsid w:val="00727BA9"/>
    <w:rsid w:val="00727C44"/>
    <w:rsid w:val="00727DD2"/>
    <w:rsid w:val="00727DD3"/>
    <w:rsid w:val="00727DE2"/>
    <w:rsid w:val="00727E1B"/>
    <w:rsid w:val="007300DC"/>
    <w:rsid w:val="0073026F"/>
    <w:rsid w:val="00730492"/>
    <w:rsid w:val="007304A6"/>
    <w:rsid w:val="0073056A"/>
    <w:rsid w:val="007306FD"/>
    <w:rsid w:val="00730755"/>
    <w:rsid w:val="00730878"/>
    <w:rsid w:val="00730C12"/>
    <w:rsid w:val="00730C70"/>
    <w:rsid w:val="00730E5E"/>
    <w:rsid w:val="00731440"/>
    <w:rsid w:val="0073149F"/>
    <w:rsid w:val="0073162A"/>
    <w:rsid w:val="00731837"/>
    <w:rsid w:val="00731895"/>
    <w:rsid w:val="00731984"/>
    <w:rsid w:val="00731C4D"/>
    <w:rsid w:val="00731D56"/>
    <w:rsid w:val="00731DD1"/>
    <w:rsid w:val="00731EF6"/>
    <w:rsid w:val="007321B9"/>
    <w:rsid w:val="0073228B"/>
    <w:rsid w:val="007322F2"/>
    <w:rsid w:val="00732375"/>
    <w:rsid w:val="0073237E"/>
    <w:rsid w:val="007324B6"/>
    <w:rsid w:val="00732B73"/>
    <w:rsid w:val="00732C05"/>
    <w:rsid w:val="007331CC"/>
    <w:rsid w:val="00733254"/>
    <w:rsid w:val="0073346E"/>
    <w:rsid w:val="0073347A"/>
    <w:rsid w:val="00733515"/>
    <w:rsid w:val="007335A1"/>
    <w:rsid w:val="007335B3"/>
    <w:rsid w:val="0073360A"/>
    <w:rsid w:val="00733758"/>
    <w:rsid w:val="00733817"/>
    <w:rsid w:val="007338CE"/>
    <w:rsid w:val="00733911"/>
    <w:rsid w:val="00733A4B"/>
    <w:rsid w:val="00733A80"/>
    <w:rsid w:val="00733CD9"/>
    <w:rsid w:val="00733EF7"/>
    <w:rsid w:val="00733FE3"/>
    <w:rsid w:val="0073415E"/>
    <w:rsid w:val="00734303"/>
    <w:rsid w:val="0073432F"/>
    <w:rsid w:val="0073433E"/>
    <w:rsid w:val="0073461F"/>
    <w:rsid w:val="00734684"/>
    <w:rsid w:val="00734B1D"/>
    <w:rsid w:val="00734B20"/>
    <w:rsid w:val="00734B80"/>
    <w:rsid w:val="00734BF4"/>
    <w:rsid w:val="00734C4D"/>
    <w:rsid w:val="00734EDB"/>
    <w:rsid w:val="00734F45"/>
    <w:rsid w:val="007352D3"/>
    <w:rsid w:val="00735371"/>
    <w:rsid w:val="007353DE"/>
    <w:rsid w:val="00735605"/>
    <w:rsid w:val="007357CD"/>
    <w:rsid w:val="00735A20"/>
    <w:rsid w:val="00735A6E"/>
    <w:rsid w:val="00735C96"/>
    <w:rsid w:val="00735CEF"/>
    <w:rsid w:val="00735DC4"/>
    <w:rsid w:val="00735E28"/>
    <w:rsid w:val="00735E71"/>
    <w:rsid w:val="00735F84"/>
    <w:rsid w:val="00735FAD"/>
    <w:rsid w:val="00736019"/>
    <w:rsid w:val="0073604F"/>
    <w:rsid w:val="007361F1"/>
    <w:rsid w:val="0073624A"/>
    <w:rsid w:val="007362E6"/>
    <w:rsid w:val="007364CC"/>
    <w:rsid w:val="0073664A"/>
    <w:rsid w:val="00736817"/>
    <w:rsid w:val="00736930"/>
    <w:rsid w:val="00736987"/>
    <w:rsid w:val="00736AD4"/>
    <w:rsid w:val="00736E72"/>
    <w:rsid w:val="00736ECA"/>
    <w:rsid w:val="00736F21"/>
    <w:rsid w:val="0073703D"/>
    <w:rsid w:val="0073717F"/>
    <w:rsid w:val="007371E8"/>
    <w:rsid w:val="00737281"/>
    <w:rsid w:val="00737491"/>
    <w:rsid w:val="007376E0"/>
    <w:rsid w:val="00737765"/>
    <w:rsid w:val="00737926"/>
    <w:rsid w:val="00737935"/>
    <w:rsid w:val="00737B35"/>
    <w:rsid w:val="00737CA6"/>
    <w:rsid w:val="00737F64"/>
    <w:rsid w:val="00740115"/>
    <w:rsid w:val="0074029D"/>
    <w:rsid w:val="007404DE"/>
    <w:rsid w:val="0074050F"/>
    <w:rsid w:val="00740623"/>
    <w:rsid w:val="007406A0"/>
    <w:rsid w:val="0074075F"/>
    <w:rsid w:val="0074084C"/>
    <w:rsid w:val="00740959"/>
    <w:rsid w:val="00740B1B"/>
    <w:rsid w:val="00740DC3"/>
    <w:rsid w:val="00740E65"/>
    <w:rsid w:val="0074103B"/>
    <w:rsid w:val="00741211"/>
    <w:rsid w:val="0074125E"/>
    <w:rsid w:val="00741436"/>
    <w:rsid w:val="00741586"/>
    <w:rsid w:val="007415E2"/>
    <w:rsid w:val="007416A6"/>
    <w:rsid w:val="007416AD"/>
    <w:rsid w:val="007419B0"/>
    <w:rsid w:val="00741BB7"/>
    <w:rsid w:val="00741BD6"/>
    <w:rsid w:val="00741E35"/>
    <w:rsid w:val="00741F66"/>
    <w:rsid w:val="00741FE6"/>
    <w:rsid w:val="0074219C"/>
    <w:rsid w:val="007423A0"/>
    <w:rsid w:val="007423FA"/>
    <w:rsid w:val="00742475"/>
    <w:rsid w:val="0074274A"/>
    <w:rsid w:val="00742758"/>
    <w:rsid w:val="00742A90"/>
    <w:rsid w:val="00742D30"/>
    <w:rsid w:val="00742D72"/>
    <w:rsid w:val="00742E42"/>
    <w:rsid w:val="00742EC5"/>
    <w:rsid w:val="007433E6"/>
    <w:rsid w:val="00743440"/>
    <w:rsid w:val="00743498"/>
    <w:rsid w:val="00743521"/>
    <w:rsid w:val="0074379A"/>
    <w:rsid w:val="007437A6"/>
    <w:rsid w:val="007437FB"/>
    <w:rsid w:val="0074392B"/>
    <w:rsid w:val="00743939"/>
    <w:rsid w:val="007439E3"/>
    <w:rsid w:val="00743ADD"/>
    <w:rsid w:val="00743B6B"/>
    <w:rsid w:val="00743DC4"/>
    <w:rsid w:val="00743DD3"/>
    <w:rsid w:val="00743DF8"/>
    <w:rsid w:val="007440B7"/>
    <w:rsid w:val="007442ED"/>
    <w:rsid w:val="007443E6"/>
    <w:rsid w:val="007444E8"/>
    <w:rsid w:val="0074475A"/>
    <w:rsid w:val="0074479C"/>
    <w:rsid w:val="0074490D"/>
    <w:rsid w:val="00744A5F"/>
    <w:rsid w:val="00744CC9"/>
    <w:rsid w:val="00744CF3"/>
    <w:rsid w:val="00744DA0"/>
    <w:rsid w:val="00744DA2"/>
    <w:rsid w:val="00744DB5"/>
    <w:rsid w:val="00744DE9"/>
    <w:rsid w:val="00744E18"/>
    <w:rsid w:val="00744F08"/>
    <w:rsid w:val="00744F23"/>
    <w:rsid w:val="00744F2E"/>
    <w:rsid w:val="00745133"/>
    <w:rsid w:val="00745139"/>
    <w:rsid w:val="00745359"/>
    <w:rsid w:val="007453CB"/>
    <w:rsid w:val="00745612"/>
    <w:rsid w:val="007456A3"/>
    <w:rsid w:val="0074595B"/>
    <w:rsid w:val="0074598C"/>
    <w:rsid w:val="007459B5"/>
    <w:rsid w:val="00745A02"/>
    <w:rsid w:val="00745BE5"/>
    <w:rsid w:val="00745E92"/>
    <w:rsid w:val="007460B4"/>
    <w:rsid w:val="007460C6"/>
    <w:rsid w:val="00746114"/>
    <w:rsid w:val="00746121"/>
    <w:rsid w:val="00746183"/>
    <w:rsid w:val="007463B2"/>
    <w:rsid w:val="007463E0"/>
    <w:rsid w:val="007463ED"/>
    <w:rsid w:val="00746504"/>
    <w:rsid w:val="00746720"/>
    <w:rsid w:val="007467E8"/>
    <w:rsid w:val="00746918"/>
    <w:rsid w:val="00746A23"/>
    <w:rsid w:val="00746ABC"/>
    <w:rsid w:val="00746BCA"/>
    <w:rsid w:val="00746BD4"/>
    <w:rsid w:val="00746DDC"/>
    <w:rsid w:val="00746DF6"/>
    <w:rsid w:val="00747045"/>
    <w:rsid w:val="007470EF"/>
    <w:rsid w:val="00747135"/>
    <w:rsid w:val="0074720C"/>
    <w:rsid w:val="007472D6"/>
    <w:rsid w:val="0074734E"/>
    <w:rsid w:val="007473B4"/>
    <w:rsid w:val="007475E4"/>
    <w:rsid w:val="00747633"/>
    <w:rsid w:val="00747816"/>
    <w:rsid w:val="00747896"/>
    <w:rsid w:val="00747A58"/>
    <w:rsid w:val="00747B1F"/>
    <w:rsid w:val="00747C3B"/>
    <w:rsid w:val="00747CAE"/>
    <w:rsid w:val="00747FA6"/>
    <w:rsid w:val="0075009B"/>
    <w:rsid w:val="007503AA"/>
    <w:rsid w:val="007505FF"/>
    <w:rsid w:val="0075060D"/>
    <w:rsid w:val="007506B5"/>
    <w:rsid w:val="00750A64"/>
    <w:rsid w:val="00750AE3"/>
    <w:rsid w:val="00750B13"/>
    <w:rsid w:val="00750BC8"/>
    <w:rsid w:val="00750BF5"/>
    <w:rsid w:val="00750CAB"/>
    <w:rsid w:val="00750DA6"/>
    <w:rsid w:val="00750DAE"/>
    <w:rsid w:val="0075157B"/>
    <w:rsid w:val="00751687"/>
    <w:rsid w:val="00751807"/>
    <w:rsid w:val="00751A62"/>
    <w:rsid w:val="00751AD2"/>
    <w:rsid w:val="00751B02"/>
    <w:rsid w:val="00751B7F"/>
    <w:rsid w:val="00751CFA"/>
    <w:rsid w:val="00751E58"/>
    <w:rsid w:val="00751E82"/>
    <w:rsid w:val="00751F2F"/>
    <w:rsid w:val="00751FB1"/>
    <w:rsid w:val="007520FB"/>
    <w:rsid w:val="00752217"/>
    <w:rsid w:val="007523C6"/>
    <w:rsid w:val="007523D8"/>
    <w:rsid w:val="0075243C"/>
    <w:rsid w:val="007524A4"/>
    <w:rsid w:val="007524F0"/>
    <w:rsid w:val="00752534"/>
    <w:rsid w:val="00752614"/>
    <w:rsid w:val="0075266F"/>
    <w:rsid w:val="00752943"/>
    <w:rsid w:val="007529BD"/>
    <w:rsid w:val="007529C1"/>
    <w:rsid w:val="00752AE2"/>
    <w:rsid w:val="00752BC8"/>
    <w:rsid w:val="00752D67"/>
    <w:rsid w:val="00752DB1"/>
    <w:rsid w:val="00752F2A"/>
    <w:rsid w:val="00752FE4"/>
    <w:rsid w:val="00752FE7"/>
    <w:rsid w:val="0075305C"/>
    <w:rsid w:val="0075306A"/>
    <w:rsid w:val="0075313E"/>
    <w:rsid w:val="007533F6"/>
    <w:rsid w:val="0075349E"/>
    <w:rsid w:val="00753664"/>
    <w:rsid w:val="0075366E"/>
    <w:rsid w:val="0075374F"/>
    <w:rsid w:val="00753951"/>
    <w:rsid w:val="007539F8"/>
    <w:rsid w:val="00753A5E"/>
    <w:rsid w:val="00753BD3"/>
    <w:rsid w:val="00753C5D"/>
    <w:rsid w:val="00753D6E"/>
    <w:rsid w:val="00753ED7"/>
    <w:rsid w:val="00753EDD"/>
    <w:rsid w:val="00753FA6"/>
    <w:rsid w:val="0075418E"/>
    <w:rsid w:val="007541C9"/>
    <w:rsid w:val="007541F2"/>
    <w:rsid w:val="007543E7"/>
    <w:rsid w:val="00754582"/>
    <w:rsid w:val="00754841"/>
    <w:rsid w:val="00754F62"/>
    <w:rsid w:val="00755131"/>
    <w:rsid w:val="00755183"/>
    <w:rsid w:val="00755216"/>
    <w:rsid w:val="007552F8"/>
    <w:rsid w:val="0075551E"/>
    <w:rsid w:val="0075553A"/>
    <w:rsid w:val="007558D2"/>
    <w:rsid w:val="00755AD7"/>
    <w:rsid w:val="00755C44"/>
    <w:rsid w:val="00755C5D"/>
    <w:rsid w:val="00755D31"/>
    <w:rsid w:val="00755D8F"/>
    <w:rsid w:val="00755DC0"/>
    <w:rsid w:val="00755EA2"/>
    <w:rsid w:val="00755FD3"/>
    <w:rsid w:val="00756002"/>
    <w:rsid w:val="00756118"/>
    <w:rsid w:val="00756142"/>
    <w:rsid w:val="00756515"/>
    <w:rsid w:val="0075658D"/>
    <w:rsid w:val="00756653"/>
    <w:rsid w:val="0075677F"/>
    <w:rsid w:val="0075682F"/>
    <w:rsid w:val="0075686F"/>
    <w:rsid w:val="007568A5"/>
    <w:rsid w:val="0075691F"/>
    <w:rsid w:val="00756A5E"/>
    <w:rsid w:val="00756BC8"/>
    <w:rsid w:val="00756FA4"/>
    <w:rsid w:val="0075715D"/>
    <w:rsid w:val="007571D3"/>
    <w:rsid w:val="00757266"/>
    <w:rsid w:val="00757367"/>
    <w:rsid w:val="0075736E"/>
    <w:rsid w:val="0075739D"/>
    <w:rsid w:val="0075766C"/>
    <w:rsid w:val="00757760"/>
    <w:rsid w:val="00757799"/>
    <w:rsid w:val="007577C1"/>
    <w:rsid w:val="007579F8"/>
    <w:rsid w:val="00757A53"/>
    <w:rsid w:val="00757B98"/>
    <w:rsid w:val="00757D55"/>
    <w:rsid w:val="00757D62"/>
    <w:rsid w:val="0076012F"/>
    <w:rsid w:val="007602AD"/>
    <w:rsid w:val="007603D4"/>
    <w:rsid w:val="0076049E"/>
    <w:rsid w:val="007604AB"/>
    <w:rsid w:val="0076056C"/>
    <w:rsid w:val="00760668"/>
    <w:rsid w:val="00760831"/>
    <w:rsid w:val="0076096E"/>
    <w:rsid w:val="007609E8"/>
    <w:rsid w:val="00760B04"/>
    <w:rsid w:val="00760B53"/>
    <w:rsid w:val="00760DFC"/>
    <w:rsid w:val="00760F6D"/>
    <w:rsid w:val="007610A1"/>
    <w:rsid w:val="0076129F"/>
    <w:rsid w:val="00761461"/>
    <w:rsid w:val="007614B2"/>
    <w:rsid w:val="007616A0"/>
    <w:rsid w:val="00761898"/>
    <w:rsid w:val="007618BE"/>
    <w:rsid w:val="0076193C"/>
    <w:rsid w:val="00761C3D"/>
    <w:rsid w:val="00761C77"/>
    <w:rsid w:val="00761D38"/>
    <w:rsid w:val="00761FE5"/>
    <w:rsid w:val="00762255"/>
    <w:rsid w:val="007622BD"/>
    <w:rsid w:val="007622EF"/>
    <w:rsid w:val="0076235C"/>
    <w:rsid w:val="0076237F"/>
    <w:rsid w:val="007626E2"/>
    <w:rsid w:val="00762DCC"/>
    <w:rsid w:val="00762E81"/>
    <w:rsid w:val="00762E94"/>
    <w:rsid w:val="00762F40"/>
    <w:rsid w:val="00762FD5"/>
    <w:rsid w:val="00762FEC"/>
    <w:rsid w:val="0076302A"/>
    <w:rsid w:val="00763089"/>
    <w:rsid w:val="007630FC"/>
    <w:rsid w:val="007631C0"/>
    <w:rsid w:val="00763364"/>
    <w:rsid w:val="00763410"/>
    <w:rsid w:val="00763454"/>
    <w:rsid w:val="0076348B"/>
    <w:rsid w:val="0076351C"/>
    <w:rsid w:val="00763576"/>
    <w:rsid w:val="0076375F"/>
    <w:rsid w:val="0076382D"/>
    <w:rsid w:val="007638CA"/>
    <w:rsid w:val="00763968"/>
    <w:rsid w:val="007639D0"/>
    <w:rsid w:val="007639D7"/>
    <w:rsid w:val="00763B87"/>
    <w:rsid w:val="00763C0B"/>
    <w:rsid w:val="00763CCD"/>
    <w:rsid w:val="00763D71"/>
    <w:rsid w:val="00764206"/>
    <w:rsid w:val="0076424A"/>
    <w:rsid w:val="0076436D"/>
    <w:rsid w:val="00764542"/>
    <w:rsid w:val="00764549"/>
    <w:rsid w:val="007646F4"/>
    <w:rsid w:val="007648C1"/>
    <w:rsid w:val="00764991"/>
    <w:rsid w:val="00764B3D"/>
    <w:rsid w:val="00764BFD"/>
    <w:rsid w:val="00764F16"/>
    <w:rsid w:val="0076505C"/>
    <w:rsid w:val="0076506F"/>
    <w:rsid w:val="007651DC"/>
    <w:rsid w:val="00765288"/>
    <w:rsid w:val="0076546D"/>
    <w:rsid w:val="00765A1A"/>
    <w:rsid w:val="00765B26"/>
    <w:rsid w:val="00765C85"/>
    <w:rsid w:val="00765CD8"/>
    <w:rsid w:val="00765D1A"/>
    <w:rsid w:val="00765DBC"/>
    <w:rsid w:val="00766110"/>
    <w:rsid w:val="00766221"/>
    <w:rsid w:val="0076624C"/>
    <w:rsid w:val="007662DF"/>
    <w:rsid w:val="007663CD"/>
    <w:rsid w:val="007664CB"/>
    <w:rsid w:val="0076669F"/>
    <w:rsid w:val="00766785"/>
    <w:rsid w:val="00766820"/>
    <w:rsid w:val="00766928"/>
    <w:rsid w:val="007669A4"/>
    <w:rsid w:val="00766CA9"/>
    <w:rsid w:val="00766E2C"/>
    <w:rsid w:val="00766E3E"/>
    <w:rsid w:val="00766FA7"/>
    <w:rsid w:val="00766FB9"/>
    <w:rsid w:val="007671A7"/>
    <w:rsid w:val="007671AF"/>
    <w:rsid w:val="00767233"/>
    <w:rsid w:val="0076725B"/>
    <w:rsid w:val="007672D4"/>
    <w:rsid w:val="007674A9"/>
    <w:rsid w:val="00767553"/>
    <w:rsid w:val="007676E3"/>
    <w:rsid w:val="007677A8"/>
    <w:rsid w:val="00767B19"/>
    <w:rsid w:val="00767B8D"/>
    <w:rsid w:val="00767BB6"/>
    <w:rsid w:val="00767BBA"/>
    <w:rsid w:val="00767BC6"/>
    <w:rsid w:val="00767F64"/>
    <w:rsid w:val="00767F85"/>
    <w:rsid w:val="0077007F"/>
    <w:rsid w:val="00770144"/>
    <w:rsid w:val="00770192"/>
    <w:rsid w:val="00770203"/>
    <w:rsid w:val="007702FC"/>
    <w:rsid w:val="007704C7"/>
    <w:rsid w:val="0077053C"/>
    <w:rsid w:val="0077066B"/>
    <w:rsid w:val="007706AC"/>
    <w:rsid w:val="00770707"/>
    <w:rsid w:val="0077074C"/>
    <w:rsid w:val="00770873"/>
    <w:rsid w:val="0077096C"/>
    <w:rsid w:val="007709D8"/>
    <w:rsid w:val="00770AB8"/>
    <w:rsid w:val="00770B3F"/>
    <w:rsid w:val="00770BBE"/>
    <w:rsid w:val="00770F62"/>
    <w:rsid w:val="00770FD6"/>
    <w:rsid w:val="007710D7"/>
    <w:rsid w:val="0077119A"/>
    <w:rsid w:val="00771359"/>
    <w:rsid w:val="007714B1"/>
    <w:rsid w:val="007715F4"/>
    <w:rsid w:val="007715FA"/>
    <w:rsid w:val="00771723"/>
    <w:rsid w:val="007718D3"/>
    <w:rsid w:val="00771A4B"/>
    <w:rsid w:val="00771D29"/>
    <w:rsid w:val="00771F25"/>
    <w:rsid w:val="00771FC6"/>
    <w:rsid w:val="007721FB"/>
    <w:rsid w:val="00772539"/>
    <w:rsid w:val="0077260C"/>
    <w:rsid w:val="007729D6"/>
    <w:rsid w:val="00772B04"/>
    <w:rsid w:val="00772B7A"/>
    <w:rsid w:val="00772C20"/>
    <w:rsid w:val="00772C73"/>
    <w:rsid w:val="00772D83"/>
    <w:rsid w:val="00772E58"/>
    <w:rsid w:val="00772EA9"/>
    <w:rsid w:val="00772F41"/>
    <w:rsid w:val="00772F98"/>
    <w:rsid w:val="00773113"/>
    <w:rsid w:val="00773150"/>
    <w:rsid w:val="007737BA"/>
    <w:rsid w:val="007739AC"/>
    <w:rsid w:val="00773A50"/>
    <w:rsid w:val="00773CCB"/>
    <w:rsid w:val="00773D30"/>
    <w:rsid w:val="00773E8E"/>
    <w:rsid w:val="00773EB7"/>
    <w:rsid w:val="00774147"/>
    <w:rsid w:val="0077451C"/>
    <w:rsid w:val="007746BD"/>
    <w:rsid w:val="007746D6"/>
    <w:rsid w:val="007746F4"/>
    <w:rsid w:val="0077495A"/>
    <w:rsid w:val="00774B27"/>
    <w:rsid w:val="00774C69"/>
    <w:rsid w:val="00774DB3"/>
    <w:rsid w:val="00774F5D"/>
    <w:rsid w:val="00775039"/>
    <w:rsid w:val="0077504D"/>
    <w:rsid w:val="0077549E"/>
    <w:rsid w:val="007754FC"/>
    <w:rsid w:val="0077592F"/>
    <w:rsid w:val="00775C9C"/>
    <w:rsid w:val="00775DA8"/>
    <w:rsid w:val="00775DC5"/>
    <w:rsid w:val="00775EBB"/>
    <w:rsid w:val="00775ED5"/>
    <w:rsid w:val="007760DD"/>
    <w:rsid w:val="007762CB"/>
    <w:rsid w:val="0077632E"/>
    <w:rsid w:val="00776378"/>
    <w:rsid w:val="0077650B"/>
    <w:rsid w:val="007765A5"/>
    <w:rsid w:val="007765ED"/>
    <w:rsid w:val="00776754"/>
    <w:rsid w:val="00776766"/>
    <w:rsid w:val="00776771"/>
    <w:rsid w:val="00776AEA"/>
    <w:rsid w:val="00776BC8"/>
    <w:rsid w:val="00776C95"/>
    <w:rsid w:val="00776E1D"/>
    <w:rsid w:val="00776F16"/>
    <w:rsid w:val="00776F3C"/>
    <w:rsid w:val="00776F9B"/>
    <w:rsid w:val="00777038"/>
    <w:rsid w:val="007770FB"/>
    <w:rsid w:val="00777266"/>
    <w:rsid w:val="007772D8"/>
    <w:rsid w:val="00777367"/>
    <w:rsid w:val="00777700"/>
    <w:rsid w:val="007777CD"/>
    <w:rsid w:val="00777B4D"/>
    <w:rsid w:val="00780081"/>
    <w:rsid w:val="007803A7"/>
    <w:rsid w:val="007805D4"/>
    <w:rsid w:val="0078066F"/>
    <w:rsid w:val="00780866"/>
    <w:rsid w:val="0078088B"/>
    <w:rsid w:val="0078089F"/>
    <w:rsid w:val="007809C2"/>
    <w:rsid w:val="007809EB"/>
    <w:rsid w:val="00780B03"/>
    <w:rsid w:val="00780C76"/>
    <w:rsid w:val="00780C9C"/>
    <w:rsid w:val="00780F20"/>
    <w:rsid w:val="00780F2E"/>
    <w:rsid w:val="007810EE"/>
    <w:rsid w:val="00781142"/>
    <w:rsid w:val="007811E2"/>
    <w:rsid w:val="007812D2"/>
    <w:rsid w:val="007813C8"/>
    <w:rsid w:val="00781549"/>
    <w:rsid w:val="007815D2"/>
    <w:rsid w:val="007817A6"/>
    <w:rsid w:val="00781834"/>
    <w:rsid w:val="007818CA"/>
    <w:rsid w:val="00781992"/>
    <w:rsid w:val="00781CF8"/>
    <w:rsid w:val="00781F20"/>
    <w:rsid w:val="00781F93"/>
    <w:rsid w:val="0078200B"/>
    <w:rsid w:val="00782032"/>
    <w:rsid w:val="007821EB"/>
    <w:rsid w:val="007823E1"/>
    <w:rsid w:val="00782755"/>
    <w:rsid w:val="007828C7"/>
    <w:rsid w:val="00782C2B"/>
    <w:rsid w:val="00782D29"/>
    <w:rsid w:val="00782E27"/>
    <w:rsid w:val="0078323F"/>
    <w:rsid w:val="00783266"/>
    <w:rsid w:val="00783379"/>
    <w:rsid w:val="0078365C"/>
    <w:rsid w:val="00783665"/>
    <w:rsid w:val="007837C9"/>
    <w:rsid w:val="007838FE"/>
    <w:rsid w:val="00783A6B"/>
    <w:rsid w:val="00783BAB"/>
    <w:rsid w:val="00783C59"/>
    <w:rsid w:val="00783DC9"/>
    <w:rsid w:val="00783E8B"/>
    <w:rsid w:val="0078405F"/>
    <w:rsid w:val="007840DA"/>
    <w:rsid w:val="00784267"/>
    <w:rsid w:val="00784351"/>
    <w:rsid w:val="00784362"/>
    <w:rsid w:val="007843C7"/>
    <w:rsid w:val="007843FE"/>
    <w:rsid w:val="007846B6"/>
    <w:rsid w:val="0078470A"/>
    <w:rsid w:val="00784881"/>
    <w:rsid w:val="00784A80"/>
    <w:rsid w:val="00784BF2"/>
    <w:rsid w:val="00784D6A"/>
    <w:rsid w:val="00784DB3"/>
    <w:rsid w:val="00784DFC"/>
    <w:rsid w:val="00784F5E"/>
    <w:rsid w:val="00784F78"/>
    <w:rsid w:val="00785003"/>
    <w:rsid w:val="0078519E"/>
    <w:rsid w:val="007851D5"/>
    <w:rsid w:val="007852EA"/>
    <w:rsid w:val="00785342"/>
    <w:rsid w:val="007855DB"/>
    <w:rsid w:val="007856C6"/>
    <w:rsid w:val="007857AC"/>
    <w:rsid w:val="00785950"/>
    <w:rsid w:val="0078595C"/>
    <w:rsid w:val="00785AA8"/>
    <w:rsid w:val="00785B89"/>
    <w:rsid w:val="00785BAD"/>
    <w:rsid w:val="00785D41"/>
    <w:rsid w:val="00785D68"/>
    <w:rsid w:val="00785F13"/>
    <w:rsid w:val="00785F2F"/>
    <w:rsid w:val="00785F81"/>
    <w:rsid w:val="00785FA2"/>
    <w:rsid w:val="00786062"/>
    <w:rsid w:val="00786203"/>
    <w:rsid w:val="0078631F"/>
    <w:rsid w:val="007866AC"/>
    <w:rsid w:val="00786BA3"/>
    <w:rsid w:val="00786C1C"/>
    <w:rsid w:val="00786EA5"/>
    <w:rsid w:val="00786EC3"/>
    <w:rsid w:val="00786FED"/>
    <w:rsid w:val="007870F1"/>
    <w:rsid w:val="0078712C"/>
    <w:rsid w:val="007871C0"/>
    <w:rsid w:val="00787270"/>
    <w:rsid w:val="0078729D"/>
    <w:rsid w:val="00787574"/>
    <w:rsid w:val="00790014"/>
    <w:rsid w:val="00790286"/>
    <w:rsid w:val="007903B7"/>
    <w:rsid w:val="007903E4"/>
    <w:rsid w:val="0079047C"/>
    <w:rsid w:val="0079065D"/>
    <w:rsid w:val="00790993"/>
    <w:rsid w:val="007909CC"/>
    <w:rsid w:val="007909F6"/>
    <w:rsid w:val="00790A8E"/>
    <w:rsid w:val="00790E1D"/>
    <w:rsid w:val="00790F02"/>
    <w:rsid w:val="00790F2C"/>
    <w:rsid w:val="00791101"/>
    <w:rsid w:val="0079115D"/>
    <w:rsid w:val="007911FA"/>
    <w:rsid w:val="00791229"/>
    <w:rsid w:val="00791348"/>
    <w:rsid w:val="0079139D"/>
    <w:rsid w:val="00791508"/>
    <w:rsid w:val="00791544"/>
    <w:rsid w:val="007916CB"/>
    <w:rsid w:val="00791778"/>
    <w:rsid w:val="007917A7"/>
    <w:rsid w:val="007917F7"/>
    <w:rsid w:val="0079185A"/>
    <w:rsid w:val="0079191D"/>
    <w:rsid w:val="0079199F"/>
    <w:rsid w:val="00791A32"/>
    <w:rsid w:val="00791C29"/>
    <w:rsid w:val="00791CF9"/>
    <w:rsid w:val="00791D7B"/>
    <w:rsid w:val="00791E90"/>
    <w:rsid w:val="0079207A"/>
    <w:rsid w:val="007921D4"/>
    <w:rsid w:val="007921F4"/>
    <w:rsid w:val="007922FE"/>
    <w:rsid w:val="007923AA"/>
    <w:rsid w:val="007923EF"/>
    <w:rsid w:val="00792561"/>
    <w:rsid w:val="0079256A"/>
    <w:rsid w:val="007927C0"/>
    <w:rsid w:val="007928D4"/>
    <w:rsid w:val="007928E6"/>
    <w:rsid w:val="00792A59"/>
    <w:rsid w:val="00792AC9"/>
    <w:rsid w:val="00792B1E"/>
    <w:rsid w:val="00792B3B"/>
    <w:rsid w:val="00792C69"/>
    <w:rsid w:val="00792D4D"/>
    <w:rsid w:val="00792E54"/>
    <w:rsid w:val="00792EC7"/>
    <w:rsid w:val="007932F9"/>
    <w:rsid w:val="007933C0"/>
    <w:rsid w:val="0079345F"/>
    <w:rsid w:val="00793484"/>
    <w:rsid w:val="0079348E"/>
    <w:rsid w:val="0079349B"/>
    <w:rsid w:val="00793540"/>
    <w:rsid w:val="00793610"/>
    <w:rsid w:val="00793663"/>
    <w:rsid w:val="00793868"/>
    <w:rsid w:val="00793951"/>
    <w:rsid w:val="00793A75"/>
    <w:rsid w:val="00793A77"/>
    <w:rsid w:val="00793AB0"/>
    <w:rsid w:val="00793AF4"/>
    <w:rsid w:val="00793BDD"/>
    <w:rsid w:val="00793CB8"/>
    <w:rsid w:val="00793D31"/>
    <w:rsid w:val="00793D89"/>
    <w:rsid w:val="00793F57"/>
    <w:rsid w:val="00794063"/>
    <w:rsid w:val="00794072"/>
    <w:rsid w:val="007941AD"/>
    <w:rsid w:val="007941BA"/>
    <w:rsid w:val="00794224"/>
    <w:rsid w:val="00794486"/>
    <w:rsid w:val="00794532"/>
    <w:rsid w:val="0079456F"/>
    <w:rsid w:val="00794626"/>
    <w:rsid w:val="007947AA"/>
    <w:rsid w:val="00794C0D"/>
    <w:rsid w:val="00794E3F"/>
    <w:rsid w:val="00794E84"/>
    <w:rsid w:val="00794EA4"/>
    <w:rsid w:val="00794FF6"/>
    <w:rsid w:val="00795020"/>
    <w:rsid w:val="00795099"/>
    <w:rsid w:val="007950A4"/>
    <w:rsid w:val="00795186"/>
    <w:rsid w:val="0079526B"/>
    <w:rsid w:val="0079526E"/>
    <w:rsid w:val="007953B8"/>
    <w:rsid w:val="007953E4"/>
    <w:rsid w:val="0079542B"/>
    <w:rsid w:val="007954A0"/>
    <w:rsid w:val="007954DF"/>
    <w:rsid w:val="0079565F"/>
    <w:rsid w:val="007958D4"/>
    <w:rsid w:val="00795D28"/>
    <w:rsid w:val="00795ECC"/>
    <w:rsid w:val="00795EDD"/>
    <w:rsid w:val="00795F8C"/>
    <w:rsid w:val="00795F90"/>
    <w:rsid w:val="007960E8"/>
    <w:rsid w:val="007961A6"/>
    <w:rsid w:val="007963EA"/>
    <w:rsid w:val="00796614"/>
    <w:rsid w:val="007966A2"/>
    <w:rsid w:val="007968B5"/>
    <w:rsid w:val="007968E1"/>
    <w:rsid w:val="007968E2"/>
    <w:rsid w:val="007969A7"/>
    <w:rsid w:val="00796B6E"/>
    <w:rsid w:val="00796D8B"/>
    <w:rsid w:val="00796FC5"/>
    <w:rsid w:val="00797061"/>
    <w:rsid w:val="007970E8"/>
    <w:rsid w:val="00797223"/>
    <w:rsid w:val="007972AD"/>
    <w:rsid w:val="007973A6"/>
    <w:rsid w:val="007973F6"/>
    <w:rsid w:val="00797533"/>
    <w:rsid w:val="0079755D"/>
    <w:rsid w:val="007975FB"/>
    <w:rsid w:val="007976ED"/>
    <w:rsid w:val="0079774B"/>
    <w:rsid w:val="00797766"/>
    <w:rsid w:val="00797A90"/>
    <w:rsid w:val="00797B28"/>
    <w:rsid w:val="00797B46"/>
    <w:rsid w:val="00797CE5"/>
    <w:rsid w:val="00797EFB"/>
    <w:rsid w:val="007A02C4"/>
    <w:rsid w:val="007A0360"/>
    <w:rsid w:val="007A037F"/>
    <w:rsid w:val="007A0535"/>
    <w:rsid w:val="007A0576"/>
    <w:rsid w:val="007A05F5"/>
    <w:rsid w:val="007A06E0"/>
    <w:rsid w:val="007A071C"/>
    <w:rsid w:val="007A073B"/>
    <w:rsid w:val="007A07A4"/>
    <w:rsid w:val="007A0904"/>
    <w:rsid w:val="007A0A79"/>
    <w:rsid w:val="007A0B4B"/>
    <w:rsid w:val="007A0BE7"/>
    <w:rsid w:val="007A0DA8"/>
    <w:rsid w:val="007A0EAC"/>
    <w:rsid w:val="007A0ECB"/>
    <w:rsid w:val="007A0FC7"/>
    <w:rsid w:val="007A1022"/>
    <w:rsid w:val="007A104A"/>
    <w:rsid w:val="007A1305"/>
    <w:rsid w:val="007A17C0"/>
    <w:rsid w:val="007A1B75"/>
    <w:rsid w:val="007A1BBC"/>
    <w:rsid w:val="007A1D42"/>
    <w:rsid w:val="007A1DB5"/>
    <w:rsid w:val="007A1DF3"/>
    <w:rsid w:val="007A1E54"/>
    <w:rsid w:val="007A20A2"/>
    <w:rsid w:val="007A2293"/>
    <w:rsid w:val="007A2653"/>
    <w:rsid w:val="007A2701"/>
    <w:rsid w:val="007A2907"/>
    <w:rsid w:val="007A2A7C"/>
    <w:rsid w:val="007A2D80"/>
    <w:rsid w:val="007A2DB8"/>
    <w:rsid w:val="007A2DF9"/>
    <w:rsid w:val="007A31CD"/>
    <w:rsid w:val="007A3282"/>
    <w:rsid w:val="007A329A"/>
    <w:rsid w:val="007A343C"/>
    <w:rsid w:val="007A34E7"/>
    <w:rsid w:val="007A36E0"/>
    <w:rsid w:val="007A36F9"/>
    <w:rsid w:val="007A3861"/>
    <w:rsid w:val="007A3997"/>
    <w:rsid w:val="007A3AC2"/>
    <w:rsid w:val="007A3B89"/>
    <w:rsid w:val="007A3BF7"/>
    <w:rsid w:val="007A3E84"/>
    <w:rsid w:val="007A3F2B"/>
    <w:rsid w:val="007A3F4D"/>
    <w:rsid w:val="007A3FB0"/>
    <w:rsid w:val="007A3FC3"/>
    <w:rsid w:val="007A3FE3"/>
    <w:rsid w:val="007A4016"/>
    <w:rsid w:val="007A4037"/>
    <w:rsid w:val="007A4085"/>
    <w:rsid w:val="007A4236"/>
    <w:rsid w:val="007A4593"/>
    <w:rsid w:val="007A4799"/>
    <w:rsid w:val="007A4A3C"/>
    <w:rsid w:val="007A4BF2"/>
    <w:rsid w:val="007A4C2E"/>
    <w:rsid w:val="007A4EC7"/>
    <w:rsid w:val="007A4F6C"/>
    <w:rsid w:val="007A4FEE"/>
    <w:rsid w:val="007A515A"/>
    <w:rsid w:val="007A5301"/>
    <w:rsid w:val="007A548B"/>
    <w:rsid w:val="007A5546"/>
    <w:rsid w:val="007A56A8"/>
    <w:rsid w:val="007A5858"/>
    <w:rsid w:val="007A5863"/>
    <w:rsid w:val="007A5A60"/>
    <w:rsid w:val="007A5A77"/>
    <w:rsid w:val="007A5BBF"/>
    <w:rsid w:val="007A5D92"/>
    <w:rsid w:val="007A5D94"/>
    <w:rsid w:val="007A5DBE"/>
    <w:rsid w:val="007A62F2"/>
    <w:rsid w:val="007A6428"/>
    <w:rsid w:val="007A6749"/>
    <w:rsid w:val="007A686F"/>
    <w:rsid w:val="007A6ACF"/>
    <w:rsid w:val="007A6BE0"/>
    <w:rsid w:val="007A6C6B"/>
    <w:rsid w:val="007A6CF8"/>
    <w:rsid w:val="007A6E47"/>
    <w:rsid w:val="007A6E54"/>
    <w:rsid w:val="007A6FAD"/>
    <w:rsid w:val="007A6FE6"/>
    <w:rsid w:val="007A71FF"/>
    <w:rsid w:val="007A745E"/>
    <w:rsid w:val="007A75EF"/>
    <w:rsid w:val="007A7A29"/>
    <w:rsid w:val="007A7B09"/>
    <w:rsid w:val="007A7D05"/>
    <w:rsid w:val="007A7FA9"/>
    <w:rsid w:val="007B00AC"/>
    <w:rsid w:val="007B01BB"/>
    <w:rsid w:val="007B03D6"/>
    <w:rsid w:val="007B0444"/>
    <w:rsid w:val="007B06AD"/>
    <w:rsid w:val="007B07A4"/>
    <w:rsid w:val="007B08E5"/>
    <w:rsid w:val="007B0C33"/>
    <w:rsid w:val="007B0D2C"/>
    <w:rsid w:val="007B0DB2"/>
    <w:rsid w:val="007B0DBF"/>
    <w:rsid w:val="007B0EDA"/>
    <w:rsid w:val="007B0F2B"/>
    <w:rsid w:val="007B0FFA"/>
    <w:rsid w:val="007B10E5"/>
    <w:rsid w:val="007B1101"/>
    <w:rsid w:val="007B13E4"/>
    <w:rsid w:val="007B15EA"/>
    <w:rsid w:val="007B1977"/>
    <w:rsid w:val="007B1BF7"/>
    <w:rsid w:val="007B1C26"/>
    <w:rsid w:val="007B1EAA"/>
    <w:rsid w:val="007B2161"/>
    <w:rsid w:val="007B218C"/>
    <w:rsid w:val="007B2305"/>
    <w:rsid w:val="007B246A"/>
    <w:rsid w:val="007B2472"/>
    <w:rsid w:val="007B25AA"/>
    <w:rsid w:val="007B25D4"/>
    <w:rsid w:val="007B2801"/>
    <w:rsid w:val="007B2958"/>
    <w:rsid w:val="007B2BD0"/>
    <w:rsid w:val="007B2CAD"/>
    <w:rsid w:val="007B324B"/>
    <w:rsid w:val="007B3328"/>
    <w:rsid w:val="007B336C"/>
    <w:rsid w:val="007B3399"/>
    <w:rsid w:val="007B3628"/>
    <w:rsid w:val="007B3A28"/>
    <w:rsid w:val="007B3AE5"/>
    <w:rsid w:val="007B3D2A"/>
    <w:rsid w:val="007B3ED5"/>
    <w:rsid w:val="007B403F"/>
    <w:rsid w:val="007B46F9"/>
    <w:rsid w:val="007B4837"/>
    <w:rsid w:val="007B49A6"/>
    <w:rsid w:val="007B4A3C"/>
    <w:rsid w:val="007B4A9D"/>
    <w:rsid w:val="007B4BF8"/>
    <w:rsid w:val="007B4DA8"/>
    <w:rsid w:val="007B4E0D"/>
    <w:rsid w:val="007B4FB8"/>
    <w:rsid w:val="007B5080"/>
    <w:rsid w:val="007B5197"/>
    <w:rsid w:val="007B53BD"/>
    <w:rsid w:val="007B542F"/>
    <w:rsid w:val="007B5583"/>
    <w:rsid w:val="007B55A3"/>
    <w:rsid w:val="007B5750"/>
    <w:rsid w:val="007B57F1"/>
    <w:rsid w:val="007B5936"/>
    <w:rsid w:val="007B5946"/>
    <w:rsid w:val="007B59E3"/>
    <w:rsid w:val="007B5AEF"/>
    <w:rsid w:val="007B5C37"/>
    <w:rsid w:val="007B6113"/>
    <w:rsid w:val="007B6322"/>
    <w:rsid w:val="007B65F2"/>
    <w:rsid w:val="007B6666"/>
    <w:rsid w:val="007B6675"/>
    <w:rsid w:val="007B6954"/>
    <w:rsid w:val="007B6A9F"/>
    <w:rsid w:val="007B6AFA"/>
    <w:rsid w:val="007B6D79"/>
    <w:rsid w:val="007B6E30"/>
    <w:rsid w:val="007B6E78"/>
    <w:rsid w:val="007B6FA5"/>
    <w:rsid w:val="007B6FFE"/>
    <w:rsid w:val="007B706E"/>
    <w:rsid w:val="007B7254"/>
    <w:rsid w:val="007B727A"/>
    <w:rsid w:val="007B74B6"/>
    <w:rsid w:val="007B759F"/>
    <w:rsid w:val="007B76BA"/>
    <w:rsid w:val="007B7841"/>
    <w:rsid w:val="007B79B0"/>
    <w:rsid w:val="007B7A72"/>
    <w:rsid w:val="007B7A92"/>
    <w:rsid w:val="007B7B02"/>
    <w:rsid w:val="007B7C4E"/>
    <w:rsid w:val="007B7D00"/>
    <w:rsid w:val="007B7F11"/>
    <w:rsid w:val="007B7F21"/>
    <w:rsid w:val="007C00E9"/>
    <w:rsid w:val="007C0266"/>
    <w:rsid w:val="007C0300"/>
    <w:rsid w:val="007C0350"/>
    <w:rsid w:val="007C03FE"/>
    <w:rsid w:val="007C0405"/>
    <w:rsid w:val="007C05F2"/>
    <w:rsid w:val="007C076A"/>
    <w:rsid w:val="007C0786"/>
    <w:rsid w:val="007C0C0C"/>
    <w:rsid w:val="007C0C37"/>
    <w:rsid w:val="007C0FE8"/>
    <w:rsid w:val="007C1028"/>
    <w:rsid w:val="007C10BD"/>
    <w:rsid w:val="007C1181"/>
    <w:rsid w:val="007C11F1"/>
    <w:rsid w:val="007C136D"/>
    <w:rsid w:val="007C1433"/>
    <w:rsid w:val="007C1436"/>
    <w:rsid w:val="007C15D7"/>
    <w:rsid w:val="007C1621"/>
    <w:rsid w:val="007C1787"/>
    <w:rsid w:val="007C1963"/>
    <w:rsid w:val="007C19F9"/>
    <w:rsid w:val="007C1C04"/>
    <w:rsid w:val="007C1C5F"/>
    <w:rsid w:val="007C1CBC"/>
    <w:rsid w:val="007C1E19"/>
    <w:rsid w:val="007C2021"/>
    <w:rsid w:val="007C258F"/>
    <w:rsid w:val="007C263F"/>
    <w:rsid w:val="007C283A"/>
    <w:rsid w:val="007C28A3"/>
    <w:rsid w:val="007C28B0"/>
    <w:rsid w:val="007C293A"/>
    <w:rsid w:val="007C2B3E"/>
    <w:rsid w:val="007C2B73"/>
    <w:rsid w:val="007C2B8B"/>
    <w:rsid w:val="007C2C64"/>
    <w:rsid w:val="007C2DB2"/>
    <w:rsid w:val="007C2E31"/>
    <w:rsid w:val="007C2E92"/>
    <w:rsid w:val="007C2EF2"/>
    <w:rsid w:val="007C329E"/>
    <w:rsid w:val="007C32AF"/>
    <w:rsid w:val="007C3367"/>
    <w:rsid w:val="007C33DC"/>
    <w:rsid w:val="007C3537"/>
    <w:rsid w:val="007C3681"/>
    <w:rsid w:val="007C37F9"/>
    <w:rsid w:val="007C3879"/>
    <w:rsid w:val="007C39BA"/>
    <w:rsid w:val="007C39DF"/>
    <w:rsid w:val="007C3CF9"/>
    <w:rsid w:val="007C3EA9"/>
    <w:rsid w:val="007C3F53"/>
    <w:rsid w:val="007C3F5E"/>
    <w:rsid w:val="007C3FD7"/>
    <w:rsid w:val="007C3FEB"/>
    <w:rsid w:val="007C3FF6"/>
    <w:rsid w:val="007C40F1"/>
    <w:rsid w:val="007C41FE"/>
    <w:rsid w:val="007C44DB"/>
    <w:rsid w:val="007C4505"/>
    <w:rsid w:val="007C452C"/>
    <w:rsid w:val="007C459C"/>
    <w:rsid w:val="007C45F2"/>
    <w:rsid w:val="007C46A5"/>
    <w:rsid w:val="007C4700"/>
    <w:rsid w:val="007C4A0E"/>
    <w:rsid w:val="007C4C52"/>
    <w:rsid w:val="007C4D4C"/>
    <w:rsid w:val="007C4E9F"/>
    <w:rsid w:val="007C4EBB"/>
    <w:rsid w:val="007C4EC6"/>
    <w:rsid w:val="007C519A"/>
    <w:rsid w:val="007C5220"/>
    <w:rsid w:val="007C5293"/>
    <w:rsid w:val="007C53B9"/>
    <w:rsid w:val="007C55D7"/>
    <w:rsid w:val="007C574E"/>
    <w:rsid w:val="007C58CB"/>
    <w:rsid w:val="007C592D"/>
    <w:rsid w:val="007C5BED"/>
    <w:rsid w:val="007C5D0D"/>
    <w:rsid w:val="007C5D55"/>
    <w:rsid w:val="007C5FFC"/>
    <w:rsid w:val="007C6061"/>
    <w:rsid w:val="007C60A1"/>
    <w:rsid w:val="007C6248"/>
    <w:rsid w:val="007C629C"/>
    <w:rsid w:val="007C6347"/>
    <w:rsid w:val="007C6360"/>
    <w:rsid w:val="007C64BD"/>
    <w:rsid w:val="007C652D"/>
    <w:rsid w:val="007C6ACE"/>
    <w:rsid w:val="007C6B33"/>
    <w:rsid w:val="007C6C1C"/>
    <w:rsid w:val="007C6C5C"/>
    <w:rsid w:val="007C6F52"/>
    <w:rsid w:val="007C6F6D"/>
    <w:rsid w:val="007C6F80"/>
    <w:rsid w:val="007C6F81"/>
    <w:rsid w:val="007C7010"/>
    <w:rsid w:val="007C70B6"/>
    <w:rsid w:val="007C719C"/>
    <w:rsid w:val="007C7263"/>
    <w:rsid w:val="007C73C8"/>
    <w:rsid w:val="007C73F9"/>
    <w:rsid w:val="007C7460"/>
    <w:rsid w:val="007C768E"/>
    <w:rsid w:val="007C7760"/>
    <w:rsid w:val="007C78BF"/>
    <w:rsid w:val="007C7B20"/>
    <w:rsid w:val="007C7B7B"/>
    <w:rsid w:val="007C7B7E"/>
    <w:rsid w:val="007C7B95"/>
    <w:rsid w:val="007C7BB9"/>
    <w:rsid w:val="007C7E74"/>
    <w:rsid w:val="007C7F11"/>
    <w:rsid w:val="007C7FC9"/>
    <w:rsid w:val="007D04DE"/>
    <w:rsid w:val="007D0651"/>
    <w:rsid w:val="007D08F1"/>
    <w:rsid w:val="007D09A3"/>
    <w:rsid w:val="007D0C67"/>
    <w:rsid w:val="007D0E16"/>
    <w:rsid w:val="007D0E2F"/>
    <w:rsid w:val="007D1149"/>
    <w:rsid w:val="007D11E7"/>
    <w:rsid w:val="007D12FC"/>
    <w:rsid w:val="007D136D"/>
    <w:rsid w:val="007D149A"/>
    <w:rsid w:val="007D1545"/>
    <w:rsid w:val="007D1624"/>
    <w:rsid w:val="007D16A7"/>
    <w:rsid w:val="007D17BD"/>
    <w:rsid w:val="007D17E2"/>
    <w:rsid w:val="007D186C"/>
    <w:rsid w:val="007D188D"/>
    <w:rsid w:val="007D18F8"/>
    <w:rsid w:val="007D1A17"/>
    <w:rsid w:val="007D1B85"/>
    <w:rsid w:val="007D202D"/>
    <w:rsid w:val="007D20C3"/>
    <w:rsid w:val="007D2107"/>
    <w:rsid w:val="007D21E0"/>
    <w:rsid w:val="007D21FA"/>
    <w:rsid w:val="007D23DA"/>
    <w:rsid w:val="007D23F2"/>
    <w:rsid w:val="007D250C"/>
    <w:rsid w:val="007D2809"/>
    <w:rsid w:val="007D2A2B"/>
    <w:rsid w:val="007D2BA4"/>
    <w:rsid w:val="007D2BBC"/>
    <w:rsid w:val="007D2CC1"/>
    <w:rsid w:val="007D2CC4"/>
    <w:rsid w:val="007D2E95"/>
    <w:rsid w:val="007D2FC9"/>
    <w:rsid w:val="007D3073"/>
    <w:rsid w:val="007D3141"/>
    <w:rsid w:val="007D31D8"/>
    <w:rsid w:val="007D330C"/>
    <w:rsid w:val="007D3379"/>
    <w:rsid w:val="007D34DF"/>
    <w:rsid w:val="007D3508"/>
    <w:rsid w:val="007D3534"/>
    <w:rsid w:val="007D3586"/>
    <w:rsid w:val="007D36AB"/>
    <w:rsid w:val="007D3718"/>
    <w:rsid w:val="007D3719"/>
    <w:rsid w:val="007D376A"/>
    <w:rsid w:val="007D39FC"/>
    <w:rsid w:val="007D3A84"/>
    <w:rsid w:val="007D3D3E"/>
    <w:rsid w:val="007D3DDA"/>
    <w:rsid w:val="007D3E8A"/>
    <w:rsid w:val="007D408B"/>
    <w:rsid w:val="007D4106"/>
    <w:rsid w:val="007D4372"/>
    <w:rsid w:val="007D4389"/>
    <w:rsid w:val="007D438F"/>
    <w:rsid w:val="007D4405"/>
    <w:rsid w:val="007D4520"/>
    <w:rsid w:val="007D4654"/>
    <w:rsid w:val="007D477C"/>
    <w:rsid w:val="007D48C2"/>
    <w:rsid w:val="007D48DE"/>
    <w:rsid w:val="007D492F"/>
    <w:rsid w:val="007D4985"/>
    <w:rsid w:val="007D49FD"/>
    <w:rsid w:val="007D4A3B"/>
    <w:rsid w:val="007D4A8B"/>
    <w:rsid w:val="007D4C7D"/>
    <w:rsid w:val="007D4CF9"/>
    <w:rsid w:val="007D4DCB"/>
    <w:rsid w:val="007D4E90"/>
    <w:rsid w:val="007D4FBE"/>
    <w:rsid w:val="007D5024"/>
    <w:rsid w:val="007D5083"/>
    <w:rsid w:val="007D5313"/>
    <w:rsid w:val="007D5532"/>
    <w:rsid w:val="007D55A3"/>
    <w:rsid w:val="007D567F"/>
    <w:rsid w:val="007D56CA"/>
    <w:rsid w:val="007D571E"/>
    <w:rsid w:val="007D5956"/>
    <w:rsid w:val="007D59BA"/>
    <w:rsid w:val="007D5BAD"/>
    <w:rsid w:val="007D5D8C"/>
    <w:rsid w:val="007D5DB9"/>
    <w:rsid w:val="007D61D7"/>
    <w:rsid w:val="007D61F2"/>
    <w:rsid w:val="007D61F3"/>
    <w:rsid w:val="007D65DD"/>
    <w:rsid w:val="007D65ED"/>
    <w:rsid w:val="007D6847"/>
    <w:rsid w:val="007D6952"/>
    <w:rsid w:val="007D69A0"/>
    <w:rsid w:val="007D6B78"/>
    <w:rsid w:val="007D6CF7"/>
    <w:rsid w:val="007D6E7D"/>
    <w:rsid w:val="007D6F07"/>
    <w:rsid w:val="007D7102"/>
    <w:rsid w:val="007D73F0"/>
    <w:rsid w:val="007D7410"/>
    <w:rsid w:val="007D7492"/>
    <w:rsid w:val="007D756E"/>
    <w:rsid w:val="007D7948"/>
    <w:rsid w:val="007D7AE0"/>
    <w:rsid w:val="007D7BBF"/>
    <w:rsid w:val="007D7C30"/>
    <w:rsid w:val="007D7D4A"/>
    <w:rsid w:val="007D7F19"/>
    <w:rsid w:val="007D7F49"/>
    <w:rsid w:val="007E00EE"/>
    <w:rsid w:val="007E0138"/>
    <w:rsid w:val="007E0169"/>
    <w:rsid w:val="007E01C6"/>
    <w:rsid w:val="007E02B9"/>
    <w:rsid w:val="007E03D9"/>
    <w:rsid w:val="007E0450"/>
    <w:rsid w:val="007E0982"/>
    <w:rsid w:val="007E0DAB"/>
    <w:rsid w:val="007E0DED"/>
    <w:rsid w:val="007E0E5C"/>
    <w:rsid w:val="007E0F4A"/>
    <w:rsid w:val="007E0FFF"/>
    <w:rsid w:val="007E100B"/>
    <w:rsid w:val="007E1061"/>
    <w:rsid w:val="007E11B5"/>
    <w:rsid w:val="007E11DF"/>
    <w:rsid w:val="007E169C"/>
    <w:rsid w:val="007E16E8"/>
    <w:rsid w:val="007E188A"/>
    <w:rsid w:val="007E18E8"/>
    <w:rsid w:val="007E1925"/>
    <w:rsid w:val="007E1CDE"/>
    <w:rsid w:val="007E1E3E"/>
    <w:rsid w:val="007E1F3D"/>
    <w:rsid w:val="007E1F9A"/>
    <w:rsid w:val="007E20B6"/>
    <w:rsid w:val="007E21F3"/>
    <w:rsid w:val="007E2252"/>
    <w:rsid w:val="007E23BF"/>
    <w:rsid w:val="007E25A5"/>
    <w:rsid w:val="007E2629"/>
    <w:rsid w:val="007E26F3"/>
    <w:rsid w:val="007E27CF"/>
    <w:rsid w:val="007E28B2"/>
    <w:rsid w:val="007E2C7E"/>
    <w:rsid w:val="007E2DA4"/>
    <w:rsid w:val="007E2DEF"/>
    <w:rsid w:val="007E2F79"/>
    <w:rsid w:val="007E3072"/>
    <w:rsid w:val="007E30FB"/>
    <w:rsid w:val="007E3155"/>
    <w:rsid w:val="007E3241"/>
    <w:rsid w:val="007E3257"/>
    <w:rsid w:val="007E339B"/>
    <w:rsid w:val="007E33D0"/>
    <w:rsid w:val="007E3515"/>
    <w:rsid w:val="007E3629"/>
    <w:rsid w:val="007E3640"/>
    <w:rsid w:val="007E371B"/>
    <w:rsid w:val="007E387E"/>
    <w:rsid w:val="007E3898"/>
    <w:rsid w:val="007E397D"/>
    <w:rsid w:val="007E3A61"/>
    <w:rsid w:val="007E3AFD"/>
    <w:rsid w:val="007E3E3E"/>
    <w:rsid w:val="007E3EAA"/>
    <w:rsid w:val="007E3F2C"/>
    <w:rsid w:val="007E4019"/>
    <w:rsid w:val="007E4064"/>
    <w:rsid w:val="007E44E3"/>
    <w:rsid w:val="007E4589"/>
    <w:rsid w:val="007E47A6"/>
    <w:rsid w:val="007E483A"/>
    <w:rsid w:val="007E4876"/>
    <w:rsid w:val="007E4B2F"/>
    <w:rsid w:val="007E4BFE"/>
    <w:rsid w:val="007E4C82"/>
    <w:rsid w:val="007E4CA2"/>
    <w:rsid w:val="007E4E60"/>
    <w:rsid w:val="007E4F11"/>
    <w:rsid w:val="007E4FAB"/>
    <w:rsid w:val="007E544E"/>
    <w:rsid w:val="007E57FA"/>
    <w:rsid w:val="007E58B4"/>
    <w:rsid w:val="007E5905"/>
    <w:rsid w:val="007E59B1"/>
    <w:rsid w:val="007E5A7A"/>
    <w:rsid w:val="007E5C93"/>
    <w:rsid w:val="007E5CA3"/>
    <w:rsid w:val="007E5D27"/>
    <w:rsid w:val="007E5D8B"/>
    <w:rsid w:val="007E5E62"/>
    <w:rsid w:val="007E5EEB"/>
    <w:rsid w:val="007E5FD7"/>
    <w:rsid w:val="007E5FD8"/>
    <w:rsid w:val="007E5FF5"/>
    <w:rsid w:val="007E6078"/>
    <w:rsid w:val="007E646C"/>
    <w:rsid w:val="007E647F"/>
    <w:rsid w:val="007E651F"/>
    <w:rsid w:val="007E653A"/>
    <w:rsid w:val="007E67AE"/>
    <w:rsid w:val="007E67C1"/>
    <w:rsid w:val="007E67D7"/>
    <w:rsid w:val="007E6BEA"/>
    <w:rsid w:val="007E6BF0"/>
    <w:rsid w:val="007E6C69"/>
    <w:rsid w:val="007E6C96"/>
    <w:rsid w:val="007E6E0C"/>
    <w:rsid w:val="007E7012"/>
    <w:rsid w:val="007E706D"/>
    <w:rsid w:val="007E707E"/>
    <w:rsid w:val="007E7338"/>
    <w:rsid w:val="007E755D"/>
    <w:rsid w:val="007E7596"/>
    <w:rsid w:val="007E761C"/>
    <w:rsid w:val="007E7772"/>
    <w:rsid w:val="007E78B5"/>
    <w:rsid w:val="007E78E9"/>
    <w:rsid w:val="007E7AA6"/>
    <w:rsid w:val="007E7E9A"/>
    <w:rsid w:val="007E7EFB"/>
    <w:rsid w:val="007E7F12"/>
    <w:rsid w:val="007F0028"/>
    <w:rsid w:val="007F0081"/>
    <w:rsid w:val="007F02AA"/>
    <w:rsid w:val="007F03C2"/>
    <w:rsid w:val="007F0453"/>
    <w:rsid w:val="007F0488"/>
    <w:rsid w:val="007F04CD"/>
    <w:rsid w:val="007F064C"/>
    <w:rsid w:val="007F0673"/>
    <w:rsid w:val="007F06CC"/>
    <w:rsid w:val="007F0A75"/>
    <w:rsid w:val="007F0B0C"/>
    <w:rsid w:val="007F0C08"/>
    <w:rsid w:val="007F0DC5"/>
    <w:rsid w:val="007F0EA4"/>
    <w:rsid w:val="007F11E8"/>
    <w:rsid w:val="007F12D0"/>
    <w:rsid w:val="007F12E2"/>
    <w:rsid w:val="007F1795"/>
    <w:rsid w:val="007F179D"/>
    <w:rsid w:val="007F17C1"/>
    <w:rsid w:val="007F1802"/>
    <w:rsid w:val="007F1876"/>
    <w:rsid w:val="007F18AF"/>
    <w:rsid w:val="007F1A3C"/>
    <w:rsid w:val="007F1AA5"/>
    <w:rsid w:val="007F1CBF"/>
    <w:rsid w:val="007F1D50"/>
    <w:rsid w:val="007F1DB7"/>
    <w:rsid w:val="007F1FA8"/>
    <w:rsid w:val="007F200F"/>
    <w:rsid w:val="007F2095"/>
    <w:rsid w:val="007F20F7"/>
    <w:rsid w:val="007F2115"/>
    <w:rsid w:val="007F2330"/>
    <w:rsid w:val="007F23CA"/>
    <w:rsid w:val="007F27DD"/>
    <w:rsid w:val="007F2899"/>
    <w:rsid w:val="007F28BD"/>
    <w:rsid w:val="007F2A40"/>
    <w:rsid w:val="007F2A8E"/>
    <w:rsid w:val="007F2A9B"/>
    <w:rsid w:val="007F2C26"/>
    <w:rsid w:val="007F3012"/>
    <w:rsid w:val="007F30DC"/>
    <w:rsid w:val="007F3228"/>
    <w:rsid w:val="007F3257"/>
    <w:rsid w:val="007F3274"/>
    <w:rsid w:val="007F3290"/>
    <w:rsid w:val="007F344E"/>
    <w:rsid w:val="007F34B1"/>
    <w:rsid w:val="007F355E"/>
    <w:rsid w:val="007F374A"/>
    <w:rsid w:val="007F3948"/>
    <w:rsid w:val="007F3B0B"/>
    <w:rsid w:val="007F3B4E"/>
    <w:rsid w:val="007F3BB1"/>
    <w:rsid w:val="007F3BBC"/>
    <w:rsid w:val="007F3C82"/>
    <w:rsid w:val="007F3D02"/>
    <w:rsid w:val="007F404E"/>
    <w:rsid w:val="007F416B"/>
    <w:rsid w:val="007F426F"/>
    <w:rsid w:val="007F4473"/>
    <w:rsid w:val="007F4725"/>
    <w:rsid w:val="007F4804"/>
    <w:rsid w:val="007F481E"/>
    <w:rsid w:val="007F4850"/>
    <w:rsid w:val="007F48A6"/>
    <w:rsid w:val="007F492C"/>
    <w:rsid w:val="007F497D"/>
    <w:rsid w:val="007F4A53"/>
    <w:rsid w:val="007F4AC8"/>
    <w:rsid w:val="007F4AF4"/>
    <w:rsid w:val="007F4D2C"/>
    <w:rsid w:val="007F4D3E"/>
    <w:rsid w:val="007F4DE8"/>
    <w:rsid w:val="007F4FA0"/>
    <w:rsid w:val="007F537A"/>
    <w:rsid w:val="007F539F"/>
    <w:rsid w:val="007F54D5"/>
    <w:rsid w:val="007F55E3"/>
    <w:rsid w:val="007F56A7"/>
    <w:rsid w:val="007F56B9"/>
    <w:rsid w:val="007F5964"/>
    <w:rsid w:val="007F5BEE"/>
    <w:rsid w:val="007F5C36"/>
    <w:rsid w:val="007F5C52"/>
    <w:rsid w:val="007F5CD7"/>
    <w:rsid w:val="007F5FFE"/>
    <w:rsid w:val="007F61A5"/>
    <w:rsid w:val="007F61B9"/>
    <w:rsid w:val="007F628F"/>
    <w:rsid w:val="007F62CF"/>
    <w:rsid w:val="007F6324"/>
    <w:rsid w:val="007F632E"/>
    <w:rsid w:val="007F6490"/>
    <w:rsid w:val="007F6650"/>
    <w:rsid w:val="007F670C"/>
    <w:rsid w:val="007F6726"/>
    <w:rsid w:val="007F68AC"/>
    <w:rsid w:val="007F69A8"/>
    <w:rsid w:val="007F6A03"/>
    <w:rsid w:val="007F6CD2"/>
    <w:rsid w:val="007F6D63"/>
    <w:rsid w:val="007F6DBE"/>
    <w:rsid w:val="007F6EB3"/>
    <w:rsid w:val="007F6EB9"/>
    <w:rsid w:val="007F6F2D"/>
    <w:rsid w:val="007F70C6"/>
    <w:rsid w:val="007F71D3"/>
    <w:rsid w:val="007F731A"/>
    <w:rsid w:val="007F741F"/>
    <w:rsid w:val="007F7691"/>
    <w:rsid w:val="007F77E8"/>
    <w:rsid w:val="007F7810"/>
    <w:rsid w:val="007F7866"/>
    <w:rsid w:val="007F795B"/>
    <w:rsid w:val="007F7987"/>
    <w:rsid w:val="007F7A01"/>
    <w:rsid w:val="007F7A2B"/>
    <w:rsid w:val="007F7BB6"/>
    <w:rsid w:val="007F7C21"/>
    <w:rsid w:val="007F7D49"/>
    <w:rsid w:val="007F7D90"/>
    <w:rsid w:val="007F7DC5"/>
    <w:rsid w:val="007F7E64"/>
    <w:rsid w:val="007F7F61"/>
    <w:rsid w:val="008001D8"/>
    <w:rsid w:val="0080031C"/>
    <w:rsid w:val="00800326"/>
    <w:rsid w:val="00800346"/>
    <w:rsid w:val="00800367"/>
    <w:rsid w:val="00800421"/>
    <w:rsid w:val="00800479"/>
    <w:rsid w:val="008005CD"/>
    <w:rsid w:val="0080066A"/>
    <w:rsid w:val="008006B0"/>
    <w:rsid w:val="008006FF"/>
    <w:rsid w:val="0080075C"/>
    <w:rsid w:val="008007D3"/>
    <w:rsid w:val="00800825"/>
    <w:rsid w:val="00800901"/>
    <w:rsid w:val="0080095D"/>
    <w:rsid w:val="008009DB"/>
    <w:rsid w:val="00800C6D"/>
    <w:rsid w:val="00800E33"/>
    <w:rsid w:val="00800E90"/>
    <w:rsid w:val="00800F88"/>
    <w:rsid w:val="00800FAF"/>
    <w:rsid w:val="00801045"/>
    <w:rsid w:val="0080123E"/>
    <w:rsid w:val="0080142C"/>
    <w:rsid w:val="0080148A"/>
    <w:rsid w:val="0080158D"/>
    <w:rsid w:val="0080169C"/>
    <w:rsid w:val="00801954"/>
    <w:rsid w:val="00801BDB"/>
    <w:rsid w:val="00801CF7"/>
    <w:rsid w:val="00801D37"/>
    <w:rsid w:val="00801EC8"/>
    <w:rsid w:val="00801F0F"/>
    <w:rsid w:val="00802019"/>
    <w:rsid w:val="0080205E"/>
    <w:rsid w:val="00802362"/>
    <w:rsid w:val="008026DF"/>
    <w:rsid w:val="00802795"/>
    <w:rsid w:val="0080289A"/>
    <w:rsid w:val="00802B91"/>
    <w:rsid w:val="00802C52"/>
    <w:rsid w:val="00802DED"/>
    <w:rsid w:val="00802E7F"/>
    <w:rsid w:val="00803087"/>
    <w:rsid w:val="00803166"/>
    <w:rsid w:val="0080354D"/>
    <w:rsid w:val="00803580"/>
    <w:rsid w:val="008035BB"/>
    <w:rsid w:val="0080362B"/>
    <w:rsid w:val="00803A44"/>
    <w:rsid w:val="00803AC3"/>
    <w:rsid w:val="00803B09"/>
    <w:rsid w:val="00803C53"/>
    <w:rsid w:val="008040E5"/>
    <w:rsid w:val="0080417E"/>
    <w:rsid w:val="008041FB"/>
    <w:rsid w:val="00804210"/>
    <w:rsid w:val="00804271"/>
    <w:rsid w:val="0080432F"/>
    <w:rsid w:val="008043A3"/>
    <w:rsid w:val="00804444"/>
    <w:rsid w:val="008044CF"/>
    <w:rsid w:val="008045D9"/>
    <w:rsid w:val="008048B1"/>
    <w:rsid w:val="00804AAA"/>
    <w:rsid w:val="00804CAC"/>
    <w:rsid w:val="00804DAF"/>
    <w:rsid w:val="00804E4B"/>
    <w:rsid w:val="00804EC5"/>
    <w:rsid w:val="00804FD2"/>
    <w:rsid w:val="00805023"/>
    <w:rsid w:val="00805073"/>
    <w:rsid w:val="008050A5"/>
    <w:rsid w:val="008051DD"/>
    <w:rsid w:val="008051F7"/>
    <w:rsid w:val="008053CE"/>
    <w:rsid w:val="00805610"/>
    <w:rsid w:val="00805780"/>
    <w:rsid w:val="0080581A"/>
    <w:rsid w:val="00805AB6"/>
    <w:rsid w:val="00805AED"/>
    <w:rsid w:val="00805BDE"/>
    <w:rsid w:val="00805D64"/>
    <w:rsid w:val="00805D6E"/>
    <w:rsid w:val="00805D8C"/>
    <w:rsid w:val="00805E88"/>
    <w:rsid w:val="00805E93"/>
    <w:rsid w:val="00806017"/>
    <w:rsid w:val="008060A2"/>
    <w:rsid w:val="00806126"/>
    <w:rsid w:val="00806203"/>
    <w:rsid w:val="008063B8"/>
    <w:rsid w:val="00806AE6"/>
    <w:rsid w:val="00806C41"/>
    <w:rsid w:val="00806DB7"/>
    <w:rsid w:val="00807033"/>
    <w:rsid w:val="0080744F"/>
    <w:rsid w:val="008074CA"/>
    <w:rsid w:val="008074E6"/>
    <w:rsid w:val="008076EC"/>
    <w:rsid w:val="0080780A"/>
    <w:rsid w:val="008078C6"/>
    <w:rsid w:val="008078DA"/>
    <w:rsid w:val="008078F0"/>
    <w:rsid w:val="008079CC"/>
    <w:rsid w:val="008079F5"/>
    <w:rsid w:val="00807CF6"/>
    <w:rsid w:val="00807D8F"/>
    <w:rsid w:val="00807D93"/>
    <w:rsid w:val="0081002C"/>
    <w:rsid w:val="008100AF"/>
    <w:rsid w:val="008100F4"/>
    <w:rsid w:val="00810259"/>
    <w:rsid w:val="008102B0"/>
    <w:rsid w:val="008102DA"/>
    <w:rsid w:val="008103BE"/>
    <w:rsid w:val="00810682"/>
    <w:rsid w:val="00810742"/>
    <w:rsid w:val="00810ADC"/>
    <w:rsid w:val="00810B38"/>
    <w:rsid w:val="00811007"/>
    <w:rsid w:val="008110A4"/>
    <w:rsid w:val="008111D2"/>
    <w:rsid w:val="008111DC"/>
    <w:rsid w:val="008112DA"/>
    <w:rsid w:val="0081146D"/>
    <w:rsid w:val="0081149A"/>
    <w:rsid w:val="00811507"/>
    <w:rsid w:val="00811548"/>
    <w:rsid w:val="0081157D"/>
    <w:rsid w:val="00811728"/>
    <w:rsid w:val="008117C3"/>
    <w:rsid w:val="008117DC"/>
    <w:rsid w:val="00811CDB"/>
    <w:rsid w:val="00811D2A"/>
    <w:rsid w:val="00811EB5"/>
    <w:rsid w:val="0081206E"/>
    <w:rsid w:val="008123B7"/>
    <w:rsid w:val="00812407"/>
    <w:rsid w:val="008125C8"/>
    <w:rsid w:val="00812640"/>
    <w:rsid w:val="00812785"/>
    <w:rsid w:val="008127B2"/>
    <w:rsid w:val="008127F1"/>
    <w:rsid w:val="008128DB"/>
    <w:rsid w:val="00812B65"/>
    <w:rsid w:val="00812D31"/>
    <w:rsid w:val="00812E83"/>
    <w:rsid w:val="00812F5F"/>
    <w:rsid w:val="00812F68"/>
    <w:rsid w:val="00812FE2"/>
    <w:rsid w:val="0081313B"/>
    <w:rsid w:val="0081338C"/>
    <w:rsid w:val="008134B1"/>
    <w:rsid w:val="008136D9"/>
    <w:rsid w:val="00813739"/>
    <w:rsid w:val="008138F8"/>
    <w:rsid w:val="00813A10"/>
    <w:rsid w:val="00813AB6"/>
    <w:rsid w:val="00813B95"/>
    <w:rsid w:val="00813F86"/>
    <w:rsid w:val="00814073"/>
    <w:rsid w:val="008140A7"/>
    <w:rsid w:val="008142CC"/>
    <w:rsid w:val="008142D4"/>
    <w:rsid w:val="008142FA"/>
    <w:rsid w:val="00814430"/>
    <w:rsid w:val="008146EA"/>
    <w:rsid w:val="00814708"/>
    <w:rsid w:val="00814740"/>
    <w:rsid w:val="00814D0E"/>
    <w:rsid w:val="00814DBD"/>
    <w:rsid w:val="008152A7"/>
    <w:rsid w:val="0081535E"/>
    <w:rsid w:val="0081540D"/>
    <w:rsid w:val="0081545B"/>
    <w:rsid w:val="008155A9"/>
    <w:rsid w:val="008158D4"/>
    <w:rsid w:val="008158DA"/>
    <w:rsid w:val="00815A4A"/>
    <w:rsid w:val="00815A69"/>
    <w:rsid w:val="00815B20"/>
    <w:rsid w:val="00815C53"/>
    <w:rsid w:val="00815E08"/>
    <w:rsid w:val="00815E2B"/>
    <w:rsid w:val="00815F35"/>
    <w:rsid w:val="008160B6"/>
    <w:rsid w:val="0081616C"/>
    <w:rsid w:val="008163F6"/>
    <w:rsid w:val="00816558"/>
    <w:rsid w:val="008166D8"/>
    <w:rsid w:val="0081670B"/>
    <w:rsid w:val="00816842"/>
    <w:rsid w:val="0081698A"/>
    <w:rsid w:val="00816A1D"/>
    <w:rsid w:val="00816A42"/>
    <w:rsid w:val="00816BF6"/>
    <w:rsid w:val="00816C83"/>
    <w:rsid w:val="00817041"/>
    <w:rsid w:val="00817205"/>
    <w:rsid w:val="008172A4"/>
    <w:rsid w:val="0081760E"/>
    <w:rsid w:val="0081770D"/>
    <w:rsid w:val="00817861"/>
    <w:rsid w:val="008178E9"/>
    <w:rsid w:val="008178F5"/>
    <w:rsid w:val="008178FE"/>
    <w:rsid w:val="00817A29"/>
    <w:rsid w:val="00817AFF"/>
    <w:rsid w:val="00817D6A"/>
    <w:rsid w:val="00817DCB"/>
    <w:rsid w:val="00817EE2"/>
    <w:rsid w:val="00817FA2"/>
    <w:rsid w:val="008200E2"/>
    <w:rsid w:val="0082015E"/>
    <w:rsid w:val="008202DF"/>
    <w:rsid w:val="008203DA"/>
    <w:rsid w:val="0082086A"/>
    <w:rsid w:val="00820BA1"/>
    <w:rsid w:val="00820D38"/>
    <w:rsid w:val="00820DE7"/>
    <w:rsid w:val="00821128"/>
    <w:rsid w:val="008212B9"/>
    <w:rsid w:val="008216AF"/>
    <w:rsid w:val="00821895"/>
    <w:rsid w:val="008218F9"/>
    <w:rsid w:val="00821A79"/>
    <w:rsid w:val="00821AB9"/>
    <w:rsid w:val="00821C0E"/>
    <w:rsid w:val="00821DEE"/>
    <w:rsid w:val="00821E58"/>
    <w:rsid w:val="00821EE8"/>
    <w:rsid w:val="00822046"/>
    <w:rsid w:val="00822093"/>
    <w:rsid w:val="00822242"/>
    <w:rsid w:val="008222D5"/>
    <w:rsid w:val="00822367"/>
    <w:rsid w:val="00822440"/>
    <w:rsid w:val="008224F0"/>
    <w:rsid w:val="00822509"/>
    <w:rsid w:val="00822809"/>
    <w:rsid w:val="00822975"/>
    <w:rsid w:val="008229BE"/>
    <w:rsid w:val="00822D18"/>
    <w:rsid w:val="00822E05"/>
    <w:rsid w:val="00822EA6"/>
    <w:rsid w:val="00822EE8"/>
    <w:rsid w:val="00822F30"/>
    <w:rsid w:val="0082303D"/>
    <w:rsid w:val="00823140"/>
    <w:rsid w:val="0082330F"/>
    <w:rsid w:val="00823349"/>
    <w:rsid w:val="008233D9"/>
    <w:rsid w:val="00823541"/>
    <w:rsid w:val="008235CF"/>
    <w:rsid w:val="008235F6"/>
    <w:rsid w:val="0082378A"/>
    <w:rsid w:val="00823A4F"/>
    <w:rsid w:val="00823A7F"/>
    <w:rsid w:val="00823BD0"/>
    <w:rsid w:val="00823C8E"/>
    <w:rsid w:val="00823EEC"/>
    <w:rsid w:val="00824089"/>
    <w:rsid w:val="008240F7"/>
    <w:rsid w:val="0082416B"/>
    <w:rsid w:val="00824320"/>
    <w:rsid w:val="008244C0"/>
    <w:rsid w:val="00824665"/>
    <w:rsid w:val="008246BB"/>
    <w:rsid w:val="00824F0D"/>
    <w:rsid w:val="00824FB1"/>
    <w:rsid w:val="0082506E"/>
    <w:rsid w:val="00825259"/>
    <w:rsid w:val="00825328"/>
    <w:rsid w:val="0082542A"/>
    <w:rsid w:val="0082548D"/>
    <w:rsid w:val="008255C0"/>
    <w:rsid w:val="008256C7"/>
    <w:rsid w:val="008257C4"/>
    <w:rsid w:val="00825817"/>
    <w:rsid w:val="00825893"/>
    <w:rsid w:val="00825A94"/>
    <w:rsid w:val="00825B10"/>
    <w:rsid w:val="00825B28"/>
    <w:rsid w:val="00825D50"/>
    <w:rsid w:val="00825E25"/>
    <w:rsid w:val="00825EB5"/>
    <w:rsid w:val="00826160"/>
    <w:rsid w:val="008261EF"/>
    <w:rsid w:val="00826296"/>
    <w:rsid w:val="00826405"/>
    <w:rsid w:val="008265DA"/>
    <w:rsid w:val="00826631"/>
    <w:rsid w:val="008266C2"/>
    <w:rsid w:val="008267BA"/>
    <w:rsid w:val="0082693A"/>
    <w:rsid w:val="008269D0"/>
    <w:rsid w:val="00826A2A"/>
    <w:rsid w:val="00826B1C"/>
    <w:rsid w:val="00826D30"/>
    <w:rsid w:val="00826ECC"/>
    <w:rsid w:val="00826F1C"/>
    <w:rsid w:val="00827020"/>
    <w:rsid w:val="00827232"/>
    <w:rsid w:val="00827418"/>
    <w:rsid w:val="0082742A"/>
    <w:rsid w:val="0082751B"/>
    <w:rsid w:val="00827587"/>
    <w:rsid w:val="008276AF"/>
    <w:rsid w:val="008277A3"/>
    <w:rsid w:val="00827872"/>
    <w:rsid w:val="008278DF"/>
    <w:rsid w:val="00827A0A"/>
    <w:rsid w:val="00827B25"/>
    <w:rsid w:val="00827DB8"/>
    <w:rsid w:val="00827DD3"/>
    <w:rsid w:val="00827F8D"/>
    <w:rsid w:val="00827FBD"/>
    <w:rsid w:val="00827FBE"/>
    <w:rsid w:val="00827FF9"/>
    <w:rsid w:val="00830224"/>
    <w:rsid w:val="0083024C"/>
    <w:rsid w:val="00830422"/>
    <w:rsid w:val="00830485"/>
    <w:rsid w:val="008305B8"/>
    <w:rsid w:val="008305D8"/>
    <w:rsid w:val="008306A7"/>
    <w:rsid w:val="00830759"/>
    <w:rsid w:val="00830795"/>
    <w:rsid w:val="008308B4"/>
    <w:rsid w:val="008309C8"/>
    <w:rsid w:val="00830B67"/>
    <w:rsid w:val="00830C1B"/>
    <w:rsid w:val="00830CBE"/>
    <w:rsid w:val="00830CDF"/>
    <w:rsid w:val="00830D5F"/>
    <w:rsid w:val="00830F54"/>
    <w:rsid w:val="008310DB"/>
    <w:rsid w:val="008313F9"/>
    <w:rsid w:val="008314A9"/>
    <w:rsid w:val="0083177E"/>
    <w:rsid w:val="0083187D"/>
    <w:rsid w:val="00831A62"/>
    <w:rsid w:val="00831DEE"/>
    <w:rsid w:val="00831EBE"/>
    <w:rsid w:val="00832021"/>
    <w:rsid w:val="0083283B"/>
    <w:rsid w:val="00832965"/>
    <w:rsid w:val="00832B26"/>
    <w:rsid w:val="00832B7B"/>
    <w:rsid w:val="00832B86"/>
    <w:rsid w:val="00832C7D"/>
    <w:rsid w:val="00832CA2"/>
    <w:rsid w:val="00832D1F"/>
    <w:rsid w:val="0083308C"/>
    <w:rsid w:val="00833091"/>
    <w:rsid w:val="00833126"/>
    <w:rsid w:val="008334BF"/>
    <w:rsid w:val="00833501"/>
    <w:rsid w:val="00833553"/>
    <w:rsid w:val="008335C1"/>
    <w:rsid w:val="00833635"/>
    <w:rsid w:val="00833760"/>
    <w:rsid w:val="00833873"/>
    <w:rsid w:val="00833890"/>
    <w:rsid w:val="00833947"/>
    <w:rsid w:val="0083396D"/>
    <w:rsid w:val="0083398D"/>
    <w:rsid w:val="00833AAF"/>
    <w:rsid w:val="00833ADF"/>
    <w:rsid w:val="00833CE0"/>
    <w:rsid w:val="00833CF9"/>
    <w:rsid w:val="00833D44"/>
    <w:rsid w:val="00833DA2"/>
    <w:rsid w:val="00833EBE"/>
    <w:rsid w:val="00834218"/>
    <w:rsid w:val="008342FA"/>
    <w:rsid w:val="00834508"/>
    <w:rsid w:val="00834715"/>
    <w:rsid w:val="00834885"/>
    <w:rsid w:val="008348D7"/>
    <w:rsid w:val="0083495C"/>
    <w:rsid w:val="00834B96"/>
    <w:rsid w:val="00834DF3"/>
    <w:rsid w:val="00834F64"/>
    <w:rsid w:val="008350C3"/>
    <w:rsid w:val="00835196"/>
    <w:rsid w:val="0083536E"/>
    <w:rsid w:val="0083553C"/>
    <w:rsid w:val="00835FAD"/>
    <w:rsid w:val="008360B4"/>
    <w:rsid w:val="008360B7"/>
    <w:rsid w:val="008361A7"/>
    <w:rsid w:val="008363AD"/>
    <w:rsid w:val="008366EC"/>
    <w:rsid w:val="008367C0"/>
    <w:rsid w:val="00836866"/>
    <w:rsid w:val="008368AF"/>
    <w:rsid w:val="00836B85"/>
    <w:rsid w:val="00836C11"/>
    <w:rsid w:val="00836E78"/>
    <w:rsid w:val="00836EAE"/>
    <w:rsid w:val="00836FDD"/>
    <w:rsid w:val="00837034"/>
    <w:rsid w:val="008371A4"/>
    <w:rsid w:val="008375C9"/>
    <w:rsid w:val="00837756"/>
    <w:rsid w:val="0083797A"/>
    <w:rsid w:val="00837D39"/>
    <w:rsid w:val="0083DF02"/>
    <w:rsid w:val="00840002"/>
    <w:rsid w:val="008400AA"/>
    <w:rsid w:val="00840120"/>
    <w:rsid w:val="008404AE"/>
    <w:rsid w:val="008406D1"/>
    <w:rsid w:val="008406F4"/>
    <w:rsid w:val="00840932"/>
    <w:rsid w:val="00840967"/>
    <w:rsid w:val="00840AB7"/>
    <w:rsid w:val="00840B6D"/>
    <w:rsid w:val="00840BA5"/>
    <w:rsid w:val="00840C57"/>
    <w:rsid w:val="00840D14"/>
    <w:rsid w:val="00840DDF"/>
    <w:rsid w:val="00840E94"/>
    <w:rsid w:val="00841126"/>
    <w:rsid w:val="0084129C"/>
    <w:rsid w:val="0084136D"/>
    <w:rsid w:val="008413B8"/>
    <w:rsid w:val="008414F4"/>
    <w:rsid w:val="00841525"/>
    <w:rsid w:val="00841669"/>
    <w:rsid w:val="00841AF0"/>
    <w:rsid w:val="00841D2A"/>
    <w:rsid w:val="00841DD6"/>
    <w:rsid w:val="00841FDB"/>
    <w:rsid w:val="00842009"/>
    <w:rsid w:val="008421A5"/>
    <w:rsid w:val="008421FE"/>
    <w:rsid w:val="00842355"/>
    <w:rsid w:val="0084235E"/>
    <w:rsid w:val="008424E3"/>
    <w:rsid w:val="00842821"/>
    <w:rsid w:val="008428A0"/>
    <w:rsid w:val="0084299E"/>
    <w:rsid w:val="00842A4F"/>
    <w:rsid w:val="00842A6B"/>
    <w:rsid w:val="00842AD9"/>
    <w:rsid w:val="00842B61"/>
    <w:rsid w:val="00842BF2"/>
    <w:rsid w:val="00842D87"/>
    <w:rsid w:val="00842E4E"/>
    <w:rsid w:val="0084301A"/>
    <w:rsid w:val="0084334E"/>
    <w:rsid w:val="008433E8"/>
    <w:rsid w:val="00843415"/>
    <w:rsid w:val="00843546"/>
    <w:rsid w:val="008435AD"/>
    <w:rsid w:val="0084363A"/>
    <w:rsid w:val="00843652"/>
    <w:rsid w:val="00843653"/>
    <w:rsid w:val="00843915"/>
    <w:rsid w:val="00843D1E"/>
    <w:rsid w:val="00843EB8"/>
    <w:rsid w:val="00843FC9"/>
    <w:rsid w:val="00844298"/>
    <w:rsid w:val="008445FB"/>
    <w:rsid w:val="00844605"/>
    <w:rsid w:val="00844758"/>
    <w:rsid w:val="008447DB"/>
    <w:rsid w:val="00844806"/>
    <w:rsid w:val="0084499D"/>
    <w:rsid w:val="00844A06"/>
    <w:rsid w:val="00844A46"/>
    <w:rsid w:val="00844A9F"/>
    <w:rsid w:val="00844B30"/>
    <w:rsid w:val="00844C89"/>
    <w:rsid w:val="00844C91"/>
    <w:rsid w:val="00844D12"/>
    <w:rsid w:val="00845077"/>
    <w:rsid w:val="008450B5"/>
    <w:rsid w:val="00845404"/>
    <w:rsid w:val="0084546E"/>
    <w:rsid w:val="0084568B"/>
    <w:rsid w:val="00845715"/>
    <w:rsid w:val="00845731"/>
    <w:rsid w:val="00845737"/>
    <w:rsid w:val="008457DE"/>
    <w:rsid w:val="0084597E"/>
    <w:rsid w:val="0084598B"/>
    <w:rsid w:val="00845C6D"/>
    <w:rsid w:val="00845CD4"/>
    <w:rsid w:val="00845CFC"/>
    <w:rsid w:val="00845D5F"/>
    <w:rsid w:val="00845E25"/>
    <w:rsid w:val="00845EDC"/>
    <w:rsid w:val="00845FD8"/>
    <w:rsid w:val="00846069"/>
    <w:rsid w:val="00846090"/>
    <w:rsid w:val="008460ED"/>
    <w:rsid w:val="0084627C"/>
    <w:rsid w:val="008462AF"/>
    <w:rsid w:val="008462DB"/>
    <w:rsid w:val="00846369"/>
    <w:rsid w:val="008463BD"/>
    <w:rsid w:val="00846418"/>
    <w:rsid w:val="0084643A"/>
    <w:rsid w:val="0084653E"/>
    <w:rsid w:val="0084670C"/>
    <w:rsid w:val="00846745"/>
    <w:rsid w:val="00846834"/>
    <w:rsid w:val="00846B7F"/>
    <w:rsid w:val="00846C20"/>
    <w:rsid w:val="00846D1C"/>
    <w:rsid w:val="00846DC0"/>
    <w:rsid w:val="00846F8D"/>
    <w:rsid w:val="00846FF0"/>
    <w:rsid w:val="00847059"/>
    <w:rsid w:val="008471B8"/>
    <w:rsid w:val="008471FB"/>
    <w:rsid w:val="008472F2"/>
    <w:rsid w:val="008474F6"/>
    <w:rsid w:val="008475EE"/>
    <w:rsid w:val="00847685"/>
    <w:rsid w:val="00847720"/>
    <w:rsid w:val="00847830"/>
    <w:rsid w:val="0084789C"/>
    <w:rsid w:val="008479B7"/>
    <w:rsid w:val="00847A4D"/>
    <w:rsid w:val="00847C91"/>
    <w:rsid w:val="00847CD3"/>
    <w:rsid w:val="00847F02"/>
    <w:rsid w:val="00847FD8"/>
    <w:rsid w:val="0085014C"/>
    <w:rsid w:val="0085022D"/>
    <w:rsid w:val="008503FC"/>
    <w:rsid w:val="008505DD"/>
    <w:rsid w:val="00850625"/>
    <w:rsid w:val="008506DE"/>
    <w:rsid w:val="00850B04"/>
    <w:rsid w:val="00850BAC"/>
    <w:rsid w:val="00850C22"/>
    <w:rsid w:val="00850C46"/>
    <w:rsid w:val="00850C7D"/>
    <w:rsid w:val="00850DC6"/>
    <w:rsid w:val="0085105B"/>
    <w:rsid w:val="008511C2"/>
    <w:rsid w:val="0085128C"/>
    <w:rsid w:val="00851560"/>
    <w:rsid w:val="008516D1"/>
    <w:rsid w:val="008519E4"/>
    <w:rsid w:val="00851A46"/>
    <w:rsid w:val="00851DA4"/>
    <w:rsid w:val="00851F3E"/>
    <w:rsid w:val="00851F76"/>
    <w:rsid w:val="008522A7"/>
    <w:rsid w:val="0085234B"/>
    <w:rsid w:val="00852390"/>
    <w:rsid w:val="008523B7"/>
    <w:rsid w:val="008524D5"/>
    <w:rsid w:val="008524F3"/>
    <w:rsid w:val="00852699"/>
    <w:rsid w:val="008526DC"/>
    <w:rsid w:val="008527C6"/>
    <w:rsid w:val="0085290F"/>
    <w:rsid w:val="00852985"/>
    <w:rsid w:val="00852998"/>
    <w:rsid w:val="00852A8C"/>
    <w:rsid w:val="00852AC4"/>
    <w:rsid w:val="00852AE3"/>
    <w:rsid w:val="00852B51"/>
    <w:rsid w:val="00852C9F"/>
    <w:rsid w:val="00852CF3"/>
    <w:rsid w:val="00852D48"/>
    <w:rsid w:val="00852D96"/>
    <w:rsid w:val="008530F8"/>
    <w:rsid w:val="008531A7"/>
    <w:rsid w:val="008531B5"/>
    <w:rsid w:val="00853282"/>
    <w:rsid w:val="008534BE"/>
    <w:rsid w:val="00853631"/>
    <w:rsid w:val="0085377F"/>
    <w:rsid w:val="00853923"/>
    <w:rsid w:val="0085396D"/>
    <w:rsid w:val="00853AF1"/>
    <w:rsid w:val="00853B45"/>
    <w:rsid w:val="00853D93"/>
    <w:rsid w:val="00854191"/>
    <w:rsid w:val="008542EB"/>
    <w:rsid w:val="008543DF"/>
    <w:rsid w:val="00854418"/>
    <w:rsid w:val="00854665"/>
    <w:rsid w:val="0085478C"/>
    <w:rsid w:val="008548F7"/>
    <w:rsid w:val="00854C99"/>
    <w:rsid w:val="00854D84"/>
    <w:rsid w:val="008551CD"/>
    <w:rsid w:val="0085530D"/>
    <w:rsid w:val="008555B3"/>
    <w:rsid w:val="00855790"/>
    <w:rsid w:val="00855CFC"/>
    <w:rsid w:val="00855E4F"/>
    <w:rsid w:val="00855E62"/>
    <w:rsid w:val="00855F35"/>
    <w:rsid w:val="0085609D"/>
    <w:rsid w:val="00856273"/>
    <w:rsid w:val="00856288"/>
    <w:rsid w:val="008563D7"/>
    <w:rsid w:val="0085645C"/>
    <w:rsid w:val="008565C8"/>
    <w:rsid w:val="008566C2"/>
    <w:rsid w:val="00856835"/>
    <w:rsid w:val="008569E2"/>
    <w:rsid w:val="008569EC"/>
    <w:rsid w:val="00856C02"/>
    <w:rsid w:val="00856C43"/>
    <w:rsid w:val="00856D69"/>
    <w:rsid w:val="00856D71"/>
    <w:rsid w:val="00856E76"/>
    <w:rsid w:val="00856EC7"/>
    <w:rsid w:val="00856F35"/>
    <w:rsid w:val="0085708C"/>
    <w:rsid w:val="008570E3"/>
    <w:rsid w:val="00857113"/>
    <w:rsid w:val="008571FD"/>
    <w:rsid w:val="00857200"/>
    <w:rsid w:val="0085725E"/>
    <w:rsid w:val="0085731D"/>
    <w:rsid w:val="0085736B"/>
    <w:rsid w:val="00857461"/>
    <w:rsid w:val="008577C6"/>
    <w:rsid w:val="0085780B"/>
    <w:rsid w:val="0085789F"/>
    <w:rsid w:val="00857986"/>
    <w:rsid w:val="00857B01"/>
    <w:rsid w:val="00857EEE"/>
    <w:rsid w:val="00857F38"/>
    <w:rsid w:val="00860072"/>
    <w:rsid w:val="00860148"/>
    <w:rsid w:val="00860160"/>
    <w:rsid w:val="008601AA"/>
    <w:rsid w:val="008602ED"/>
    <w:rsid w:val="008602FD"/>
    <w:rsid w:val="00860402"/>
    <w:rsid w:val="008604B4"/>
    <w:rsid w:val="00860681"/>
    <w:rsid w:val="0086081F"/>
    <w:rsid w:val="0086089A"/>
    <w:rsid w:val="008609F2"/>
    <w:rsid w:val="00860C27"/>
    <w:rsid w:val="00860C67"/>
    <w:rsid w:val="00860C89"/>
    <w:rsid w:val="00860CFE"/>
    <w:rsid w:val="00860E13"/>
    <w:rsid w:val="008610E3"/>
    <w:rsid w:val="008611B1"/>
    <w:rsid w:val="00861244"/>
    <w:rsid w:val="0086129A"/>
    <w:rsid w:val="008614BA"/>
    <w:rsid w:val="00861633"/>
    <w:rsid w:val="008616B5"/>
    <w:rsid w:val="008616E8"/>
    <w:rsid w:val="00861771"/>
    <w:rsid w:val="008618D6"/>
    <w:rsid w:val="00861B4D"/>
    <w:rsid w:val="00861B8D"/>
    <w:rsid w:val="00861BB4"/>
    <w:rsid w:val="00861BDD"/>
    <w:rsid w:val="00861C8E"/>
    <w:rsid w:val="00861CE4"/>
    <w:rsid w:val="00861CE8"/>
    <w:rsid w:val="00861EEA"/>
    <w:rsid w:val="00861FC0"/>
    <w:rsid w:val="00861FFB"/>
    <w:rsid w:val="00862074"/>
    <w:rsid w:val="008621BA"/>
    <w:rsid w:val="0086231D"/>
    <w:rsid w:val="0086238C"/>
    <w:rsid w:val="00862437"/>
    <w:rsid w:val="0086245F"/>
    <w:rsid w:val="008624F9"/>
    <w:rsid w:val="00862574"/>
    <w:rsid w:val="00862736"/>
    <w:rsid w:val="00862997"/>
    <w:rsid w:val="00862A33"/>
    <w:rsid w:val="00862A8C"/>
    <w:rsid w:val="00862B23"/>
    <w:rsid w:val="00862B3D"/>
    <w:rsid w:val="00862B74"/>
    <w:rsid w:val="00862C3F"/>
    <w:rsid w:val="00862D21"/>
    <w:rsid w:val="00862D7D"/>
    <w:rsid w:val="00862DFF"/>
    <w:rsid w:val="00862E16"/>
    <w:rsid w:val="00863016"/>
    <w:rsid w:val="008631CF"/>
    <w:rsid w:val="008631FB"/>
    <w:rsid w:val="0086334F"/>
    <w:rsid w:val="00863570"/>
    <w:rsid w:val="008635C6"/>
    <w:rsid w:val="0086362E"/>
    <w:rsid w:val="00863B60"/>
    <w:rsid w:val="00863BF5"/>
    <w:rsid w:val="00863C45"/>
    <w:rsid w:val="00863D1E"/>
    <w:rsid w:val="00863D6C"/>
    <w:rsid w:val="00863D7B"/>
    <w:rsid w:val="00863ECF"/>
    <w:rsid w:val="00863FAD"/>
    <w:rsid w:val="0086411E"/>
    <w:rsid w:val="00864159"/>
    <w:rsid w:val="00864208"/>
    <w:rsid w:val="008642F3"/>
    <w:rsid w:val="00864464"/>
    <w:rsid w:val="00864638"/>
    <w:rsid w:val="00864697"/>
    <w:rsid w:val="0086483B"/>
    <w:rsid w:val="00864841"/>
    <w:rsid w:val="00864856"/>
    <w:rsid w:val="0086490B"/>
    <w:rsid w:val="00864C1B"/>
    <w:rsid w:val="00864C85"/>
    <w:rsid w:val="00864CFA"/>
    <w:rsid w:val="00864D81"/>
    <w:rsid w:val="00864E06"/>
    <w:rsid w:val="00864FEB"/>
    <w:rsid w:val="00865022"/>
    <w:rsid w:val="0086526C"/>
    <w:rsid w:val="008652D0"/>
    <w:rsid w:val="008653DE"/>
    <w:rsid w:val="0086545D"/>
    <w:rsid w:val="0086563D"/>
    <w:rsid w:val="00865740"/>
    <w:rsid w:val="00865837"/>
    <w:rsid w:val="008659AD"/>
    <w:rsid w:val="00865B0B"/>
    <w:rsid w:val="00865B96"/>
    <w:rsid w:val="00865C6C"/>
    <w:rsid w:val="00865CAE"/>
    <w:rsid w:val="00865CE6"/>
    <w:rsid w:val="00865F41"/>
    <w:rsid w:val="0086622B"/>
    <w:rsid w:val="0086625A"/>
    <w:rsid w:val="00866342"/>
    <w:rsid w:val="008664BC"/>
    <w:rsid w:val="008664C5"/>
    <w:rsid w:val="008665CC"/>
    <w:rsid w:val="008666AB"/>
    <w:rsid w:val="00866848"/>
    <w:rsid w:val="00866A5A"/>
    <w:rsid w:val="00866C84"/>
    <w:rsid w:val="00866D7E"/>
    <w:rsid w:val="00866E0E"/>
    <w:rsid w:val="00866E3B"/>
    <w:rsid w:val="00866E7F"/>
    <w:rsid w:val="00866F05"/>
    <w:rsid w:val="008675B3"/>
    <w:rsid w:val="0086763C"/>
    <w:rsid w:val="00867A1C"/>
    <w:rsid w:val="00867A29"/>
    <w:rsid w:val="00867A9B"/>
    <w:rsid w:val="00867B73"/>
    <w:rsid w:val="00867B94"/>
    <w:rsid w:val="00867C0E"/>
    <w:rsid w:val="00867C8D"/>
    <w:rsid w:val="00867DC1"/>
    <w:rsid w:val="00867DD0"/>
    <w:rsid w:val="00867EC3"/>
    <w:rsid w:val="00867FB8"/>
    <w:rsid w:val="00870181"/>
    <w:rsid w:val="00870262"/>
    <w:rsid w:val="0087031F"/>
    <w:rsid w:val="00870488"/>
    <w:rsid w:val="008704CD"/>
    <w:rsid w:val="00870682"/>
    <w:rsid w:val="008707C3"/>
    <w:rsid w:val="00870B37"/>
    <w:rsid w:val="00870C62"/>
    <w:rsid w:val="00870C81"/>
    <w:rsid w:val="00870CBB"/>
    <w:rsid w:val="00870E5B"/>
    <w:rsid w:val="00870E72"/>
    <w:rsid w:val="00870E75"/>
    <w:rsid w:val="00870F4A"/>
    <w:rsid w:val="00871012"/>
    <w:rsid w:val="0087120A"/>
    <w:rsid w:val="00871285"/>
    <w:rsid w:val="00871308"/>
    <w:rsid w:val="008713F7"/>
    <w:rsid w:val="0087145C"/>
    <w:rsid w:val="0087154F"/>
    <w:rsid w:val="00871673"/>
    <w:rsid w:val="008716D8"/>
    <w:rsid w:val="00871745"/>
    <w:rsid w:val="00871969"/>
    <w:rsid w:val="00871A5F"/>
    <w:rsid w:val="00871BD5"/>
    <w:rsid w:val="00871D08"/>
    <w:rsid w:val="00871D16"/>
    <w:rsid w:val="00871DE7"/>
    <w:rsid w:val="008720BB"/>
    <w:rsid w:val="00872233"/>
    <w:rsid w:val="0087232D"/>
    <w:rsid w:val="00872358"/>
    <w:rsid w:val="00872362"/>
    <w:rsid w:val="008725B3"/>
    <w:rsid w:val="008728A9"/>
    <w:rsid w:val="008729A7"/>
    <w:rsid w:val="008729C9"/>
    <w:rsid w:val="008729D5"/>
    <w:rsid w:val="008729F1"/>
    <w:rsid w:val="00872C95"/>
    <w:rsid w:val="00872CBB"/>
    <w:rsid w:val="00872CCC"/>
    <w:rsid w:val="008735DF"/>
    <w:rsid w:val="008736B7"/>
    <w:rsid w:val="0087384E"/>
    <w:rsid w:val="00873977"/>
    <w:rsid w:val="00873BE1"/>
    <w:rsid w:val="00873C7A"/>
    <w:rsid w:val="00873EC2"/>
    <w:rsid w:val="0087404A"/>
    <w:rsid w:val="008740A7"/>
    <w:rsid w:val="008740D7"/>
    <w:rsid w:val="00874158"/>
    <w:rsid w:val="00874240"/>
    <w:rsid w:val="00874258"/>
    <w:rsid w:val="0087432C"/>
    <w:rsid w:val="0087437F"/>
    <w:rsid w:val="008743B2"/>
    <w:rsid w:val="0087453F"/>
    <w:rsid w:val="0087454B"/>
    <w:rsid w:val="00874564"/>
    <w:rsid w:val="00874690"/>
    <w:rsid w:val="0087472D"/>
    <w:rsid w:val="008749A7"/>
    <w:rsid w:val="00874AA5"/>
    <w:rsid w:val="00874B4A"/>
    <w:rsid w:val="00874DEF"/>
    <w:rsid w:val="00874FC4"/>
    <w:rsid w:val="00875016"/>
    <w:rsid w:val="0087520D"/>
    <w:rsid w:val="008752ED"/>
    <w:rsid w:val="00875331"/>
    <w:rsid w:val="0087543D"/>
    <w:rsid w:val="008754F2"/>
    <w:rsid w:val="008755DA"/>
    <w:rsid w:val="00875603"/>
    <w:rsid w:val="0087564F"/>
    <w:rsid w:val="00875A61"/>
    <w:rsid w:val="00875A8B"/>
    <w:rsid w:val="00875B1F"/>
    <w:rsid w:val="00875BE2"/>
    <w:rsid w:val="00875BFD"/>
    <w:rsid w:val="00875D2D"/>
    <w:rsid w:val="00875DC4"/>
    <w:rsid w:val="00875FE4"/>
    <w:rsid w:val="00876016"/>
    <w:rsid w:val="00876034"/>
    <w:rsid w:val="00876146"/>
    <w:rsid w:val="008761A0"/>
    <w:rsid w:val="008762DC"/>
    <w:rsid w:val="008763B8"/>
    <w:rsid w:val="00876657"/>
    <w:rsid w:val="0087666C"/>
    <w:rsid w:val="008766A5"/>
    <w:rsid w:val="00876791"/>
    <w:rsid w:val="0087682C"/>
    <w:rsid w:val="00876869"/>
    <w:rsid w:val="008768DB"/>
    <w:rsid w:val="00876969"/>
    <w:rsid w:val="00876AF1"/>
    <w:rsid w:val="00876C7D"/>
    <w:rsid w:val="00876CAD"/>
    <w:rsid w:val="00876D2E"/>
    <w:rsid w:val="00876ED7"/>
    <w:rsid w:val="00876F06"/>
    <w:rsid w:val="00876F8A"/>
    <w:rsid w:val="00876FE3"/>
    <w:rsid w:val="008772BA"/>
    <w:rsid w:val="00877337"/>
    <w:rsid w:val="008773B6"/>
    <w:rsid w:val="0087747A"/>
    <w:rsid w:val="0087753D"/>
    <w:rsid w:val="008776B7"/>
    <w:rsid w:val="00877757"/>
    <w:rsid w:val="00877778"/>
    <w:rsid w:val="008777F4"/>
    <w:rsid w:val="00877897"/>
    <w:rsid w:val="00877972"/>
    <w:rsid w:val="00877A92"/>
    <w:rsid w:val="00877A9E"/>
    <w:rsid w:val="00877BF8"/>
    <w:rsid w:val="00880021"/>
    <w:rsid w:val="00880064"/>
    <w:rsid w:val="00880211"/>
    <w:rsid w:val="008802AD"/>
    <w:rsid w:val="00880419"/>
    <w:rsid w:val="00880489"/>
    <w:rsid w:val="0088058B"/>
    <w:rsid w:val="008805EC"/>
    <w:rsid w:val="0088083B"/>
    <w:rsid w:val="00880847"/>
    <w:rsid w:val="008809B7"/>
    <w:rsid w:val="00880A03"/>
    <w:rsid w:val="00880A14"/>
    <w:rsid w:val="00880C75"/>
    <w:rsid w:val="00880C94"/>
    <w:rsid w:val="00880E3C"/>
    <w:rsid w:val="00880F14"/>
    <w:rsid w:val="0088104F"/>
    <w:rsid w:val="00881130"/>
    <w:rsid w:val="008812F3"/>
    <w:rsid w:val="008812FE"/>
    <w:rsid w:val="0088153B"/>
    <w:rsid w:val="008815F9"/>
    <w:rsid w:val="008817D9"/>
    <w:rsid w:val="00881A64"/>
    <w:rsid w:val="00881AAA"/>
    <w:rsid w:val="00881BC1"/>
    <w:rsid w:val="00881CCF"/>
    <w:rsid w:val="00881D31"/>
    <w:rsid w:val="00882074"/>
    <w:rsid w:val="008820C7"/>
    <w:rsid w:val="008821B5"/>
    <w:rsid w:val="0088224F"/>
    <w:rsid w:val="00882309"/>
    <w:rsid w:val="00882401"/>
    <w:rsid w:val="00882538"/>
    <w:rsid w:val="0088254A"/>
    <w:rsid w:val="00882552"/>
    <w:rsid w:val="00882750"/>
    <w:rsid w:val="008829ED"/>
    <w:rsid w:val="00882A3B"/>
    <w:rsid w:val="00882B84"/>
    <w:rsid w:val="00882BE8"/>
    <w:rsid w:val="00882C20"/>
    <w:rsid w:val="00882C4D"/>
    <w:rsid w:val="00882C71"/>
    <w:rsid w:val="00882EDE"/>
    <w:rsid w:val="0088317D"/>
    <w:rsid w:val="008831EA"/>
    <w:rsid w:val="008831F3"/>
    <w:rsid w:val="00883264"/>
    <w:rsid w:val="00883269"/>
    <w:rsid w:val="008834C0"/>
    <w:rsid w:val="00883720"/>
    <w:rsid w:val="008838E1"/>
    <w:rsid w:val="008838EE"/>
    <w:rsid w:val="00883A9F"/>
    <w:rsid w:val="00883B18"/>
    <w:rsid w:val="00883DA2"/>
    <w:rsid w:val="00883F4A"/>
    <w:rsid w:val="0088404B"/>
    <w:rsid w:val="008841B5"/>
    <w:rsid w:val="0088482B"/>
    <w:rsid w:val="00884879"/>
    <w:rsid w:val="008848E2"/>
    <w:rsid w:val="0088499C"/>
    <w:rsid w:val="008849D0"/>
    <w:rsid w:val="00884A23"/>
    <w:rsid w:val="00884B91"/>
    <w:rsid w:val="00884D19"/>
    <w:rsid w:val="00884D56"/>
    <w:rsid w:val="00884DB6"/>
    <w:rsid w:val="00884EE5"/>
    <w:rsid w:val="00884F74"/>
    <w:rsid w:val="0088519B"/>
    <w:rsid w:val="0088521A"/>
    <w:rsid w:val="008853B0"/>
    <w:rsid w:val="008854D1"/>
    <w:rsid w:val="00885556"/>
    <w:rsid w:val="008856FD"/>
    <w:rsid w:val="0088573C"/>
    <w:rsid w:val="00885922"/>
    <w:rsid w:val="00885C63"/>
    <w:rsid w:val="00885C89"/>
    <w:rsid w:val="00885D63"/>
    <w:rsid w:val="00885E50"/>
    <w:rsid w:val="00885F92"/>
    <w:rsid w:val="008861A6"/>
    <w:rsid w:val="00886349"/>
    <w:rsid w:val="00886377"/>
    <w:rsid w:val="008863E8"/>
    <w:rsid w:val="0088641C"/>
    <w:rsid w:val="00886459"/>
    <w:rsid w:val="008865E3"/>
    <w:rsid w:val="00886640"/>
    <w:rsid w:val="0088665D"/>
    <w:rsid w:val="008867FD"/>
    <w:rsid w:val="0088691E"/>
    <w:rsid w:val="0088699A"/>
    <w:rsid w:val="00886BDB"/>
    <w:rsid w:val="00886CF7"/>
    <w:rsid w:val="00886D40"/>
    <w:rsid w:val="00886FC1"/>
    <w:rsid w:val="00887094"/>
    <w:rsid w:val="0088728D"/>
    <w:rsid w:val="008872EF"/>
    <w:rsid w:val="0088778A"/>
    <w:rsid w:val="008877A8"/>
    <w:rsid w:val="0088784E"/>
    <w:rsid w:val="00887ADB"/>
    <w:rsid w:val="00887BC5"/>
    <w:rsid w:val="00887D4C"/>
    <w:rsid w:val="00887D96"/>
    <w:rsid w:val="008901FE"/>
    <w:rsid w:val="00890204"/>
    <w:rsid w:val="0089029C"/>
    <w:rsid w:val="008904E3"/>
    <w:rsid w:val="00890830"/>
    <w:rsid w:val="00890931"/>
    <w:rsid w:val="0089096D"/>
    <w:rsid w:val="00890A1B"/>
    <w:rsid w:val="00890DFA"/>
    <w:rsid w:val="00890EAF"/>
    <w:rsid w:val="0089106E"/>
    <w:rsid w:val="0089119D"/>
    <w:rsid w:val="0089121B"/>
    <w:rsid w:val="0089143E"/>
    <w:rsid w:val="0089161D"/>
    <w:rsid w:val="00891625"/>
    <w:rsid w:val="00891719"/>
    <w:rsid w:val="0089184C"/>
    <w:rsid w:val="008918F0"/>
    <w:rsid w:val="00891904"/>
    <w:rsid w:val="00891B28"/>
    <w:rsid w:val="00891BFF"/>
    <w:rsid w:val="00891C37"/>
    <w:rsid w:val="00891D39"/>
    <w:rsid w:val="00891E77"/>
    <w:rsid w:val="00891F00"/>
    <w:rsid w:val="00892030"/>
    <w:rsid w:val="00892037"/>
    <w:rsid w:val="0089211E"/>
    <w:rsid w:val="008922E1"/>
    <w:rsid w:val="0089248B"/>
    <w:rsid w:val="008924D6"/>
    <w:rsid w:val="00892656"/>
    <w:rsid w:val="00892A98"/>
    <w:rsid w:val="00892AD4"/>
    <w:rsid w:val="00892B42"/>
    <w:rsid w:val="00892BEC"/>
    <w:rsid w:val="008931A3"/>
    <w:rsid w:val="0089321A"/>
    <w:rsid w:val="0089321D"/>
    <w:rsid w:val="0089332B"/>
    <w:rsid w:val="0089333D"/>
    <w:rsid w:val="00893498"/>
    <w:rsid w:val="008934D9"/>
    <w:rsid w:val="0089354E"/>
    <w:rsid w:val="008935AD"/>
    <w:rsid w:val="008938BB"/>
    <w:rsid w:val="00893B57"/>
    <w:rsid w:val="00893BE3"/>
    <w:rsid w:val="00893F97"/>
    <w:rsid w:val="00893FE7"/>
    <w:rsid w:val="008944BC"/>
    <w:rsid w:val="00894582"/>
    <w:rsid w:val="0089461C"/>
    <w:rsid w:val="00894714"/>
    <w:rsid w:val="008947AE"/>
    <w:rsid w:val="008948C2"/>
    <w:rsid w:val="0089491E"/>
    <w:rsid w:val="00894937"/>
    <w:rsid w:val="0089497D"/>
    <w:rsid w:val="00894A4E"/>
    <w:rsid w:val="00894AAC"/>
    <w:rsid w:val="00894AD1"/>
    <w:rsid w:val="00894C35"/>
    <w:rsid w:val="00894E00"/>
    <w:rsid w:val="008950AD"/>
    <w:rsid w:val="008950BC"/>
    <w:rsid w:val="0089544D"/>
    <w:rsid w:val="0089560C"/>
    <w:rsid w:val="00895624"/>
    <w:rsid w:val="0089584E"/>
    <w:rsid w:val="008958A9"/>
    <w:rsid w:val="00895A60"/>
    <w:rsid w:val="00895A76"/>
    <w:rsid w:val="00895BE9"/>
    <w:rsid w:val="00895CC7"/>
    <w:rsid w:val="00895E3A"/>
    <w:rsid w:val="00895F0E"/>
    <w:rsid w:val="00895F17"/>
    <w:rsid w:val="0089605A"/>
    <w:rsid w:val="008960B9"/>
    <w:rsid w:val="00896138"/>
    <w:rsid w:val="0089634A"/>
    <w:rsid w:val="00896365"/>
    <w:rsid w:val="00896582"/>
    <w:rsid w:val="008968FB"/>
    <w:rsid w:val="008968FC"/>
    <w:rsid w:val="00896917"/>
    <w:rsid w:val="00896ADA"/>
    <w:rsid w:val="00896BF5"/>
    <w:rsid w:val="00896C36"/>
    <w:rsid w:val="00896C73"/>
    <w:rsid w:val="00896CF2"/>
    <w:rsid w:val="00896D83"/>
    <w:rsid w:val="00896D99"/>
    <w:rsid w:val="00896E4E"/>
    <w:rsid w:val="0089711C"/>
    <w:rsid w:val="00897235"/>
    <w:rsid w:val="00897512"/>
    <w:rsid w:val="0089759F"/>
    <w:rsid w:val="0089797E"/>
    <w:rsid w:val="00897990"/>
    <w:rsid w:val="00897A28"/>
    <w:rsid w:val="00897AE8"/>
    <w:rsid w:val="00897CE4"/>
    <w:rsid w:val="00897D55"/>
    <w:rsid w:val="00897F8A"/>
    <w:rsid w:val="008A001C"/>
    <w:rsid w:val="008A003B"/>
    <w:rsid w:val="008A03FA"/>
    <w:rsid w:val="008A043F"/>
    <w:rsid w:val="008A0564"/>
    <w:rsid w:val="008A056B"/>
    <w:rsid w:val="008A0ACB"/>
    <w:rsid w:val="008A0D78"/>
    <w:rsid w:val="008A120E"/>
    <w:rsid w:val="008A12EF"/>
    <w:rsid w:val="008A13BB"/>
    <w:rsid w:val="008A1436"/>
    <w:rsid w:val="008A1536"/>
    <w:rsid w:val="008A1547"/>
    <w:rsid w:val="008A15A9"/>
    <w:rsid w:val="008A168B"/>
    <w:rsid w:val="008A1C5B"/>
    <w:rsid w:val="008A1CC4"/>
    <w:rsid w:val="008A1CCF"/>
    <w:rsid w:val="008A1EC5"/>
    <w:rsid w:val="008A22B5"/>
    <w:rsid w:val="008A23FB"/>
    <w:rsid w:val="008A245E"/>
    <w:rsid w:val="008A2487"/>
    <w:rsid w:val="008A2AB3"/>
    <w:rsid w:val="008A2AE6"/>
    <w:rsid w:val="008A2C0A"/>
    <w:rsid w:val="008A2F4F"/>
    <w:rsid w:val="008A2F5A"/>
    <w:rsid w:val="008A2FCC"/>
    <w:rsid w:val="008A2FF5"/>
    <w:rsid w:val="008A3078"/>
    <w:rsid w:val="008A30C7"/>
    <w:rsid w:val="008A31AC"/>
    <w:rsid w:val="008A31BC"/>
    <w:rsid w:val="008A333F"/>
    <w:rsid w:val="008A3379"/>
    <w:rsid w:val="008A347F"/>
    <w:rsid w:val="008A34A3"/>
    <w:rsid w:val="008A37AC"/>
    <w:rsid w:val="008A37BE"/>
    <w:rsid w:val="008A386D"/>
    <w:rsid w:val="008A3AEA"/>
    <w:rsid w:val="008A3AFA"/>
    <w:rsid w:val="008A3B1E"/>
    <w:rsid w:val="008A3D94"/>
    <w:rsid w:val="008A3E0B"/>
    <w:rsid w:val="008A3EA9"/>
    <w:rsid w:val="008A3EE2"/>
    <w:rsid w:val="008A3F64"/>
    <w:rsid w:val="008A3FDD"/>
    <w:rsid w:val="008A40B1"/>
    <w:rsid w:val="008A4184"/>
    <w:rsid w:val="008A4381"/>
    <w:rsid w:val="008A4515"/>
    <w:rsid w:val="008A4613"/>
    <w:rsid w:val="008A4679"/>
    <w:rsid w:val="008A483C"/>
    <w:rsid w:val="008A4889"/>
    <w:rsid w:val="008A497B"/>
    <w:rsid w:val="008A4BF6"/>
    <w:rsid w:val="008A4ED7"/>
    <w:rsid w:val="008A4EDF"/>
    <w:rsid w:val="008A5023"/>
    <w:rsid w:val="008A53D2"/>
    <w:rsid w:val="008A547F"/>
    <w:rsid w:val="008A595D"/>
    <w:rsid w:val="008A5E59"/>
    <w:rsid w:val="008A5E92"/>
    <w:rsid w:val="008A5E95"/>
    <w:rsid w:val="008A60A1"/>
    <w:rsid w:val="008A61EF"/>
    <w:rsid w:val="008A622E"/>
    <w:rsid w:val="008A62C8"/>
    <w:rsid w:val="008A62FF"/>
    <w:rsid w:val="008A63BD"/>
    <w:rsid w:val="008A6507"/>
    <w:rsid w:val="008A6582"/>
    <w:rsid w:val="008A672E"/>
    <w:rsid w:val="008A6830"/>
    <w:rsid w:val="008A6971"/>
    <w:rsid w:val="008A6D85"/>
    <w:rsid w:val="008A6EF7"/>
    <w:rsid w:val="008A702F"/>
    <w:rsid w:val="008A7077"/>
    <w:rsid w:val="008A70BA"/>
    <w:rsid w:val="008A71DA"/>
    <w:rsid w:val="008A71F2"/>
    <w:rsid w:val="008A72B1"/>
    <w:rsid w:val="008A7412"/>
    <w:rsid w:val="008A7569"/>
    <w:rsid w:val="008A75C0"/>
    <w:rsid w:val="008A76AA"/>
    <w:rsid w:val="008A797A"/>
    <w:rsid w:val="008A7B79"/>
    <w:rsid w:val="008A7D69"/>
    <w:rsid w:val="008A7E0D"/>
    <w:rsid w:val="008A7E6D"/>
    <w:rsid w:val="008A7F24"/>
    <w:rsid w:val="008A7F25"/>
    <w:rsid w:val="008A7F71"/>
    <w:rsid w:val="008B00CB"/>
    <w:rsid w:val="008B01EA"/>
    <w:rsid w:val="008B0261"/>
    <w:rsid w:val="008B0288"/>
    <w:rsid w:val="008B02BF"/>
    <w:rsid w:val="008B0305"/>
    <w:rsid w:val="008B04D4"/>
    <w:rsid w:val="008B0976"/>
    <w:rsid w:val="008B0A5C"/>
    <w:rsid w:val="008B0C62"/>
    <w:rsid w:val="008B0ECB"/>
    <w:rsid w:val="008B0F9A"/>
    <w:rsid w:val="008B1081"/>
    <w:rsid w:val="008B1086"/>
    <w:rsid w:val="008B116F"/>
    <w:rsid w:val="008B1312"/>
    <w:rsid w:val="008B137F"/>
    <w:rsid w:val="008B1551"/>
    <w:rsid w:val="008B175C"/>
    <w:rsid w:val="008B1950"/>
    <w:rsid w:val="008B1D06"/>
    <w:rsid w:val="008B1D19"/>
    <w:rsid w:val="008B1D58"/>
    <w:rsid w:val="008B1DCB"/>
    <w:rsid w:val="008B204B"/>
    <w:rsid w:val="008B20CF"/>
    <w:rsid w:val="008B2278"/>
    <w:rsid w:val="008B2307"/>
    <w:rsid w:val="008B238D"/>
    <w:rsid w:val="008B248A"/>
    <w:rsid w:val="008B24F4"/>
    <w:rsid w:val="008B24FC"/>
    <w:rsid w:val="008B259F"/>
    <w:rsid w:val="008B279F"/>
    <w:rsid w:val="008B2805"/>
    <w:rsid w:val="008B2853"/>
    <w:rsid w:val="008B2947"/>
    <w:rsid w:val="008B2C1F"/>
    <w:rsid w:val="008B2EC3"/>
    <w:rsid w:val="008B3103"/>
    <w:rsid w:val="008B312B"/>
    <w:rsid w:val="008B33E0"/>
    <w:rsid w:val="008B348C"/>
    <w:rsid w:val="008B35FE"/>
    <w:rsid w:val="008B372F"/>
    <w:rsid w:val="008B3749"/>
    <w:rsid w:val="008B37F6"/>
    <w:rsid w:val="008B38E6"/>
    <w:rsid w:val="008B398B"/>
    <w:rsid w:val="008B39BC"/>
    <w:rsid w:val="008B3B72"/>
    <w:rsid w:val="008B3B96"/>
    <w:rsid w:val="008B3BDA"/>
    <w:rsid w:val="008B3E4B"/>
    <w:rsid w:val="008B3FA4"/>
    <w:rsid w:val="008B3FB0"/>
    <w:rsid w:val="008B4014"/>
    <w:rsid w:val="008B4045"/>
    <w:rsid w:val="008B4279"/>
    <w:rsid w:val="008B4362"/>
    <w:rsid w:val="008B47C8"/>
    <w:rsid w:val="008B48CF"/>
    <w:rsid w:val="008B4989"/>
    <w:rsid w:val="008B4A24"/>
    <w:rsid w:val="008B4AB4"/>
    <w:rsid w:val="008B4B46"/>
    <w:rsid w:val="008B4C8D"/>
    <w:rsid w:val="008B4DDA"/>
    <w:rsid w:val="008B4DFF"/>
    <w:rsid w:val="008B4E02"/>
    <w:rsid w:val="008B4E74"/>
    <w:rsid w:val="008B4E9F"/>
    <w:rsid w:val="008B4ECA"/>
    <w:rsid w:val="008B4EDB"/>
    <w:rsid w:val="008B5141"/>
    <w:rsid w:val="008B5386"/>
    <w:rsid w:val="008B54D6"/>
    <w:rsid w:val="008B54F3"/>
    <w:rsid w:val="008B573C"/>
    <w:rsid w:val="008B581D"/>
    <w:rsid w:val="008B581F"/>
    <w:rsid w:val="008B5967"/>
    <w:rsid w:val="008B5BE0"/>
    <w:rsid w:val="008B5D35"/>
    <w:rsid w:val="008B5F5E"/>
    <w:rsid w:val="008B61CF"/>
    <w:rsid w:val="008B6313"/>
    <w:rsid w:val="008B6499"/>
    <w:rsid w:val="008B6574"/>
    <w:rsid w:val="008B66D6"/>
    <w:rsid w:val="008B66F1"/>
    <w:rsid w:val="008B6844"/>
    <w:rsid w:val="008B6CBD"/>
    <w:rsid w:val="008B6D6C"/>
    <w:rsid w:val="008B6E59"/>
    <w:rsid w:val="008B6FC5"/>
    <w:rsid w:val="008B7088"/>
    <w:rsid w:val="008B714E"/>
    <w:rsid w:val="008B7198"/>
    <w:rsid w:val="008B7229"/>
    <w:rsid w:val="008B7321"/>
    <w:rsid w:val="008B745A"/>
    <w:rsid w:val="008B7478"/>
    <w:rsid w:val="008B7572"/>
    <w:rsid w:val="008B7647"/>
    <w:rsid w:val="008B76F4"/>
    <w:rsid w:val="008B775A"/>
    <w:rsid w:val="008B7793"/>
    <w:rsid w:val="008B779C"/>
    <w:rsid w:val="008B77F3"/>
    <w:rsid w:val="008B7826"/>
    <w:rsid w:val="008B7844"/>
    <w:rsid w:val="008B78FB"/>
    <w:rsid w:val="008B7A00"/>
    <w:rsid w:val="008B7A1B"/>
    <w:rsid w:val="008B7B46"/>
    <w:rsid w:val="008B7C04"/>
    <w:rsid w:val="008B7EBC"/>
    <w:rsid w:val="008B7FFD"/>
    <w:rsid w:val="008C0076"/>
    <w:rsid w:val="008C028B"/>
    <w:rsid w:val="008C03C5"/>
    <w:rsid w:val="008C068E"/>
    <w:rsid w:val="008C072A"/>
    <w:rsid w:val="008C0987"/>
    <w:rsid w:val="008C0D24"/>
    <w:rsid w:val="008C0D94"/>
    <w:rsid w:val="008C0E87"/>
    <w:rsid w:val="008C0EEE"/>
    <w:rsid w:val="008C0F7D"/>
    <w:rsid w:val="008C0FB7"/>
    <w:rsid w:val="008C1357"/>
    <w:rsid w:val="008C1428"/>
    <w:rsid w:val="008C14BF"/>
    <w:rsid w:val="008C1733"/>
    <w:rsid w:val="008C1778"/>
    <w:rsid w:val="008C1822"/>
    <w:rsid w:val="008C1DC8"/>
    <w:rsid w:val="008C202C"/>
    <w:rsid w:val="008C2054"/>
    <w:rsid w:val="008C20AC"/>
    <w:rsid w:val="008C20FF"/>
    <w:rsid w:val="008C22A6"/>
    <w:rsid w:val="008C249F"/>
    <w:rsid w:val="008C2544"/>
    <w:rsid w:val="008C2631"/>
    <w:rsid w:val="008C26C5"/>
    <w:rsid w:val="008C2859"/>
    <w:rsid w:val="008C2B2C"/>
    <w:rsid w:val="008C2B51"/>
    <w:rsid w:val="008C2B8E"/>
    <w:rsid w:val="008C2CD9"/>
    <w:rsid w:val="008C2D1F"/>
    <w:rsid w:val="008C2DBE"/>
    <w:rsid w:val="008C3203"/>
    <w:rsid w:val="008C3231"/>
    <w:rsid w:val="008C3518"/>
    <w:rsid w:val="008C35A5"/>
    <w:rsid w:val="008C35ED"/>
    <w:rsid w:val="008C3626"/>
    <w:rsid w:val="008C38AD"/>
    <w:rsid w:val="008C3985"/>
    <w:rsid w:val="008C3B05"/>
    <w:rsid w:val="008C3E94"/>
    <w:rsid w:val="008C3F9D"/>
    <w:rsid w:val="008C3FB1"/>
    <w:rsid w:val="008C406F"/>
    <w:rsid w:val="008C4165"/>
    <w:rsid w:val="008C4168"/>
    <w:rsid w:val="008C41C7"/>
    <w:rsid w:val="008C4254"/>
    <w:rsid w:val="008C43D4"/>
    <w:rsid w:val="008C448B"/>
    <w:rsid w:val="008C465C"/>
    <w:rsid w:val="008C46E0"/>
    <w:rsid w:val="008C471B"/>
    <w:rsid w:val="008C48DA"/>
    <w:rsid w:val="008C499F"/>
    <w:rsid w:val="008C4C7F"/>
    <w:rsid w:val="008C4CB3"/>
    <w:rsid w:val="008C523B"/>
    <w:rsid w:val="008C543F"/>
    <w:rsid w:val="008C5512"/>
    <w:rsid w:val="008C5522"/>
    <w:rsid w:val="008C55B2"/>
    <w:rsid w:val="008C56EC"/>
    <w:rsid w:val="008C5754"/>
    <w:rsid w:val="008C58F3"/>
    <w:rsid w:val="008C5954"/>
    <w:rsid w:val="008C59C3"/>
    <w:rsid w:val="008C5A43"/>
    <w:rsid w:val="008C5B74"/>
    <w:rsid w:val="008C5C4D"/>
    <w:rsid w:val="008C5E1E"/>
    <w:rsid w:val="008C5E65"/>
    <w:rsid w:val="008C5F31"/>
    <w:rsid w:val="008C5FCA"/>
    <w:rsid w:val="008C6293"/>
    <w:rsid w:val="008C629F"/>
    <w:rsid w:val="008C6414"/>
    <w:rsid w:val="008C6535"/>
    <w:rsid w:val="008C67F1"/>
    <w:rsid w:val="008C6A6B"/>
    <w:rsid w:val="008C6CD1"/>
    <w:rsid w:val="008C6EFC"/>
    <w:rsid w:val="008C6F4C"/>
    <w:rsid w:val="008C73D4"/>
    <w:rsid w:val="008C7584"/>
    <w:rsid w:val="008C76A3"/>
    <w:rsid w:val="008C76DC"/>
    <w:rsid w:val="008C78F1"/>
    <w:rsid w:val="008C79DA"/>
    <w:rsid w:val="008C79DE"/>
    <w:rsid w:val="008C7AE2"/>
    <w:rsid w:val="008C7AF5"/>
    <w:rsid w:val="008C7AFE"/>
    <w:rsid w:val="008C7B40"/>
    <w:rsid w:val="008C7B66"/>
    <w:rsid w:val="008C7D1F"/>
    <w:rsid w:val="008C7F5F"/>
    <w:rsid w:val="008D010F"/>
    <w:rsid w:val="008D01BE"/>
    <w:rsid w:val="008D01DF"/>
    <w:rsid w:val="008D0265"/>
    <w:rsid w:val="008D0339"/>
    <w:rsid w:val="008D035B"/>
    <w:rsid w:val="008D0495"/>
    <w:rsid w:val="008D0600"/>
    <w:rsid w:val="008D0B08"/>
    <w:rsid w:val="008D0CE4"/>
    <w:rsid w:val="008D0CFE"/>
    <w:rsid w:val="008D0D27"/>
    <w:rsid w:val="008D1198"/>
    <w:rsid w:val="008D1255"/>
    <w:rsid w:val="008D1268"/>
    <w:rsid w:val="008D1296"/>
    <w:rsid w:val="008D1334"/>
    <w:rsid w:val="008D1463"/>
    <w:rsid w:val="008D17B5"/>
    <w:rsid w:val="008D1845"/>
    <w:rsid w:val="008D18F5"/>
    <w:rsid w:val="008D1A65"/>
    <w:rsid w:val="008D1CE0"/>
    <w:rsid w:val="008D1DFE"/>
    <w:rsid w:val="008D1E25"/>
    <w:rsid w:val="008D2015"/>
    <w:rsid w:val="008D21B6"/>
    <w:rsid w:val="008D2230"/>
    <w:rsid w:val="008D249A"/>
    <w:rsid w:val="008D2794"/>
    <w:rsid w:val="008D281A"/>
    <w:rsid w:val="008D2849"/>
    <w:rsid w:val="008D2870"/>
    <w:rsid w:val="008D2A87"/>
    <w:rsid w:val="008D2A8C"/>
    <w:rsid w:val="008D2BE1"/>
    <w:rsid w:val="008D2D7A"/>
    <w:rsid w:val="008D2DE8"/>
    <w:rsid w:val="008D2E1C"/>
    <w:rsid w:val="008D2EA5"/>
    <w:rsid w:val="008D2EEF"/>
    <w:rsid w:val="008D2EF1"/>
    <w:rsid w:val="008D2F20"/>
    <w:rsid w:val="008D3172"/>
    <w:rsid w:val="008D31BE"/>
    <w:rsid w:val="008D3459"/>
    <w:rsid w:val="008D3599"/>
    <w:rsid w:val="008D36B7"/>
    <w:rsid w:val="008D3869"/>
    <w:rsid w:val="008D3938"/>
    <w:rsid w:val="008D3B40"/>
    <w:rsid w:val="008D3B42"/>
    <w:rsid w:val="008D3BC4"/>
    <w:rsid w:val="008D3C5C"/>
    <w:rsid w:val="008D40ED"/>
    <w:rsid w:val="008D41E1"/>
    <w:rsid w:val="008D43FE"/>
    <w:rsid w:val="008D4635"/>
    <w:rsid w:val="008D46CC"/>
    <w:rsid w:val="008D46E8"/>
    <w:rsid w:val="008D485C"/>
    <w:rsid w:val="008D4A41"/>
    <w:rsid w:val="008D4ADC"/>
    <w:rsid w:val="008D4C7D"/>
    <w:rsid w:val="008D4CAF"/>
    <w:rsid w:val="008D4CC5"/>
    <w:rsid w:val="008D4CE8"/>
    <w:rsid w:val="008D4ECE"/>
    <w:rsid w:val="008D4EFF"/>
    <w:rsid w:val="008D4FB3"/>
    <w:rsid w:val="008D5096"/>
    <w:rsid w:val="008D50A6"/>
    <w:rsid w:val="008D52E3"/>
    <w:rsid w:val="008D561A"/>
    <w:rsid w:val="008D568E"/>
    <w:rsid w:val="008D56FA"/>
    <w:rsid w:val="008D57DA"/>
    <w:rsid w:val="008D5995"/>
    <w:rsid w:val="008D5C34"/>
    <w:rsid w:val="008D5D3A"/>
    <w:rsid w:val="008D5D3D"/>
    <w:rsid w:val="008D5E81"/>
    <w:rsid w:val="008D6232"/>
    <w:rsid w:val="008D62CD"/>
    <w:rsid w:val="008D6435"/>
    <w:rsid w:val="008D65F7"/>
    <w:rsid w:val="008D6831"/>
    <w:rsid w:val="008D688B"/>
    <w:rsid w:val="008D6905"/>
    <w:rsid w:val="008D6A06"/>
    <w:rsid w:val="008D6A4B"/>
    <w:rsid w:val="008D6F44"/>
    <w:rsid w:val="008D7019"/>
    <w:rsid w:val="008D7124"/>
    <w:rsid w:val="008D7209"/>
    <w:rsid w:val="008D75AB"/>
    <w:rsid w:val="008D777F"/>
    <w:rsid w:val="008D77E7"/>
    <w:rsid w:val="008D7815"/>
    <w:rsid w:val="008D7970"/>
    <w:rsid w:val="008D79E0"/>
    <w:rsid w:val="008D79FF"/>
    <w:rsid w:val="008D7B6D"/>
    <w:rsid w:val="008D7BC3"/>
    <w:rsid w:val="008D7BD4"/>
    <w:rsid w:val="008D7C9B"/>
    <w:rsid w:val="008D7CBA"/>
    <w:rsid w:val="008D7ECA"/>
    <w:rsid w:val="008D7FF3"/>
    <w:rsid w:val="008E0401"/>
    <w:rsid w:val="008E05EB"/>
    <w:rsid w:val="008E06F1"/>
    <w:rsid w:val="008E08F6"/>
    <w:rsid w:val="008E09C7"/>
    <w:rsid w:val="008E09FC"/>
    <w:rsid w:val="008E0A89"/>
    <w:rsid w:val="008E0B16"/>
    <w:rsid w:val="008E0C6E"/>
    <w:rsid w:val="008E100A"/>
    <w:rsid w:val="008E1057"/>
    <w:rsid w:val="008E115D"/>
    <w:rsid w:val="008E13A2"/>
    <w:rsid w:val="008E13B5"/>
    <w:rsid w:val="008E15B3"/>
    <w:rsid w:val="008E1834"/>
    <w:rsid w:val="008E19A6"/>
    <w:rsid w:val="008E1C0C"/>
    <w:rsid w:val="008E1CA2"/>
    <w:rsid w:val="008E1FD6"/>
    <w:rsid w:val="008E200E"/>
    <w:rsid w:val="008E21E2"/>
    <w:rsid w:val="008E2377"/>
    <w:rsid w:val="008E2612"/>
    <w:rsid w:val="008E266C"/>
    <w:rsid w:val="008E277C"/>
    <w:rsid w:val="008E279F"/>
    <w:rsid w:val="008E289D"/>
    <w:rsid w:val="008E2A2A"/>
    <w:rsid w:val="008E2A59"/>
    <w:rsid w:val="008E2AB3"/>
    <w:rsid w:val="008E2AD1"/>
    <w:rsid w:val="008E2BF8"/>
    <w:rsid w:val="008E2CBD"/>
    <w:rsid w:val="008E2CFC"/>
    <w:rsid w:val="008E2D1B"/>
    <w:rsid w:val="008E3014"/>
    <w:rsid w:val="008E3169"/>
    <w:rsid w:val="008E3254"/>
    <w:rsid w:val="008E3306"/>
    <w:rsid w:val="008E340E"/>
    <w:rsid w:val="008E36C9"/>
    <w:rsid w:val="008E371B"/>
    <w:rsid w:val="008E3756"/>
    <w:rsid w:val="008E37A8"/>
    <w:rsid w:val="008E37E1"/>
    <w:rsid w:val="008E3847"/>
    <w:rsid w:val="008E39D6"/>
    <w:rsid w:val="008E3C47"/>
    <w:rsid w:val="008E3CDC"/>
    <w:rsid w:val="008E3D27"/>
    <w:rsid w:val="008E41A0"/>
    <w:rsid w:val="008E425F"/>
    <w:rsid w:val="008E43AD"/>
    <w:rsid w:val="008E4446"/>
    <w:rsid w:val="008E44F2"/>
    <w:rsid w:val="008E4584"/>
    <w:rsid w:val="008E45AF"/>
    <w:rsid w:val="008E45E5"/>
    <w:rsid w:val="008E464D"/>
    <w:rsid w:val="008E4659"/>
    <w:rsid w:val="008E4691"/>
    <w:rsid w:val="008E46CF"/>
    <w:rsid w:val="008E48A4"/>
    <w:rsid w:val="008E4A3C"/>
    <w:rsid w:val="008E4AFA"/>
    <w:rsid w:val="008E4D1E"/>
    <w:rsid w:val="008E4E73"/>
    <w:rsid w:val="008E4F0B"/>
    <w:rsid w:val="008E5626"/>
    <w:rsid w:val="008E567E"/>
    <w:rsid w:val="008E574B"/>
    <w:rsid w:val="008E57FB"/>
    <w:rsid w:val="008E5A02"/>
    <w:rsid w:val="008E5AD5"/>
    <w:rsid w:val="008E5BBF"/>
    <w:rsid w:val="008E5E4E"/>
    <w:rsid w:val="008E5F52"/>
    <w:rsid w:val="008E6032"/>
    <w:rsid w:val="008E622D"/>
    <w:rsid w:val="008E6265"/>
    <w:rsid w:val="008E63F9"/>
    <w:rsid w:val="008E64C4"/>
    <w:rsid w:val="008E6597"/>
    <w:rsid w:val="008E65F2"/>
    <w:rsid w:val="008E6674"/>
    <w:rsid w:val="008E668D"/>
    <w:rsid w:val="008E693D"/>
    <w:rsid w:val="008E695B"/>
    <w:rsid w:val="008E69DF"/>
    <w:rsid w:val="008E6AAE"/>
    <w:rsid w:val="008E6B6D"/>
    <w:rsid w:val="008E6C21"/>
    <w:rsid w:val="008E6E2E"/>
    <w:rsid w:val="008E708A"/>
    <w:rsid w:val="008E7232"/>
    <w:rsid w:val="008E724F"/>
    <w:rsid w:val="008E725B"/>
    <w:rsid w:val="008E7465"/>
    <w:rsid w:val="008E747D"/>
    <w:rsid w:val="008E793B"/>
    <w:rsid w:val="008E79B0"/>
    <w:rsid w:val="008E7A2E"/>
    <w:rsid w:val="008E7A92"/>
    <w:rsid w:val="008E7AAC"/>
    <w:rsid w:val="008E7AF7"/>
    <w:rsid w:val="008E7BB6"/>
    <w:rsid w:val="008E7E72"/>
    <w:rsid w:val="008F003F"/>
    <w:rsid w:val="008F0152"/>
    <w:rsid w:val="008F04AB"/>
    <w:rsid w:val="008F05E2"/>
    <w:rsid w:val="008F071C"/>
    <w:rsid w:val="008F0981"/>
    <w:rsid w:val="008F09EA"/>
    <w:rsid w:val="008F0B16"/>
    <w:rsid w:val="008F0E65"/>
    <w:rsid w:val="008F1008"/>
    <w:rsid w:val="008F100B"/>
    <w:rsid w:val="008F132E"/>
    <w:rsid w:val="008F1388"/>
    <w:rsid w:val="008F149F"/>
    <w:rsid w:val="008F14AC"/>
    <w:rsid w:val="008F14BE"/>
    <w:rsid w:val="008F1504"/>
    <w:rsid w:val="008F17E5"/>
    <w:rsid w:val="008F1855"/>
    <w:rsid w:val="008F18EF"/>
    <w:rsid w:val="008F1BCD"/>
    <w:rsid w:val="008F1C5B"/>
    <w:rsid w:val="008F1CC6"/>
    <w:rsid w:val="008F1F9E"/>
    <w:rsid w:val="008F209C"/>
    <w:rsid w:val="008F21CB"/>
    <w:rsid w:val="008F23BE"/>
    <w:rsid w:val="008F268B"/>
    <w:rsid w:val="008F2693"/>
    <w:rsid w:val="008F26E3"/>
    <w:rsid w:val="008F27C4"/>
    <w:rsid w:val="008F27EE"/>
    <w:rsid w:val="008F2864"/>
    <w:rsid w:val="008F2965"/>
    <w:rsid w:val="008F2A1C"/>
    <w:rsid w:val="008F2A78"/>
    <w:rsid w:val="008F2A7A"/>
    <w:rsid w:val="008F2BEE"/>
    <w:rsid w:val="008F2C2F"/>
    <w:rsid w:val="008F2D33"/>
    <w:rsid w:val="008F2F9C"/>
    <w:rsid w:val="008F2FA0"/>
    <w:rsid w:val="008F2FB4"/>
    <w:rsid w:val="008F31DD"/>
    <w:rsid w:val="008F3448"/>
    <w:rsid w:val="008F34A6"/>
    <w:rsid w:val="008F3740"/>
    <w:rsid w:val="008F38B8"/>
    <w:rsid w:val="008F3948"/>
    <w:rsid w:val="008F39B0"/>
    <w:rsid w:val="008F3B35"/>
    <w:rsid w:val="008F3B92"/>
    <w:rsid w:val="008F3C0F"/>
    <w:rsid w:val="008F3C23"/>
    <w:rsid w:val="008F3ED4"/>
    <w:rsid w:val="008F4153"/>
    <w:rsid w:val="008F41AE"/>
    <w:rsid w:val="008F41DF"/>
    <w:rsid w:val="008F4583"/>
    <w:rsid w:val="008F472E"/>
    <w:rsid w:val="008F475C"/>
    <w:rsid w:val="008F4847"/>
    <w:rsid w:val="008F4BBB"/>
    <w:rsid w:val="008F4DA2"/>
    <w:rsid w:val="008F4F3A"/>
    <w:rsid w:val="008F508E"/>
    <w:rsid w:val="008F53D9"/>
    <w:rsid w:val="008F54F0"/>
    <w:rsid w:val="008F56B5"/>
    <w:rsid w:val="008F5787"/>
    <w:rsid w:val="008F5B57"/>
    <w:rsid w:val="008F5BB8"/>
    <w:rsid w:val="008F5C08"/>
    <w:rsid w:val="008F5C6E"/>
    <w:rsid w:val="008F5F3E"/>
    <w:rsid w:val="008F5FB9"/>
    <w:rsid w:val="008F60B0"/>
    <w:rsid w:val="008F611D"/>
    <w:rsid w:val="008F613D"/>
    <w:rsid w:val="008F61DF"/>
    <w:rsid w:val="008F621F"/>
    <w:rsid w:val="008F6357"/>
    <w:rsid w:val="008F638F"/>
    <w:rsid w:val="008F661C"/>
    <w:rsid w:val="008F67CA"/>
    <w:rsid w:val="008F6830"/>
    <w:rsid w:val="008F6A43"/>
    <w:rsid w:val="008F6BCD"/>
    <w:rsid w:val="008F6EE3"/>
    <w:rsid w:val="008F6EF0"/>
    <w:rsid w:val="008F6F92"/>
    <w:rsid w:val="008F6FE9"/>
    <w:rsid w:val="008F71E7"/>
    <w:rsid w:val="008F7232"/>
    <w:rsid w:val="008F74C6"/>
    <w:rsid w:val="008F757D"/>
    <w:rsid w:val="008F7629"/>
    <w:rsid w:val="008F7641"/>
    <w:rsid w:val="008F7654"/>
    <w:rsid w:val="008F77AE"/>
    <w:rsid w:val="008F77D1"/>
    <w:rsid w:val="008F7881"/>
    <w:rsid w:val="008F7A01"/>
    <w:rsid w:val="008F7A0E"/>
    <w:rsid w:val="008F7BAF"/>
    <w:rsid w:val="008F7C2E"/>
    <w:rsid w:val="008F7CF8"/>
    <w:rsid w:val="008F7CFB"/>
    <w:rsid w:val="008F7DA1"/>
    <w:rsid w:val="008F7E50"/>
    <w:rsid w:val="009000D3"/>
    <w:rsid w:val="009001D1"/>
    <w:rsid w:val="009001DE"/>
    <w:rsid w:val="009001FC"/>
    <w:rsid w:val="0090059F"/>
    <w:rsid w:val="009005E0"/>
    <w:rsid w:val="009006A1"/>
    <w:rsid w:val="0090080F"/>
    <w:rsid w:val="0090086B"/>
    <w:rsid w:val="00900875"/>
    <w:rsid w:val="0090096F"/>
    <w:rsid w:val="00900A69"/>
    <w:rsid w:val="00900AB5"/>
    <w:rsid w:val="00900FD0"/>
    <w:rsid w:val="00900FE1"/>
    <w:rsid w:val="0090102A"/>
    <w:rsid w:val="00901148"/>
    <w:rsid w:val="00901171"/>
    <w:rsid w:val="0090141D"/>
    <w:rsid w:val="00901424"/>
    <w:rsid w:val="00901835"/>
    <w:rsid w:val="0090193A"/>
    <w:rsid w:val="00901A99"/>
    <w:rsid w:val="00901BD1"/>
    <w:rsid w:val="00901C47"/>
    <w:rsid w:val="00901DD5"/>
    <w:rsid w:val="00901E7B"/>
    <w:rsid w:val="00901EE2"/>
    <w:rsid w:val="00902295"/>
    <w:rsid w:val="009026AA"/>
    <w:rsid w:val="0090272F"/>
    <w:rsid w:val="0090274D"/>
    <w:rsid w:val="00902832"/>
    <w:rsid w:val="00902913"/>
    <w:rsid w:val="00902950"/>
    <w:rsid w:val="0090295C"/>
    <w:rsid w:val="009029CB"/>
    <w:rsid w:val="00902BAA"/>
    <w:rsid w:val="00902BFF"/>
    <w:rsid w:val="00902C04"/>
    <w:rsid w:val="00902DFA"/>
    <w:rsid w:val="00902E66"/>
    <w:rsid w:val="00902E77"/>
    <w:rsid w:val="00902FA2"/>
    <w:rsid w:val="00902FE8"/>
    <w:rsid w:val="00903040"/>
    <w:rsid w:val="009030A6"/>
    <w:rsid w:val="00903160"/>
    <w:rsid w:val="00903466"/>
    <w:rsid w:val="00903472"/>
    <w:rsid w:val="009035E4"/>
    <w:rsid w:val="00903649"/>
    <w:rsid w:val="0090384A"/>
    <w:rsid w:val="009038E5"/>
    <w:rsid w:val="00903B97"/>
    <w:rsid w:val="00903C32"/>
    <w:rsid w:val="00903CA8"/>
    <w:rsid w:val="00903D3A"/>
    <w:rsid w:val="00903EBA"/>
    <w:rsid w:val="00903EE7"/>
    <w:rsid w:val="0090425C"/>
    <w:rsid w:val="009043F6"/>
    <w:rsid w:val="0090471A"/>
    <w:rsid w:val="009047BD"/>
    <w:rsid w:val="00904944"/>
    <w:rsid w:val="009049F0"/>
    <w:rsid w:val="009049FA"/>
    <w:rsid w:val="00904B9C"/>
    <w:rsid w:val="00904CA4"/>
    <w:rsid w:val="00904D62"/>
    <w:rsid w:val="00904DA7"/>
    <w:rsid w:val="00904F7E"/>
    <w:rsid w:val="00905012"/>
    <w:rsid w:val="009050CC"/>
    <w:rsid w:val="0090518E"/>
    <w:rsid w:val="009051F7"/>
    <w:rsid w:val="00905322"/>
    <w:rsid w:val="009053F8"/>
    <w:rsid w:val="009054C1"/>
    <w:rsid w:val="00905548"/>
    <w:rsid w:val="00905733"/>
    <w:rsid w:val="0090588B"/>
    <w:rsid w:val="00905912"/>
    <w:rsid w:val="00905A31"/>
    <w:rsid w:val="00905A55"/>
    <w:rsid w:val="00905AF0"/>
    <w:rsid w:val="00905DA9"/>
    <w:rsid w:val="00905FDE"/>
    <w:rsid w:val="009060B2"/>
    <w:rsid w:val="0090616A"/>
    <w:rsid w:val="00906276"/>
    <w:rsid w:val="00906598"/>
    <w:rsid w:val="00906A06"/>
    <w:rsid w:val="00906A76"/>
    <w:rsid w:val="00906AFC"/>
    <w:rsid w:val="00906C5B"/>
    <w:rsid w:val="00906CF2"/>
    <w:rsid w:val="00906ECC"/>
    <w:rsid w:val="00906FAB"/>
    <w:rsid w:val="00906FDB"/>
    <w:rsid w:val="00907044"/>
    <w:rsid w:val="009070E1"/>
    <w:rsid w:val="00907189"/>
    <w:rsid w:val="009073BB"/>
    <w:rsid w:val="00907449"/>
    <w:rsid w:val="0090758E"/>
    <w:rsid w:val="00907654"/>
    <w:rsid w:val="009077D2"/>
    <w:rsid w:val="00907AAD"/>
    <w:rsid w:val="00907B01"/>
    <w:rsid w:val="00907B24"/>
    <w:rsid w:val="00907E5B"/>
    <w:rsid w:val="00907EA4"/>
    <w:rsid w:val="00907ED6"/>
    <w:rsid w:val="00907FC4"/>
    <w:rsid w:val="00910A37"/>
    <w:rsid w:val="00910B77"/>
    <w:rsid w:val="00910C29"/>
    <w:rsid w:val="00910D68"/>
    <w:rsid w:val="00910E66"/>
    <w:rsid w:val="00910EAD"/>
    <w:rsid w:val="00910ECF"/>
    <w:rsid w:val="00911425"/>
    <w:rsid w:val="009114E5"/>
    <w:rsid w:val="0091161C"/>
    <w:rsid w:val="00911934"/>
    <w:rsid w:val="0091198C"/>
    <w:rsid w:val="00911B46"/>
    <w:rsid w:val="00911B8F"/>
    <w:rsid w:val="00911BF9"/>
    <w:rsid w:val="00911C6E"/>
    <w:rsid w:val="00911CAF"/>
    <w:rsid w:val="00911F63"/>
    <w:rsid w:val="00912093"/>
    <w:rsid w:val="0091211C"/>
    <w:rsid w:val="009122EF"/>
    <w:rsid w:val="0091234E"/>
    <w:rsid w:val="009123D9"/>
    <w:rsid w:val="00912458"/>
    <w:rsid w:val="00912471"/>
    <w:rsid w:val="009125D2"/>
    <w:rsid w:val="0091262E"/>
    <w:rsid w:val="00912664"/>
    <w:rsid w:val="00912698"/>
    <w:rsid w:val="00912846"/>
    <w:rsid w:val="00912861"/>
    <w:rsid w:val="009128BD"/>
    <w:rsid w:val="0091295C"/>
    <w:rsid w:val="00912AF1"/>
    <w:rsid w:val="00912F4D"/>
    <w:rsid w:val="00913189"/>
    <w:rsid w:val="009131F8"/>
    <w:rsid w:val="0091330E"/>
    <w:rsid w:val="009134E7"/>
    <w:rsid w:val="009136FF"/>
    <w:rsid w:val="00913759"/>
    <w:rsid w:val="0091376F"/>
    <w:rsid w:val="00913815"/>
    <w:rsid w:val="009138F2"/>
    <w:rsid w:val="00913946"/>
    <w:rsid w:val="009139C1"/>
    <w:rsid w:val="00913AE6"/>
    <w:rsid w:val="00913B39"/>
    <w:rsid w:val="00913B75"/>
    <w:rsid w:val="00913C17"/>
    <w:rsid w:val="00913C9A"/>
    <w:rsid w:val="00914195"/>
    <w:rsid w:val="00914221"/>
    <w:rsid w:val="00914227"/>
    <w:rsid w:val="009144BA"/>
    <w:rsid w:val="009144BF"/>
    <w:rsid w:val="00914674"/>
    <w:rsid w:val="009146EE"/>
    <w:rsid w:val="00914717"/>
    <w:rsid w:val="0091472A"/>
    <w:rsid w:val="009148F5"/>
    <w:rsid w:val="009149CE"/>
    <w:rsid w:val="00914AFC"/>
    <w:rsid w:val="00914C0B"/>
    <w:rsid w:val="00914FD7"/>
    <w:rsid w:val="00914FD8"/>
    <w:rsid w:val="0091506F"/>
    <w:rsid w:val="00915115"/>
    <w:rsid w:val="0091520C"/>
    <w:rsid w:val="00915230"/>
    <w:rsid w:val="00915566"/>
    <w:rsid w:val="0091561F"/>
    <w:rsid w:val="00915748"/>
    <w:rsid w:val="009158EE"/>
    <w:rsid w:val="00915AE1"/>
    <w:rsid w:val="00915B4A"/>
    <w:rsid w:val="00915C14"/>
    <w:rsid w:val="00915E55"/>
    <w:rsid w:val="00915E94"/>
    <w:rsid w:val="00915E9C"/>
    <w:rsid w:val="0091602A"/>
    <w:rsid w:val="00916057"/>
    <w:rsid w:val="009160A1"/>
    <w:rsid w:val="009160B5"/>
    <w:rsid w:val="009160E9"/>
    <w:rsid w:val="0091610D"/>
    <w:rsid w:val="009161B2"/>
    <w:rsid w:val="0091638B"/>
    <w:rsid w:val="00916437"/>
    <w:rsid w:val="009164D5"/>
    <w:rsid w:val="00916506"/>
    <w:rsid w:val="009166CB"/>
    <w:rsid w:val="009168AE"/>
    <w:rsid w:val="009168B5"/>
    <w:rsid w:val="00916CF4"/>
    <w:rsid w:val="00916CFF"/>
    <w:rsid w:val="00916EA9"/>
    <w:rsid w:val="00917156"/>
    <w:rsid w:val="00917223"/>
    <w:rsid w:val="009173BB"/>
    <w:rsid w:val="009174A6"/>
    <w:rsid w:val="009175D3"/>
    <w:rsid w:val="00917784"/>
    <w:rsid w:val="009177CC"/>
    <w:rsid w:val="00917893"/>
    <w:rsid w:val="00917895"/>
    <w:rsid w:val="00917902"/>
    <w:rsid w:val="0091796A"/>
    <w:rsid w:val="00917A87"/>
    <w:rsid w:val="00917B4F"/>
    <w:rsid w:val="00917CC3"/>
    <w:rsid w:val="00917CC8"/>
    <w:rsid w:val="00917CEF"/>
    <w:rsid w:val="00917DC7"/>
    <w:rsid w:val="00917DD5"/>
    <w:rsid w:val="00917E25"/>
    <w:rsid w:val="00917EC8"/>
    <w:rsid w:val="00920210"/>
    <w:rsid w:val="00920227"/>
    <w:rsid w:val="009204A9"/>
    <w:rsid w:val="00920852"/>
    <w:rsid w:val="00920A3E"/>
    <w:rsid w:val="00920B44"/>
    <w:rsid w:val="00920C86"/>
    <w:rsid w:val="00920F24"/>
    <w:rsid w:val="0092116D"/>
    <w:rsid w:val="009212EF"/>
    <w:rsid w:val="0092144F"/>
    <w:rsid w:val="009214BF"/>
    <w:rsid w:val="0092154C"/>
    <w:rsid w:val="0092159D"/>
    <w:rsid w:val="00921660"/>
    <w:rsid w:val="00921775"/>
    <w:rsid w:val="00921A9F"/>
    <w:rsid w:val="00921B3D"/>
    <w:rsid w:val="00921C6A"/>
    <w:rsid w:val="00921F59"/>
    <w:rsid w:val="00922033"/>
    <w:rsid w:val="009221EE"/>
    <w:rsid w:val="009223F5"/>
    <w:rsid w:val="009224AF"/>
    <w:rsid w:val="00922587"/>
    <w:rsid w:val="00922746"/>
    <w:rsid w:val="009227CC"/>
    <w:rsid w:val="00922997"/>
    <w:rsid w:val="00922A0E"/>
    <w:rsid w:val="00922B34"/>
    <w:rsid w:val="00922C8B"/>
    <w:rsid w:val="00922C93"/>
    <w:rsid w:val="00922FCB"/>
    <w:rsid w:val="0092303A"/>
    <w:rsid w:val="0092304B"/>
    <w:rsid w:val="009230D6"/>
    <w:rsid w:val="009231D7"/>
    <w:rsid w:val="0092321A"/>
    <w:rsid w:val="00923236"/>
    <w:rsid w:val="00923292"/>
    <w:rsid w:val="00923377"/>
    <w:rsid w:val="009233B8"/>
    <w:rsid w:val="0092343E"/>
    <w:rsid w:val="00923534"/>
    <w:rsid w:val="00923641"/>
    <w:rsid w:val="0092366D"/>
    <w:rsid w:val="00923837"/>
    <w:rsid w:val="009238AF"/>
    <w:rsid w:val="00923A1F"/>
    <w:rsid w:val="00923A27"/>
    <w:rsid w:val="00923AB8"/>
    <w:rsid w:val="00923AE3"/>
    <w:rsid w:val="00923BE9"/>
    <w:rsid w:val="00923C54"/>
    <w:rsid w:val="00923CF9"/>
    <w:rsid w:val="00923D85"/>
    <w:rsid w:val="00923ECF"/>
    <w:rsid w:val="00924358"/>
    <w:rsid w:val="009243B0"/>
    <w:rsid w:val="009243D7"/>
    <w:rsid w:val="00924469"/>
    <w:rsid w:val="0092453A"/>
    <w:rsid w:val="009245B8"/>
    <w:rsid w:val="00924859"/>
    <w:rsid w:val="009248EE"/>
    <w:rsid w:val="00924967"/>
    <w:rsid w:val="00924B50"/>
    <w:rsid w:val="00924BAC"/>
    <w:rsid w:val="00924BB5"/>
    <w:rsid w:val="00924BE1"/>
    <w:rsid w:val="00924C81"/>
    <w:rsid w:val="00924DD9"/>
    <w:rsid w:val="00924DDB"/>
    <w:rsid w:val="009250A2"/>
    <w:rsid w:val="009250C6"/>
    <w:rsid w:val="009250E8"/>
    <w:rsid w:val="00925103"/>
    <w:rsid w:val="0092515C"/>
    <w:rsid w:val="009251F3"/>
    <w:rsid w:val="009252E9"/>
    <w:rsid w:val="00925308"/>
    <w:rsid w:val="0092534F"/>
    <w:rsid w:val="00925416"/>
    <w:rsid w:val="009254A1"/>
    <w:rsid w:val="00925510"/>
    <w:rsid w:val="009255B2"/>
    <w:rsid w:val="00925A87"/>
    <w:rsid w:val="00925AFC"/>
    <w:rsid w:val="00925F61"/>
    <w:rsid w:val="00925F79"/>
    <w:rsid w:val="00925FAD"/>
    <w:rsid w:val="00926025"/>
    <w:rsid w:val="0092642E"/>
    <w:rsid w:val="00926779"/>
    <w:rsid w:val="0092689A"/>
    <w:rsid w:val="00926906"/>
    <w:rsid w:val="0092694E"/>
    <w:rsid w:val="00926A27"/>
    <w:rsid w:val="00926AF9"/>
    <w:rsid w:val="00926B38"/>
    <w:rsid w:val="00926B43"/>
    <w:rsid w:val="00926D3E"/>
    <w:rsid w:val="00926D9D"/>
    <w:rsid w:val="00926DD1"/>
    <w:rsid w:val="00926EF2"/>
    <w:rsid w:val="00926F1F"/>
    <w:rsid w:val="0092717A"/>
    <w:rsid w:val="009273A9"/>
    <w:rsid w:val="00927540"/>
    <w:rsid w:val="00927551"/>
    <w:rsid w:val="00927689"/>
    <w:rsid w:val="0092777B"/>
    <w:rsid w:val="009278C3"/>
    <w:rsid w:val="00927ABF"/>
    <w:rsid w:val="00927AC2"/>
    <w:rsid w:val="00927B34"/>
    <w:rsid w:val="00927C61"/>
    <w:rsid w:val="00927EF5"/>
    <w:rsid w:val="00927FB8"/>
    <w:rsid w:val="0093000A"/>
    <w:rsid w:val="0093004A"/>
    <w:rsid w:val="0093019D"/>
    <w:rsid w:val="00930240"/>
    <w:rsid w:val="00930241"/>
    <w:rsid w:val="009302A6"/>
    <w:rsid w:val="009302CA"/>
    <w:rsid w:val="00930337"/>
    <w:rsid w:val="0093048D"/>
    <w:rsid w:val="009306E0"/>
    <w:rsid w:val="0093071B"/>
    <w:rsid w:val="009308E6"/>
    <w:rsid w:val="0093090D"/>
    <w:rsid w:val="00930976"/>
    <w:rsid w:val="0093099A"/>
    <w:rsid w:val="00930BE8"/>
    <w:rsid w:val="00930D42"/>
    <w:rsid w:val="00930D69"/>
    <w:rsid w:val="00930DF4"/>
    <w:rsid w:val="00930E62"/>
    <w:rsid w:val="00930F3F"/>
    <w:rsid w:val="00931137"/>
    <w:rsid w:val="00931208"/>
    <w:rsid w:val="00931223"/>
    <w:rsid w:val="009313F2"/>
    <w:rsid w:val="009314DD"/>
    <w:rsid w:val="009315E3"/>
    <w:rsid w:val="0093174C"/>
    <w:rsid w:val="009317AA"/>
    <w:rsid w:val="00931CC1"/>
    <w:rsid w:val="0093229C"/>
    <w:rsid w:val="00932335"/>
    <w:rsid w:val="00932359"/>
    <w:rsid w:val="00932429"/>
    <w:rsid w:val="009324C3"/>
    <w:rsid w:val="009325B1"/>
    <w:rsid w:val="009326BF"/>
    <w:rsid w:val="00932895"/>
    <w:rsid w:val="0093291A"/>
    <w:rsid w:val="00932BDA"/>
    <w:rsid w:val="00932C44"/>
    <w:rsid w:val="00932D5E"/>
    <w:rsid w:val="00932FC1"/>
    <w:rsid w:val="00932FC8"/>
    <w:rsid w:val="009330ED"/>
    <w:rsid w:val="0093320B"/>
    <w:rsid w:val="00933322"/>
    <w:rsid w:val="009333E7"/>
    <w:rsid w:val="00933511"/>
    <w:rsid w:val="00933524"/>
    <w:rsid w:val="0093364F"/>
    <w:rsid w:val="009336A7"/>
    <w:rsid w:val="0093372D"/>
    <w:rsid w:val="009338E3"/>
    <w:rsid w:val="009338F3"/>
    <w:rsid w:val="00933978"/>
    <w:rsid w:val="00933A4C"/>
    <w:rsid w:val="00933B2C"/>
    <w:rsid w:val="00933C89"/>
    <w:rsid w:val="00933CF9"/>
    <w:rsid w:val="00933E47"/>
    <w:rsid w:val="00933E8D"/>
    <w:rsid w:val="00934531"/>
    <w:rsid w:val="0093460F"/>
    <w:rsid w:val="009348D3"/>
    <w:rsid w:val="009348FC"/>
    <w:rsid w:val="0093498F"/>
    <w:rsid w:val="00934A1C"/>
    <w:rsid w:val="00934AD0"/>
    <w:rsid w:val="009350D3"/>
    <w:rsid w:val="009350DB"/>
    <w:rsid w:val="00935143"/>
    <w:rsid w:val="00935147"/>
    <w:rsid w:val="009353C1"/>
    <w:rsid w:val="009353C3"/>
    <w:rsid w:val="009353E8"/>
    <w:rsid w:val="00935540"/>
    <w:rsid w:val="00935859"/>
    <w:rsid w:val="009359F7"/>
    <w:rsid w:val="00935A49"/>
    <w:rsid w:val="00935B68"/>
    <w:rsid w:val="00935BD3"/>
    <w:rsid w:val="00935DE5"/>
    <w:rsid w:val="00935E4B"/>
    <w:rsid w:val="00935EA8"/>
    <w:rsid w:val="00936314"/>
    <w:rsid w:val="009363DC"/>
    <w:rsid w:val="00936521"/>
    <w:rsid w:val="009366EE"/>
    <w:rsid w:val="00936874"/>
    <w:rsid w:val="00936891"/>
    <w:rsid w:val="00936B57"/>
    <w:rsid w:val="00936C6E"/>
    <w:rsid w:val="00936D52"/>
    <w:rsid w:val="00936E52"/>
    <w:rsid w:val="00936E7B"/>
    <w:rsid w:val="00936E9F"/>
    <w:rsid w:val="00937097"/>
    <w:rsid w:val="00937104"/>
    <w:rsid w:val="00937200"/>
    <w:rsid w:val="00937236"/>
    <w:rsid w:val="0093727E"/>
    <w:rsid w:val="00937456"/>
    <w:rsid w:val="009374A6"/>
    <w:rsid w:val="009374B7"/>
    <w:rsid w:val="00937600"/>
    <w:rsid w:val="00937629"/>
    <w:rsid w:val="009376D9"/>
    <w:rsid w:val="009377D3"/>
    <w:rsid w:val="009378FB"/>
    <w:rsid w:val="00937957"/>
    <w:rsid w:val="009379A6"/>
    <w:rsid w:val="00937D1A"/>
    <w:rsid w:val="00937D8E"/>
    <w:rsid w:val="00937F40"/>
    <w:rsid w:val="0093DC2A"/>
    <w:rsid w:val="009401A5"/>
    <w:rsid w:val="00940257"/>
    <w:rsid w:val="009403D6"/>
    <w:rsid w:val="0094052D"/>
    <w:rsid w:val="00940552"/>
    <w:rsid w:val="009405CE"/>
    <w:rsid w:val="009405F4"/>
    <w:rsid w:val="00940605"/>
    <w:rsid w:val="0094071B"/>
    <w:rsid w:val="00940723"/>
    <w:rsid w:val="00940847"/>
    <w:rsid w:val="009408F9"/>
    <w:rsid w:val="00940940"/>
    <w:rsid w:val="00940966"/>
    <w:rsid w:val="009409BB"/>
    <w:rsid w:val="009409F0"/>
    <w:rsid w:val="00940B01"/>
    <w:rsid w:val="00940DBF"/>
    <w:rsid w:val="00940EA3"/>
    <w:rsid w:val="009410F5"/>
    <w:rsid w:val="00941359"/>
    <w:rsid w:val="00941417"/>
    <w:rsid w:val="00941738"/>
    <w:rsid w:val="00941960"/>
    <w:rsid w:val="00941B2A"/>
    <w:rsid w:val="00941C4C"/>
    <w:rsid w:val="00941D62"/>
    <w:rsid w:val="00941EB2"/>
    <w:rsid w:val="00942146"/>
    <w:rsid w:val="00942230"/>
    <w:rsid w:val="00942531"/>
    <w:rsid w:val="0094261B"/>
    <w:rsid w:val="00942625"/>
    <w:rsid w:val="00942630"/>
    <w:rsid w:val="009426DF"/>
    <w:rsid w:val="009427EB"/>
    <w:rsid w:val="009428BE"/>
    <w:rsid w:val="009429B0"/>
    <w:rsid w:val="00942AB6"/>
    <w:rsid w:val="00942C95"/>
    <w:rsid w:val="00942CED"/>
    <w:rsid w:val="00942CFA"/>
    <w:rsid w:val="00942F17"/>
    <w:rsid w:val="00942FF0"/>
    <w:rsid w:val="00943134"/>
    <w:rsid w:val="009433F1"/>
    <w:rsid w:val="00943402"/>
    <w:rsid w:val="009434DB"/>
    <w:rsid w:val="00943585"/>
    <w:rsid w:val="0094375A"/>
    <w:rsid w:val="00943823"/>
    <w:rsid w:val="00943907"/>
    <w:rsid w:val="00943992"/>
    <w:rsid w:val="00943B71"/>
    <w:rsid w:val="00943D6A"/>
    <w:rsid w:val="009440B2"/>
    <w:rsid w:val="0094417D"/>
    <w:rsid w:val="0094428F"/>
    <w:rsid w:val="009442CD"/>
    <w:rsid w:val="0094445C"/>
    <w:rsid w:val="00944557"/>
    <w:rsid w:val="009445E4"/>
    <w:rsid w:val="009445FC"/>
    <w:rsid w:val="0094472A"/>
    <w:rsid w:val="00944854"/>
    <w:rsid w:val="0094491D"/>
    <w:rsid w:val="00944989"/>
    <w:rsid w:val="00944C69"/>
    <w:rsid w:val="00944CD4"/>
    <w:rsid w:val="00944F01"/>
    <w:rsid w:val="009451E9"/>
    <w:rsid w:val="00945346"/>
    <w:rsid w:val="009453FE"/>
    <w:rsid w:val="00945489"/>
    <w:rsid w:val="009458DE"/>
    <w:rsid w:val="009459AC"/>
    <w:rsid w:val="00945A95"/>
    <w:rsid w:val="00945DD6"/>
    <w:rsid w:val="00946039"/>
    <w:rsid w:val="00946119"/>
    <w:rsid w:val="00946139"/>
    <w:rsid w:val="0094618B"/>
    <w:rsid w:val="0094631D"/>
    <w:rsid w:val="009463D1"/>
    <w:rsid w:val="00946593"/>
    <w:rsid w:val="009466EE"/>
    <w:rsid w:val="00946750"/>
    <w:rsid w:val="00946A19"/>
    <w:rsid w:val="00946A8F"/>
    <w:rsid w:val="00946AB1"/>
    <w:rsid w:val="00946C5A"/>
    <w:rsid w:val="00946E36"/>
    <w:rsid w:val="00946E5E"/>
    <w:rsid w:val="00946FB2"/>
    <w:rsid w:val="0094709A"/>
    <w:rsid w:val="009470B6"/>
    <w:rsid w:val="00947123"/>
    <w:rsid w:val="0094737C"/>
    <w:rsid w:val="009477B1"/>
    <w:rsid w:val="009479E4"/>
    <w:rsid w:val="00947BF3"/>
    <w:rsid w:val="00947C67"/>
    <w:rsid w:val="009500B3"/>
    <w:rsid w:val="009501B4"/>
    <w:rsid w:val="0095082E"/>
    <w:rsid w:val="00950876"/>
    <w:rsid w:val="00950AC0"/>
    <w:rsid w:val="00950C73"/>
    <w:rsid w:val="00950D13"/>
    <w:rsid w:val="00950D62"/>
    <w:rsid w:val="00950D73"/>
    <w:rsid w:val="00950DC6"/>
    <w:rsid w:val="00950F69"/>
    <w:rsid w:val="009510EF"/>
    <w:rsid w:val="0095119F"/>
    <w:rsid w:val="009511FA"/>
    <w:rsid w:val="00951378"/>
    <w:rsid w:val="009513E9"/>
    <w:rsid w:val="00951471"/>
    <w:rsid w:val="00951561"/>
    <w:rsid w:val="00951593"/>
    <w:rsid w:val="009518FF"/>
    <w:rsid w:val="0095194C"/>
    <w:rsid w:val="00951AEA"/>
    <w:rsid w:val="00951B71"/>
    <w:rsid w:val="00951D31"/>
    <w:rsid w:val="00951D7E"/>
    <w:rsid w:val="00951E9F"/>
    <w:rsid w:val="00951F53"/>
    <w:rsid w:val="009521E0"/>
    <w:rsid w:val="00952284"/>
    <w:rsid w:val="009522C8"/>
    <w:rsid w:val="0095248C"/>
    <w:rsid w:val="00952677"/>
    <w:rsid w:val="009526F3"/>
    <w:rsid w:val="009527BA"/>
    <w:rsid w:val="0095295D"/>
    <w:rsid w:val="0095296B"/>
    <w:rsid w:val="00952ABE"/>
    <w:rsid w:val="00952F65"/>
    <w:rsid w:val="00953108"/>
    <w:rsid w:val="00953333"/>
    <w:rsid w:val="00953547"/>
    <w:rsid w:val="0095371B"/>
    <w:rsid w:val="0095378C"/>
    <w:rsid w:val="009538C4"/>
    <w:rsid w:val="009538FA"/>
    <w:rsid w:val="00953907"/>
    <w:rsid w:val="00953CB7"/>
    <w:rsid w:val="00953CC1"/>
    <w:rsid w:val="00953D7E"/>
    <w:rsid w:val="00953DB9"/>
    <w:rsid w:val="00953F75"/>
    <w:rsid w:val="00953F9C"/>
    <w:rsid w:val="009540B3"/>
    <w:rsid w:val="00954326"/>
    <w:rsid w:val="009543F8"/>
    <w:rsid w:val="009544F5"/>
    <w:rsid w:val="00954515"/>
    <w:rsid w:val="009547F0"/>
    <w:rsid w:val="00954A2F"/>
    <w:rsid w:val="00954BCB"/>
    <w:rsid w:val="00954E81"/>
    <w:rsid w:val="00954EF1"/>
    <w:rsid w:val="009550AE"/>
    <w:rsid w:val="00955544"/>
    <w:rsid w:val="00955571"/>
    <w:rsid w:val="0095564A"/>
    <w:rsid w:val="00955740"/>
    <w:rsid w:val="00955791"/>
    <w:rsid w:val="00955873"/>
    <w:rsid w:val="00955C5C"/>
    <w:rsid w:val="00955C60"/>
    <w:rsid w:val="00955DB9"/>
    <w:rsid w:val="00955E6E"/>
    <w:rsid w:val="00955FA8"/>
    <w:rsid w:val="00956105"/>
    <w:rsid w:val="0095613C"/>
    <w:rsid w:val="00956600"/>
    <w:rsid w:val="00956669"/>
    <w:rsid w:val="00956796"/>
    <w:rsid w:val="009567BA"/>
    <w:rsid w:val="009567EC"/>
    <w:rsid w:val="00956986"/>
    <w:rsid w:val="00956992"/>
    <w:rsid w:val="009569F5"/>
    <w:rsid w:val="00956AA4"/>
    <w:rsid w:val="00956B1C"/>
    <w:rsid w:val="00956CE2"/>
    <w:rsid w:val="00956D1F"/>
    <w:rsid w:val="00956EBD"/>
    <w:rsid w:val="0095711B"/>
    <w:rsid w:val="009571C7"/>
    <w:rsid w:val="00957220"/>
    <w:rsid w:val="009574B2"/>
    <w:rsid w:val="009575A8"/>
    <w:rsid w:val="00957693"/>
    <w:rsid w:val="00957753"/>
    <w:rsid w:val="009579A9"/>
    <w:rsid w:val="00957D02"/>
    <w:rsid w:val="00957D1A"/>
    <w:rsid w:val="00957FE9"/>
    <w:rsid w:val="00960308"/>
    <w:rsid w:val="009605A3"/>
    <w:rsid w:val="0096060D"/>
    <w:rsid w:val="00960719"/>
    <w:rsid w:val="009607E0"/>
    <w:rsid w:val="0096084C"/>
    <w:rsid w:val="0096094F"/>
    <w:rsid w:val="00960C97"/>
    <w:rsid w:val="00960D23"/>
    <w:rsid w:val="00960E85"/>
    <w:rsid w:val="00960F6E"/>
    <w:rsid w:val="00960F76"/>
    <w:rsid w:val="00961049"/>
    <w:rsid w:val="00961055"/>
    <w:rsid w:val="00961263"/>
    <w:rsid w:val="009614A0"/>
    <w:rsid w:val="009614A4"/>
    <w:rsid w:val="00961574"/>
    <w:rsid w:val="00961589"/>
    <w:rsid w:val="00961768"/>
    <w:rsid w:val="0096180B"/>
    <w:rsid w:val="00961899"/>
    <w:rsid w:val="009619A2"/>
    <w:rsid w:val="009619B2"/>
    <w:rsid w:val="00961AF2"/>
    <w:rsid w:val="00961BED"/>
    <w:rsid w:val="00961C9B"/>
    <w:rsid w:val="00961FC7"/>
    <w:rsid w:val="0096207E"/>
    <w:rsid w:val="009620A9"/>
    <w:rsid w:val="00962120"/>
    <w:rsid w:val="00962211"/>
    <w:rsid w:val="00962294"/>
    <w:rsid w:val="00962731"/>
    <w:rsid w:val="0096277C"/>
    <w:rsid w:val="00962927"/>
    <w:rsid w:val="00962B7D"/>
    <w:rsid w:val="00962DE2"/>
    <w:rsid w:val="00962EB5"/>
    <w:rsid w:val="00962EF3"/>
    <w:rsid w:val="00963040"/>
    <w:rsid w:val="0096345C"/>
    <w:rsid w:val="00963585"/>
    <w:rsid w:val="009635C5"/>
    <w:rsid w:val="009636B3"/>
    <w:rsid w:val="0096375D"/>
    <w:rsid w:val="00963782"/>
    <w:rsid w:val="0096378A"/>
    <w:rsid w:val="0096390F"/>
    <w:rsid w:val="00963988"/>
    <w:rsid w:val="00963AF6"/>
    <w:rsid w:val="00963B57"/>
    <w:rsid w:val="00963BCE"/>
    <w:rsid w:val="00963BE5"/>
    <w:rsid w:val="00963DE7"/>
    <w:rsid w:val="00963F23"/>
    <w:rsid w:val="00964292"/>
    <w:rsid w:val="00964340"/>
    <w:rsid w:val="009643A6"/>
    <w:rsid w:val="00964505"/>
    <w:rsid w:val="009645CC"/>
    <w:rsid w:val="0096469C"/>
    <w:rsid w:val="009646A4"/>
    <w:rsid w:val="00964796"/>
    <w:rsid w:val="00964867"/>
    <w:rsid w:val="0096486A"/>
    <w:rsid w:val="00964B2B"/>
    <w:rsid w:val="00964C3D"/>
    <w:rsid w:val="00964E58"/>
    <w:rsid w:val="00964E7A"/>
    <w:rsid w:val="00964FB4"/>
    <w:rsid w:val="00965130"/>
    <w:rsid w:val="0096539F"/>
    <w:rsid w:val="00965445"/>
    <w:rsid w:val="00965518"/>
    <w:rsid w:val="009655AE"/>
    <w:rsid w:val="00965984"/>
    <w:rsid w:val="00965A46"/>
    <w:rsid w:val="00965B54"/>
    <w:rsid w:val="00965D09"/>
    <w:rsid w:val="00965E45"/>
    <w:rsid w:val="00965F3C"/>
    <w:rsid w:val="00965FEB"/>
    <w:rsid w:val="009661F0"/>
    <w:rsid w:val="009664D8"/>
    <w:rsid w:val="009664ED"/>
    <w:rsid w:val="009667F3"/>
    <w:rsid w:val="0096690A"/>
    <w:rsid w:val="00966A78"/>
    <w:rsid w:val="00966AF4"/>
    <w:rsid w:val="00966B1F"/>
    <w:rsid w:val="00966BD7"/>
    <w:rsid w:val="00966CC0"/>
    <w:rsid w:val="00966CE1"/>
    <w:rsid w:val="00966EEE"/>
    <w:rsid w:val="00966F59"/>
    <w:rsid w:val="0096733E"/>
    <w:rsid w:val="009673F5"/>
    <w:rsid w:val="00967419"/>
    <w:rsid w:val="009675F7"/>
    <w:rsid w:val="009676F1"/>
    <w:rsid w:val="0096776D"/>
    <w:rsid w:val="00967956"/>
    <w:rsid w:val="00967A8C"/>
    <w:rsid w:val="00967C25"/>
    <w:rsid w:val="00967ED9"/>
    <w:rsid w:val="0097010E"/>
    <w:rsid w:val="00970117"/>
    <w:rsid w:val="00970206"/>
    <w:rsid w:val="00970243"/>
    <w:rsid w:val="0097028D"/>
    <w:rsid w:val="009706CB"/>
    <w:rsid w:val="00970804"/>
    <w:rsid w:val="00970A3B"/>
    <w:rsid w:val="00970C9A"/>
    <w:rsid w:val="00970D14"/>
    <w:rsid w:val="00970D86"/>
    <w:rsid w:val="00970E89"/>
    <w:rsid w:val="009710D1"/>
    <w:rsid w:val="00971184"/>
    <w:rsid w:val="00971237"/>
    <w:rsid w:val="00971316"/>
    <w:rsid w:val="00971435"/>
    <w:rsid w:val="009714B3"/>
    <w:rsid w:val="0097156B"/>
    <w:rsid w:val="00971889"/>
    <w:rsid w:val="00971987"/>
    <w:rsid w:val="00971A07"/>
    <w:rsid w:val="00971AC1"/>
    <w:rsid w:val="00972017"/>
    <w:rsid w:val="0097213B"/>
    <w:rsid w:val="00972144"/>
    <w:rsid w:val="009721BF"/>
    <w:rsid w:val="009721CD"/>
    <w:rsid w:val="00972207"/>
    <w:rsid w:val="00972541"/>
    <w:rsid w:val="0097265D"/>
    <w:rsid w:val="00972675"/>
    <w:rsid w:val="00972847"/>
    <w:rsid w:val="00972A68"/>
    <w:rsid w:val="00972B35"/>
    <w:rsid w:val="00972B7C"/>
    <w:rsid w:val="00972BD7"/>
    <w:rsid w:val="00972D1B"/>
    <w:rsid w:val="00972DB0"/>
    <w:rsid w:val="00972F3E"/>
    <w:rsid w:val="0097309A"/>
    <w:rsid w:val="0097309B"/>
    <w:rsid w:val="00973265"/>
    <w:rsid w:val="009732C5"/>
    <w:rsid w:val="009732EE"/>
    <w:rsid w:val="00973394"/>
    <w:rsid w:val="00973508"/>
    <w:rsid w:val="00973535"/>
    <w:rsid w:val="0097359B"/>
    <w:rsid w:val="009737FA"/>
    <w:rsid w:val="009738C6"/>
    <w:rsid w:val="00973968"/>
    <w:rsid w:val="00973AE1"/>
    <w:rsid w:val="00973B7A"/>
    <w:rsid w:val="00973D9B"/>
    <w:rsid w:val="00973E5D"/>
    <w:rsid w:val="00973EDB"/>
    <w:rsid w:val="00974179"/>
    <w:rsid w:val="00974372"/>
    <w:rsid w:val="0097447D"/>
    <w:rsid w:val="009744EF"/>
    <w:rsid w:val="00974770"/>
    <w:rsid w:val="0097481C"/>
    <w:rsid w:val="00974854"/>
    <w:rsid w:val="00974A66"/>
    <w:rsid w:val="00974AD8"/>
    <w:rsid w:val="00974B41"/>
    <w:rsid w:val="00974B97"/>
    <w:rsid w:val="00974BFD"/>
    <w:rsid w:val="00974C30"/>
    <w:rsid w:val="00974C50"/>
    <w:rsid w:val="00974D3D"/>
    <w:rsid w:val="00974EA7"/>
    <w:rsid w:val="009750AC"/>
    <w:rsid w:val="00975292"/>
    <w:rsid w:val="00975352"/>
    <w:rsid w:val="009755E3"/>
    <w:rsid w:val="00975624"/>
    <w:rsid w:val="009756B0"/>
    <w:rsid w:val="009756F7"/>
    <w:rsid w:val="00975751"/>
    <w:rsid w:val="00975781"/>
    <w:rsid w:val="0097580C"/>
    <w:rsid w:val="0097589E"/>
    <w:rsid w:val="00975966"/>
    <w:rsid w:val="00975A22"/>
    <w:rsid w:val="00975AD1"/>
    <w:rsid w:val="00975CE6"/>
    <w:rsid w:val="00975E8F"/>
    <w:rsid w:val="00975ED0"/>
    <w:rsid w:val="00975F35"/>
    <w:rsid w:val="00976219"/>
    <w:rsid w:val="00976242"/>
    <w:rsid w:val="009762F9"/>
    <w:rsid w:val="0097650E"/>
    <w:rsid w:val="0097652B"/>
    <w:rsid w:val="00976601"/>
    <w:rsid w:val="00976643"/>
    <w:rsid w:val="009766B5"/>
    <w:rsid w:val="00976887"/>
    <w:rsid w:val="00976962"/>
    <w:rsid w:val="00976A38"/>
    <w:rsid w:val="00976A97"/>
    <w:rsid w:val="00976AB3"/>
    <w:rsid w:val="00976BB0"/>
    <w:rsid w:val="00976CD6"/>
    <w:rsid w:val="00976DE7"/>
    <w:rsid w:val="00976F51"/>
    <w:rsid w:val="00977095"/>
    <w:rsid w:val="009771C3"/>
    <w:rsid w:val="0097754B"/>
    <w:rsid w:val="0097755E"/>
    <w:rsid w:val="00977605"/>
    <w:rsid w:val="009777D5"/>
    <w:rsid w:val="00977A02"/>
    <w:rsid w:val="00977C08"/>
    <w:rsid w:val="00977C9D"/>
    <w:rsid w:val="00977FC2"/>
    <w:rsid w:val="0098008C"/>
    <w:rsid w:val="00980161"/>
    <w:rsid w:val="009801A0"/>
    <w:rsid w:val="00980331"/>
    <w:rsid w:val="009804E6"/>
    <w:rsid w:val="00980539"/>
    <w:rsid w:val="00980696"/>
    <w:rsid w:val="00980723"/>
    <w:rsid w:val="00980731"/>
    <w:rsid w:val="0098087C"/>
    <w:rsid w:val="0098099D"/>
    <w:rsid w:val="009809B9"/>
    <w:rsid w:val="00980CE6"/>
    <w:rsid w:val="00980DB1"/>
    <w:rsid w:val="00980E35"/>
    <w:rsid w:val="00980F82"/>
    <w:rsid w:val="009810BD"/>
    <w:rsid w:val="009811C1"/>
    <w:rsid w:val="0098128C"/>
    <w:rsid w:val="009813AB"/>
    <w:rsid w:val="00981478"/>
    <w:rsid w:val="009816EC"/>
    <w:rsid w:val="0098193D"/>
    <w:rsid w:val="00981AD2"/>
    <w:rsid w:val="00981C44"/>
    <w:rsid w:val="00981E44"/>
    <w:rsid w:val="00981F19"/>
    <w:rsid w:val="00981F43"/>
    <w:rsid w:val="00981F95"/>
    <w:rsid w:val="00981FEC"/>
    <w:rsid w:val="00982176"/>
    <w:rsid w:val="0098236D"/>
    <w:rsid w:val="009824E6"/>
    <w:rsid w:val="0098263A"/>
    <w:rsid w:val="00982959"/>
    <w:rsid w:val="00982C2C"/>
    <w:rsid w:val="00982DD1"/>
    <w:rsid w:val="00982DF5"/>
    <w:rsid w:val="00982F7A"/>
    <w:rsid w:val="0098322A"/>
    <w:rsid w:val="00983298"/>
    <w:rsid w:val="009832FE"/>
    <w:rsid w:val="00983303"/>
    <w:rsid w:val="009834E3"/>
    <w:rsid w:val="009836C7"/>
    <w:rsid w:val="009837E3"/>
    <w:rsid w:val="00983869"/>
    <w:rsid w:val="00983920"/>
    <w:rsid w:val="0098398C"/>
    <w:rsid w:val="009839B0"/>
    <w:rsid w:val="00983D47"/>
    <w:rsid w:val="00983EDB"/>
    <w:rsid w:val="00983FEF"/>
    <w:rsid w:val="009841DD"/>
    <w:rsid w:val="009843AB"/>
    <w:rsid w:val="0098440E"/>
    <w:rsid w:val="0098444F"/>
    <w:rsid w:val="009846FF"/>
    <w:rsid w:val="00984707"/>
    <w:rsid w:val="00984720"/>
    <w:rsid w:val="00984750"/>
    <w:rsid w:val="00984753"/>
    <w:rsid w:val="009847F1"/>
    <w:rsid w:val="00984896"/>
    <w:rsid w:val="00984AE7"/>
    <w:rsid w:val="00984BB7"/>
    <w:rsid w:val="00984D0F"/>
    <w:rsid w:val="00984DAD"/>
    <w:rsid w:val="00984E32"/>
    <w:rsid w:val="00984FC2"/>
    <w:rsid w:val="00985501"/>
    <w:rsid w:val="00985542"/>
    <w:rsid w:val="0098570A"/>
    <w:rsid w:val="00985876"/>
    <w:rsid w:val="00985A70"/>
    <w:rsid w:val="00985B04"/>
    <w:rsid w:val="00985BBB"/>
    <w:rsid w:val="00985BF4"/>
    <w:rsid w:val="00985C15"/>
    <w:rsid w:val="00985C1F"/>
    <w:rsid w:val="00985C29"/>
    <w:rsid w:val="00985CAC"/>
    <w:rsid w:val="00985DAE"/>
    <w:rsid w:val="00985E49"/>
    <w:rsid w:val="00985F9B"/>
    <w:rsid w:val="00985FC5"/>
    <w:rsid w:val="0098601C"/>
    <w:rsid w:val="0098615C"/>
    <w:rsid w:val="00986404"/>
    <w:rsid w:val="00986959"/>
    <w:rsid w:val="00986968"/>
    <w:rsid w:val="00986D44"/>
    <w:rsid w:val="00986D97"/>
    <w:rsid w:val="00986EC5"/>
    <w:rsid w:val="009870A9"/>
    <w:rsid w:val="009870F3"/>
    <w:rsid w:val="009872AA"/>
    <w:rsid w:val="0098730C"/>
    <w:rsid w:val="00987413"/>
    <w:rsid w:val="009874F3"/>
    <w:rsid w:val="00987718"/>
    <w:rsid w:val="00987753"/>
    <w:rsid w:val="00987AA6"/>
    <w:rsid w:val="00987AA8"/>
    <w:rsid w:val="00987CB8"/>
    <w:rsid w:val="00987CCF"/>
    <w:rsid w:val="00987CE6"/>
    <w:rsid w:val="00987D62"/>
    <w:rsid w:val="00987FAD"/>
    <w:rsid w:val="009901BD"/>
    <w:rsid w:val="009902C3"/>
    <w:rsid w:val="009902DF"/>
    <w:rsid w:val="0099034D"/>
    <w:rsid w:val="00990691"/>
    <w:rsid w:val="009906FE"/>
    <w:rsid w:val="0099072A"/>
    <w:rsid w:val="0099076F"/>
    <w:rsid w:val="009907AE"/>
    <w:rsid w:val="0099098D"/>
    <w:rsid w:val="00990AF6"/>
    <w:rsid w:val="00990B65"/>
    <w:rsid w:val="00990D32"/>
    <w:rsid w:val="00990D79"/>
    <w:rsid w:val="00990EEB"/>
    <w:rsid w:val="00990F4F"/>
    <w:rsid w:val="009912DF"/>
    <w:rsid w:val="009915E7"/>
    <w:rsid w:val="009916C3"/>
    <w:rsid w:val="0099190B"/>
    <w:rsid w:val="00991BE8"/>
    <w:rsid w:val="00991C08"/>
    <w:rsid w:val="00991D9C"/>
    <w:rsid w:val="00991ED5"/>
    <w:rsid w:val="00991FBA"/>
    <w:rsid w:val="00992084"/>
    <w:rsid w:val="00992091"/>
    <w:rsid w:val="00992245"/>
    <w:rsid w:val="00992327"/>
    <w:rsid w:val="009923D7"/>
    <w:rsid w:val="00992908"/>
    <w:rsid w:val="00992920"/>
    <w:rsid w:val="00992A7E"/>
    <w:rsid w:val="00992AD0"/>
    <w:rsid w:val="00992E4A"/>
    <w:rsid w:val="00992E9E"/>
    <w:rsid w:val="00992ED4"/>
    <w:rsid w:val="00992EEE"/>
    <w:rsid w:val="00992FE6"/>
    <w:rsid w:val="0099317D"/>
    <w:rsid w:val="00993210"/>
    <w:rsid w:val="009933FC"/>
    <w:rsid w:val="0099391E"/>
    <w:rsid w:val="0099399A"/>
    <w:rsid w:val="00993DCF"/>
    <w:rsid w:val="00993EF4"/>
    <w:rsid w:val="00994066"/>
    <w:rsid w:val="00994159"/>
    <w:rsid w:val="0099419F"/>
    <w:rsid w:val="00994314"/>
    <w:rsid w:val="00994542"/>
    <w:rsid w:val="00994698"/>
    <w:rsid w:val="00994A4D"/>
    <w:rsid w:val="00994BA6"/>
    <w:rsid w:val="00994C32"/>
    <w:rsid w:val="00994DB8"/>
    <w:rsid w:val="00994DEA"/>
    <w:rsid w:val="0099535D"/>
    <w:rsid w:val="009953AE"/>
    <w:rsid w:val="0099556C"/>
    <w:rsid w:val="0099576B"/>
    <w:rsid w:val="00995874"/>
    <w:rsid w:val="00995A70"/>
    <w:rsid w:val="00995B53"/>
    <w:rsid w:val="00995C56"/>
    <w:rsid w:val="00995CB5"/>
    <w:rsid w:val="00995D93"/>
    <w:rsid w:val="00995DD7"/>
    <w:rsid w:val="00995E00"/>
    <w:rsid w:val="00995F51"/>
    <w:rsid w:val="00996012"/>
    <w:rsid w:val="009961B0"/>
    <w:rsid w:val="009962C0"/>
    <w:rsid w:val="009962C2"/>
    <w:rsid w:val="009963A0"/>
    <w:rsid w:val="00996577"/>
    <w:rsid w:val="0099666A"/>
    <w:rsid w:val="00996727"/>
    <w:rsid w:val="009967C5"/>
    <w:rsid w:val="009969D9"/>
    <w:rsid w:val="00996CC4"/>
    <w:rsid w:val="00996E6E"/>
    <w:rsid w:val="00996FA7"/>
    <w:rsid w:val="0099710E"/>
    <w:rsid w:val="0099743A"/>
    <w:rsid w:val="00997610"/>
    <w:rsid w:val="0099796E"/>
    <w:rsid w:val="00997AD1"/>
    <w:rsid w:val="00997F38"/>
    <w:rsid w:val="009A001B"/>
    <w:rsid w:val="009A0032"/>
    <w:rsid w:val="009A01E3"/>
    <w:rsid w:val="009A01F9"/>
    <w:rsid w:val="009A020D"/>
    <w:rsid w:val="009A03A3"/>
    <w:rsid w:val="009A052D"/>
    <w:rsid w:val="009A06CB"/>
    <w:rsid w:val="009A09A4"/>
    <w:rsid w:val="009A0AC7"/>
    <w:rsid w:val="009A0C39"/>
    <w:rsid w:val="009A0CDA"/>
    <w:rsid w:val="009A0F41"/>
    <w:rsid w:val="009A0F6A"/>
    <w:rsid w:val="009A101F"/>
    <w:rsid w:val="009A1095"/>
    <w:rsid w:val="009A10A5"/>
    <w:rsid w:val="009A10EC"/>
    <w:rsid w:val="009A1237"/>
    <w:rsid w:val="009A12D7"/>
    <w:rsid w:val="009A1366"/>
    <w:rsid w:val="009A140A"/>
    <w:rsid w:val="009A1457"/>
    <w:rsid w:val="009A16CC"/>
    <w:rsid w:val="009A1B10"/>
    <w:rsid w:val="009A1B4C"/>
    <w:rsid w:val="009A1CA6"/>
    <w:rsid w:val="009A2291"/>
    <w:rsid w:val="009A23A5"/>
    <w:rsid w:val="009A24BB"/>
    <w:rsid w:val="009A2511"/>
    <w:rsid w:val="009A25E0"/>
    <w:rsid w:val="009A2664"/>
    <w:rsid w:val="009A28E0"/>
    <w:rsid w:val="009A28E7"/>
    <w:rsid w:val="009A28F1"/>
    <w:rsid w:val="009A2A2F"/>
    <w:rsid w:val="009A2B69"/>
    <w:rsid w:val="009A2D81"/>
    <w:rsid w:val="009A2EB2"/>
    <w:rsid w:val="009A2FF2"/>
    <w:rsid w:val="009A30D4"/>
    <w:rsid w:val="009A3462"/>
    <w:rsid w:val="009A36A1"/>
    <w:rsid w:val="009A36CB"/>
    <w:rsid w:val="009A384E"/>
    <w:rsid w:val="009A3BB9"/>
    <w:rsid w:val="009A3E68"/>
    <w:rsid w:val="009A40AE"/>
    <w:rsid w:val="009A454E"/>
    <w:rsid w:val="009A4621"/>
    <w:rsid w:val="009A463D"/>
    <w:rsid w:val="009A46AF"/>
    <w:rsid w:val="009A4805"/>
    <w:rsid w:val="009A492A"/>
    <w:rsid w:val="009A4930"/>
    <w:rsid w:val="009A49A4"/>
    <w:rsid w:val="009A4A76"/>
    <w:rsid w:val="009A4CD8"/>
    <w:rsid w:val="009A4D51"/>
    <w:rsid w:val="009A4E6F"/>
    <w:rsid w:val="009A4E93"/>
    <w:rsid w:val="009A510C"/>
    <w:rsid w:val="009A5187"/>
    <w:rsid w:val="009A520B"/>
    <w:rsid w:val="009A5311"/>
    <w:rsid w:val="009A56B6"/>
    <w:rsid w:val="009A57A4"/>
    <w:rsid w:val="009A5876"/>
    <w:rsid w:val="009A594D"/>
    <w:rsid w:val="009A5A08"/>
    <w:rsid w:val="009A5A98"/>
    <w:rsid w:val="009A5BEC"/>
    <w:rsid w:val="009A5C3B"/>
    <w:rsid w:val="009A5C58"/>
    <w:rsid w:val="009A5C9E"/>
    <w:rsid w:val="009A5D1E"/>
    <w:rsid w:val="009A5D43"/>
    <w:rsid w:val="009A5F32"/>
    <w:rsid w:val="009A5FFC"/>
    <w:rsid w:val="009A5FFD"/>
    <w:rsid w:val="009A6068"/>
    <w:rsid w:val="009A6208"/>
    <w:rsid w:val="009A621E"/>
    <w:rsid w:val="009A624C"/>
    <w:rsid w:val="009A6424"/>
    <w:rsid w:val="009A6496"/>
    <w:rsid w:val="009A6634"/>
    <w:rsid w:val="009A66F5"/>
    <w:rsid w:val="009A6880"/>
    <w:rsid w:val="009A6A07"/>
    <w:rsid w:val="009A6AC9"/>
    <w:rsid w:val="009A6B86"/>
    <w:rsid w:val="009A6B8D"/>
    <w:rsid w:val="009A706A"/>
    <w:rsid w:val="009A7074"/>
    <w:rsid w:val="009A72D4"/>
    <w:rsid w:val="009A73FA"/>
    <w:rsid w:val="009A76DC"/>
    <w:rsid w:val="009A797D"/>
    <w:rsid w:val="009A7A57"/>
    <w:rsid w:val="009A7A65"/>
    <w:rsid w:val="009A7BBA"/>
    <w:rsid w:val="009A7D53"/>
    <w:rsid w:val="009A7D55"/>
    <w:rsid w:val="009A7DB9"/>
    <w:rsid w:val="009A7DEE"/>
    <w:rsid w:val="009A7EC5"/>
    <w:rsid w:val="009A7FAE"/>
    <w:rsid w:val="009B048E"/>
    <w:rsid w:val="009B06BC"/>
    <w:rsid w:val="009B076E"/>
    <w:rsid w:val="009B0812"/>
    <w:rsid w:val="009B08D1"/>
    <w:rsid w:val="009B098F"/>
    <w:rsid w:val="009B0A02"/>
    <w:rsid w:val="009B0A6E"/>
    <w:rsid w:val="009B0C81"/>
    <w:rsid w:val="009B0DA0"/>
    <w:rsid w:val="009B0FFB"/>
    <w:rsid w:val="009B10B5"/>
    <w:rsid w:val="009B11A5"/>
    <w:rsid w:val="009B1380"/>
    <w:rsid w:val="009B148A"/>
    <w:rsid w:val="009B159A"/>
    <w:rsid w:val="009B15A1"/>
    <w:rsid w:val="009B1991"/>
    <w:rsid w:val="009B1CC5"/>
    <w:rsid w:val="009B1CE1"/>
    <w:rsid w:val="009B1DF0"/>
    <w:rsid w:val="009B210D"/>
    <w:rsid w:val="009B278F"/>
    <w:rsid w:val="009B27DA"/>
    <w:rsid w:val="009B2916"/>
    <w:rsid w:val="009B2958"/>
    <w:rsid w:val="009B29A4"/>
    <w:rsid w:val="009B2A44"/>
    <w:rsid w:val="009B2AAD"/>
    <w:rsid w:val="009B2C38"/>
    <w:rsid w:val="009B2C95"/>
    <w:rsid w:val="009B2CCE"/>
    <w:rsid w:val="009B2D66"/>
    <w:rsid w:val="009B2FA5"/>
    <w:rsid w:val="009B2FC1"/>
    <w:rsid w:val="009B2FFC"/>
    <w:rsid w:val="009B3148"/>
    <w:rsid w:val="009B3171"/>
    <w:rsid w:val="009B3607"/>
    <w:rsid w:val="009B3625"/>
    <w:rsid w:val="009B3780"/>
    <w:rsid w:val="009B37AF"/>
    <w:rsid w:val="009B3CEB"/>
    <w:rsid w:val="009B3E9F"/>
    <w:rsid w:val="009B4139"/>
    <w:rsid w:val="009B41C8"/>
    <w:rsid w:val="009B4319"/>
    <w:rsid w:val="009B4436"/>
    <w:rsid w:val="009B47DC"/>
    <w:rsid w:val="009B483D"/>
    <w:rsid w:val="009B492A"/>
    <w:rsid w:val="009B49E8"/>
    <w:rsid w:val="009B4A67"/>
    <w:rsid w:val="009B4B21"/>
    <w:rsid w:val="009B4BEF"/>
    <w:rsid w:val="009B4CE6"/>
    <w:rsid w:val="009B4D90"/>
    <w:rsid w:val="009B4DD6"/>
    <w:rsid w:val="009B50F2"/>
    <w:rsid w:val="009B55FB"/>
    <w:rsid w:val="009B5611"/>
    <w:rsid w:val="009B582D"/>
    <w:rsid w:val="009B58AD"/>
    <w:rsid w:val="009B5A87"/>
    <w:rsid w:val="009B5AFA"/>
    <w:rsid w:val="009B5CD3"/>
    <w:rsid w:val="009B5CF7"/>
    <w:rsid w:val="009B5DD7"/>
    <w:rsid w:val="009B5DDC"/>
    <w:rsid w:val="009B5E11"/>
    <w:rsid w:val="009B5E7B"/>
    <w:rsid w:val="009B6161"/>
    <w:rsid w:val="009B61A8"/>
    <w:rsid w:val="009B6256"/>
    <w:rsid w:val="009B62C3"/>
    <w:rsid w:val="009B62F9"/>
    <w:rsid w:val="009B63A6"/>
    <w:rsid w:val="009B65FF"/>
    <w:rsid w:val="009B66B2"/>
    <w:rsid w:val="009B694F"/>
    <w:rsid w:val="009B6995"/>
    <w:rsid w:val="009B6A2B"/>
    <w:rsid w:val="009B6A97"/>
    <w:rsid w:val="009B6B2C"/>
    <w:rsid w:val="009B6BB2"/>
    <w:rsid w:val="009B6E78"/>
    <w:rsid w:val="009B73BA"/>
    <w:rsid w:val="009B73D0"/>
    <w:rsid w:val="009B740A"/>
    <w:rsid w:val="009B7450"/>
    <w:rsid w:val="009B766F"/>
    <w:rsid w:val="009B776E"/>
    <w:rsid w:val="009B7784"/>
    <w:rsid w:val="009B7843"/>
    <w:rsid w:val="009B78D7"/>
    <w:rsid w:val="009B79D5"/>
    <w:rsid w:val="009B79F8"/>
    <w:rsid w:val="009B7CED"/>
    <w:rsid w:val="009B7F25"/>
    <w:rsid w:val="009C00E8"/>
    <w:rsid w:val="009C00F9"/>
    <w:rsid w:val="009C0104"/>
    <w:rsid w:val="009C01AC"/>
    <w:rsid w:val="009C01D3"/>
    <w:rsid w:val="009C0264"/>
    <w:rsid w:val="009C028D"/>
    <w:rsid w:val="009C02D6"/>
    <w:rsid w:val="009C0474"/>
    <w:rsid w:val="009C052A"/>
    <w:rsid w:val="009C094C"/>
    <w:rsid w:val="009C095B"/>
    <w:rsid w:val="009C09D7"/>
    <w:rsid w:val="009C0C43"/>
    <w:rsid w:val="009C0D1E"/>
    <w:rsid w:val="009C0D61"/>
    <w:rsid w:val="009C0DE4"/>
    <w:rsid w:val="009C0E65"/>
    <w:rsid w:val="009C0FB0"/>
    <w:rsid w:val="009C0FBD"/>
    <w:rsid w:val="009C1131"/>
    <w:rsid w:val="009C11EA"/>
    <w:rsid w:val="009C11F0"/>
    <w:rsid w:val="009C14BF"/>
    <w:rsid w:val="009C15C5"/>
    <w:rsid w:val="009C15DE"/>
    <w:rsid w:val="009C17CB"/>
    <w:rsid w:val="009C1830"/>
    <w:rsid w:val="009C1888"/>
    <w:rsid w:val="009C1C6A"/>
    <w:rsid w:val="009C1EA6"/>
    <w:rsid w:val="009C1EC9"/>
    <w:rsid w:val="009C2061"/>
    <w:rsid w:val="009C20F1"/>
    <w:rsid w:val="009C22FB"/>
    <w:rsid w:val="009C2350"/>
    <w:rsid w:val="009C23A0"/>
    <w:rsid w:val="009C260B"/>
    <w:rsid w:val="009C26F0"/>
    <w:rsid w:val="009C27C6"/>
    <w:rsid w:val="009C27D0"/>
    <w:rsid w:val="009C294F"/>
    <w:rsid w:val="009C29B9"/>
    <w:rsid w:val="009C2A2E"/>
    <w:rsid w:val="009C2B78"/>
    <w:rsid w:val="009C2D4B"/>
    <w:rsid w:val="009C2F9F"/>
    <w:rsid w:val="009C312E"/>
    <w:rsid w:val="009C32EA"/>
    <w:rsid w:val="009C331E"/>
    <w:rsid w:val="009C34A9"/>
    <w:rsid w:val="009C3569"/>
    <w:rsid w:val="009C389B"/>
    <w:rsid w:val="009C38A2"/>
    <w:rsid w:val="009C399A"/>
    <w:rsid w:val="009C3A05"/>
    <w:rsid w:val="009C3C05"/>
    <w:rsid w:val="009C3C90"/>
    <w:rsid w:val="009C409D"/>
    <w:rsid w:val="009C4154"/>
    <w:rsid w:val="009C42EE"/>
    <w:rsid w:val="009C4330"/>
    <w:rsid w:val="009C45D7"/>
    <w:rsid w:val="009C46B4"/>
    <w:rsid w:val="009C47FC"/>
    <w:rsid w:val="009C4811"/>
    <w:rsid w:val="009C48EF"/>
    <w:rsid w:val="009C4A00"/>
    <w:rsid w:val="009C4D93"/>
    <w:rsid w:val="009C4E45"/>
    <w:rsid w:val="009C4E70"/>
    <w:rsid w:val="009C4E71"/>
    <w:rsid w:val="009C4FB8"/>
    <w:rsid w:val="009C553A"/>
    <w:rsid w:val="009C57E2"/>
    <w:rsid w:val="009C57F9"/>
    <w:rsid w:val="009C57FB"/>
    <w:rsid w:val="009C586D"/>
    <w:rsid w:val="009C5A08"/>
    <w:rsid w:val="009C5ADB"/>
    <w:rsid w:val="009C5C5C"/>
    <w:rsid w:val="009C5D05"/>
    <w:rsid w:val="009C5DA7"/>
    <w:rsid w:val="009C5EBF"/>
    <w:rsid w:val="009C5F9F"/>
    <w:rsid w:val="009C618C"/>
    <w:rsid w:val="009C61EC"/>
    <w:rsid w:val="009C6238"/>
    <w:rsid w:val="009C626B"/>
    <w:rsid w:val="009C635D"/>
    <w:rsid w:val="009C660D"/>
    <w:rsid w:val="009C6615"/>
    <w:rsid w:val="009C677C"/>
    <w:rsid w:val="009C6926"/>
    <w:rsid w:val="009C6959"/>
    <w:rsid w:val="009C6991"/>
    <w:rsid w:val="009C69E8"/>
    <w:rsid w:val="009C6AB9"/>
    <w:rsid w:val="009C6B8A"/>
    <w:rsid w:val="009C6D69"/>
    <w:rsid w:val="009C6D80"/>
    <w:rsid w:val="009C6E2E"/>
    <w:rsid w:val="009C7127"/>
    <w:rsid w:val="009C7272"/>
    <w:rsid w:val="009C7289"/>
    <w:rsid w:val="009C7427"/>
    <w:rsid w:val="009C749D"/>
    <w:rsid w:val="009C74B4"/>
    <w:rsid w:val="009C75D7"/>
    <w:rsid w:val="009C7604"/>
    <w:rsid w:val="009C761E"/>
    <w:rsid w:val="009C76CA"/>
    <w:rsid w:val="009C77DF"/>
    <w:rsid w:val="009C7818"/>
    <w:rsid w:val="009C799D"/>
    <w:rsid w:val="009C79B8"/>
    <w:rsid w:val="009C79DC"/>
    <w:rsid w:val="009C7D3A"/>
    <w:rsid w:val="009C7D49"/>
    <w:rsid w:val="009D02DB"/>
    <w:rsid w:val="009D0391"/>
    <w:rsid w:val="009D0460"/>
    <w:rsid w:val="009D0764"/>
    <w:rsid w:val="009D07D3"/>
    <w:rsid w:val="009D07E3"/>
    <w:rsid w:val="009D09EB"/>
    <w:rsid w:val="009D0B6A"/>
    <w:rsid w:val="009D0D8E"/>
    <w:rsid w:val="009D0DC6"/>
    <w:rsid w:val="009D0F87"/>
    <w:rsid w:val="009D117A"/>
    <w:rsid w:val="009D15BD"/>
    <w:rsid w:val="009D15D2"/>
    <w:rsid w:val="009D1792"/>
    <w:rsid w:val="009D1AA4"/>
    <w:rsid w:val="009D1D91"/>
    <w:rsid w:val="009D1DAC"/>
    <w:rsid w:val="009D1F42"/>
    <w:rsid w:val="009D1FC2"/>
    <w:rsid w:val="009D200B"/>
    <w:rsid w:val="009D21D1"/>
    <w:rsid w:val="009D22ED"/>
    <w:rsid w:val="009D2336"/>
    <w:rsid w:val="009D23B6"/>
    <w:rsid w:val="009D23EF"/>
    <w:rsid w:val="009D24B4"/>
    <w:rsid w:val="009D24C9"/>
    <w:rsid w:val="009D24ED"/>
    <w:rsid w:val="009D25E7"/>
    <w:rsid w:val="009D27F0"/>
    <w:rsid w:val="009D2DE3"/>
    <w:rsid w:val="009D2ECF"/>
    <w:rsid w:val="009D2EEC"/>
    <w:rsid w:val="009D2FD2"/>
    <w:rsid w:val="009D2FE8"/>
    <w:rsid w:val="009D308A"/>
    <w:rsid w:val="009D3167"/>
    <w:rsid w:val="009D3198"/>
    <w:rsid w:val="009D334A"/>
    <w:rsid w:val="009D353D"/>
    <w:rsid w:val="009D3591"/>
    <w:rsid w:val="009D3660"/>
    <w:rsid w:val="009D36C1"/>
    <w:rsid w:val="009D3747"/>
    <w:rsid w:val="009D377B"/>
    <w:rsid w:val="009D3846"/>
    <w:rsid w:val="009D3949"/>
    <w:rsid w:val="009D3A23"/>
    <w:rsid w:val="009D3AAE"/>
    <w:rsid w:val="009D3BAA"/>
    <w:rsid w:val="009D3CA7"/>
    <w:rsid w:val="009D3D34"/>
    <w:rsid w:val="009D3E06"/>
    <w:rsid w:val="009D3E0B"/>
    <w:rsid w:val="009D3E23"/>
    <w:rsid w:val="009D3EE8"/>
    <w:rsid w:val="009D4114"/>
    <w:rsid w:val="009D42BD"/>
    <w:rsid w:val="009D4377"/>
    <w:rsid w:val="009D442A"/>
    <w:rsid w:val="009D4858"/>
    <w:rsid w:val="009D486C"/>
    <w:rsid w:val="009D4986"/>
    <w:rsid w:val="009D49C3"/>
    <w:rsid w:val="009D4B13"/>
    <w:rsid w:val="009D4DB7"/>
    <w:rsid w:val="009D4FA7"/>
    <w:rsid w:val="009D5055"/>
    <w:rsid w:val="009D52DB"/>
    <w:rsid w:val="009D5305"/>
    <w:rsid w:val="009D5459"/>
    <w:rsid w:val="009D54A9"/>
    <w:rsid w:val="009D553A"/>
    <w:rsid w:val="009D57EB"/>
    <w:rsid w:val="009D5981"/>
    <w:rsid w:val="009D598E"/>
    <w:rsid w:val="009D5B57"/>
    <w:rsid w:val="009D5D33"/>
    <w:rsid w:val="009D5DC1"/>
    <w:rsid w:val="009D5E91"/>
    <w:rsid w:val="009D5E97"/>
    <w:rsid w:val="009D5F97"/>
    <w:rsid w:val="009D602B"/>
    <w:rsid w:val="009D6114"/>
    <w:rsid w:val="009D6183"/>
    <w:rsid w:val="009D6247"/>
    <w:rsid w:val="009D648B"/>
    <w:rsid w:val="009D6556"/>
    <w:rsid w:val="009D6679"/>
    <w:rsid w:val="009D6721"/>
    <w:rsid w:val="009D6749"/>
    <w:rsid w:val="009D6888"/>
    <w:rsid w:val="009D68D3"/>
    <w:rsid w:val="009D69D1"/>
    <w:rsid w:val="009D6B2D"/>
    <w:rsid w:val="009D6B7F"/>
    <w:rsid w:val="009D6CA6"/>
    <w:rsid w:val="009D6D0B"/>
    <w:rsid w:val="009D7011"/>
    <w:rsid w:val="009D7013"/>
    <w:rsid w:val="009D7337"/>
    <w:rsid w:val="009D73A7"/>
    <w:rsid w:val="009D744D"/>
    <w:rsid w:val="009D7814"/>
    <w:rsid w:val="009D7AE9"/>
    <w:rsid w:val="009D7B88"/>
    <w:rsid w:val="009D7EF4"/>
    <w:rsid w:val="009D7F8F"/>
    <w:rsid w:val="009E0189"/>
    <w:rsid w:val="009E03AF"/>
    <w:rsid w:val="009E03DD"/>
    <w:rsid w:val="009E0459"/>
    <w:rsid w:val="009E0486"/>
    <w:rsid w:val="009E0562"/>
    <w:rsid w:val="009E0745"/>
    <w:rsid w:val="009E0851"/>
    <w:rsid w:val="009E09CE"/>
    <w:rsid w:val="009E0A08"/>
    <w:rsid w:val="009E0A4F"/>
    <w:rsid w:val="009E0AA8"/>
    <w:rsid w:val="009E0B79"/>
    <w:rsid w:val="009E0BD5"/>
    <w:rsid w:val="009E0BFE"/>
    <w:rsid w:val="009E0CE5"/>
    <w:rsid w:val="009E0FF5"/>
    <w:rsid w:val="009E1179"/>
    <w:rsid w:val="009E11DB"/>
    <w:rsid w:val="009E13EB"/>
    <w:rsid w:val="009E16E1"/>
    <w:rsid w:val="009E1879"/>
    <w:rsid w:val="009E1932"/>
    <w:rsid w:val="009E1B25"/>
    <w:rsid w:val="009E1C81"/>
    <w:rsid w:val="009E1E97"/>
    <w:rsid w:val="009E1F26"/>
    <w:rsid w:val="009E1F3D"/>
    <w:rsid w:val="009E1F94"/>
    <w:rsid w:val="009E212D"/>
    <w:rsid w:val="009E2326"/>
    <w:rsid w:val="009E2467"/>
    <w:rsid w:val="009E2555"/>
    <w:rsid w:val="009E25E8"/>
    <w:rsid w:val="009E280E"/>
    <w:rsid w:val="009E28DB"/>
    <w:rsid w:val="009E2916"/>
    <w:rsid w:val="009E293C"/>
    <w:rsid w:val="009E2A4B"/>
    <w:rsid w:val="009E2BB7"/>
    <w:rsid w:val="009E2C6E"/>
    <w:rsid w:val="009E307E"/>
    <w:rsid w:val="009E3222"/>
    <w:rsid w:val="009E3368"/>
    <w:rsid w:val="009E337C"/>
    <w:rsid w:val="009E34A4"/>
    <w:rsid w:val="009E3513"/>
    <w:rsid w:val="009E378F"/>
    <w:rsid w:val="009E3836"/>
    <w:rsid w:val="009E38C8"/>
    <w:rsid w:val="009E3B24"/>
    <w:rsid w:val="009E3BF0"/>
    <w:rsid w:val="009E3CE4"/>
    <w:rsid w:val="009E3E80"/>
    <w:rsid w:val="009E3F81"/>
    <w:rsid w:val="009E3FC2"/>
    <w:rsid w:val="009E44EB"/>
    <w:rsid w:val="009E45B9"/>
    <w:rsid w:val="009E47DF"/>
    <w:rsid w:val="009E4855"/>
    <w:rsid w:val="009E4882"/>
    <w:rsid w:val="009E4904"/>
    <w:rsid w:val="009E493E"/>
    <w:rsid w:val="009E4992"/>
    <w:rsid w:val="009E49EF"/>
    <w:rsid w:val="009E4BBC"/>
    <w:rsid w:val="009E4BCA"/>
    <w:rsid w:val="009E4CB1"/>
    <w:rsid w:val="009E4D8E"/>
    <w:rsid w:val="009E4E59"/>
    <w:rsid w:val="009E5026"/>
    <w:rsid w:val="009E5133"/>
    <w:rsid w:val="009E517D"/>
    <w:rsid w:val="009E53CF"/>
    <w:rsid w:val="009E543E"/>
    <w:rsid w:val="009E545C"/>
    <w:rsid w:val="009E558A"/>
    <w:rsid w:val="009E562D"/>
    <w:rsid w:val="009E5630"/>
    <w:rsid w:val="009E59FC"/>
    <w:rsid w:val="009E5B89"/>
    <w:rsid w:val="009E5D3E"/>
    <w:rsid w:val="009E5E00"/>
    <w:rsid w:val="009E60CB"/>
    <w:rsid w:val="009E616D"/>
    <w:rsid w:val="009E62BE"/>
    <w:rsid w:val="009E6684"/>
    <w:rsid w:val="009E6733"/>
    <w:rsid w:val="009E6827"/>
    <w:rsid w:val="009E6976"/>
    <w:rsid w:val="009E69A6"/>
    <w:rsid w:val="009E6A30"/>
    <w:rsid w:val="009E6ABB"/>
    <w:rsid w:val="009E6D51"/>
    <w:rsid w:val="009E6F98"/>
    <w:rsid w:val="009E708A"/>
    <w:rsid w:val="009E708C"/>
    <w:rsid w:val="009E7205"/>
    <w:rsid w:val="009E7263"/>
    <w:rsid w:val="009E7340"/>
    <w:rsid w:val="009E7378"/>
    <w:rsid w:val="009E7416"/>
    <w:rsid w:val="009E750A"/>
    <w:rsid w:val="009E7594"/>
    <w:rsid w:val="009E77B6"/>
    <w:rsid w:val="009E78D3"/>
    <w:rsid w:val="009E79DD"/>
    <w:rsid w:val="009E7C86"/>
    <w:rsid w:val="009E7C91"/>
    <w:rsid w:val="009E7C9D"/>
    <w:rsid w:val="009E7CEB"/>
    <w:rsid w:val="009E7DEF"/>
    <w:rsid w:val="009E7EE8"/>
    <w:rsid w:val="009F01E3"/>
    <w:rsid w:val="009F0237"/>
    <w:rsid w:val="009F03EF"/>
    <w:rsid w:val="009F04EB"/>
    <w:rsid w:val="009F05B2"/>
    <w:rsid w:val="009F05EE"/>
    <w:rsid w:val="009F06DC"/>
    <w:rsid w:val="009F07F7"/>
    <w:rsid w:val="009F0849"/>
    <w:rsid w:val="009F08B6"/>
    <w:rsid w:val="009F08C4"/>
    <w:rsid w:val="009F090C"/>
    <w:rsid w:val="009F0A6B"/>
    <w:rsid w:val="009F0AD6"/>
    <w:rsid w:val="009F0B7F"/>
    <w:rsid w:val="009F0BFD"/>
    <w:rsid w:val="009F0C16"/>
    <w:rsid w:val="009F0EC8"/>
    <w:rsid w:val="009F0F6F"/>
    <w:rsid w:val="009F0F72"/>
    <w:rsid w:val="009F107A"/>
    <w:rsid w:val="009F1363"/>
    <w:rsid w:val="009F147A"/>
    <w:rsid w:val="009F1525"/>
    <w:rsid w:val="009F15CA"/>
    <w:rsid w:val="009F160D"/>
    <w:rsid w:val="009F1786"/>
    <w:rsid w:val="009F17F6"/>
    <w:rsid w:val="009F19DE"/>
    <w:rsid w:val="009F1A68"/>
    <w:rsid w:val="009F1C1C"/>
    <w:rsid w:val="009F1D10"/>
    <w:rsid w:val="009F1DDE"/>
    <w:rsid w:val="009F1E1E"/>
    <w:rsid w:val="009F2262"/>
    <w:rsid w:val="009F22F4"/>
    <w:rsid w:val="009F242A"/>
    <w:rsid w:val="009F24A9"/>
    <w:rsid w:val="009F24C3"/>
    <w:rsid w:val="009F2587"/>
    <w:rsid w:val="009F2839"/>
    <w:rsid w:val="009F2C4E"/>
    <w:rsid w:val="009F2D6F"/>
    <w:rsid w:val="009F2F50"/>
    <w:rsid w:val="009F2FAC"/>
    <w:rsid w:val="009F32F6"/>
    <w:rsid w:val="009F333A"/>
    <w:rsid w:val="009F3355"/>
    <w:rsid w:val="009F3535"/>
    <w:rsid w:val="009F36E9"/>
    <w:rsid w:val="009F370B"/>
    <w:rsid w:val="009F374D"/>
    <w:rsid w:val="009F37E4"/>
    <w:rsid w:val="009F3884"/>
    <w:rsid w:val="009F3995"/>
    <w:rsid w:val="009F3BCB"/>
    <w:rsid w:val="009F4180"/>
    <w:rsid w:val="009F4271"/>
    <w:rsid w:val="009F4413"/>
    <w:rsid w:val="009F44B7"/>
    <w:rsid w:val="009F45AE"/>
    <w:rsid w:val="009F464E"/>
    <w:rsid w:val="009F4664"/>
    <w:rsid w:val="009F4872"/>
    <w:rsid w:val="009F4948"/>
    <w:rsid w:val="009F4AA9"/>
    <w:rsid w:val="009F4BB0"/>
    <w:rsid w:val="009F4BB5"/>
    <w:rsid w:val="009F4D00"/>
    <w:rsid w:val="009F4D04"/>
    <w:rsid w:val="009F4E00"/>
    <w:rsid w:val="009F4EF5"/>
    <w:rsid w:val="009F4F84"/>
    <w:rsid w:val="009F4F9A"/>
    <w:rsid w:val="009F4FE2"/>
    <w:rsid w:val="009F5033"/>
    <w:rsid w:val="009F5115"/>
    <w:rsid w:val="009F5214"/>
    <w:rsid w:val="009F542E"/>
    <w:rsid w:val="009F544B"/>
    <w:rsid w:val="009F5579"/>
    <w:rsid w:val="009F566B"/>
    <w:rsid w:val="009F5723"/>
    <w:rsid w:val="009F5882"/>
    <w:rsid w:val="009F5A3E"/>
    <w:rsid w:val="009F5AD8"/>
    <w:rsid w:val="009F5B15"/>
    <w:rsid w:val="009F5BA3"/>
    <w:rsid w:val="009F5C5B"/>
    <w:rsid w:val="009F5DE7"/>
    <w:rsid w:val="009F5EB6"/>
    <w:rsid w:val="009F5F36"/>
    <w:rsid w:val="009F602A"/>
    <w:rsid w:val="009F631E"/>
    <w:rsid w:val="009F639A"/>
    <w:rsid w:val="009F6494"/>
    <w:rsid w:val="009F64BE"/>
    <w:rsid w:val="009F6666"/>
    <w:rsid w:val="009F66DA"/>
    <w:rsid w:val="009F688B"/>
    <w:rsid w:val="009F697B"/>
    <w:rsid w:val="009F6A50"/>
    <w:rsid w:val="009F6B6F"/>
    <w:rsid w:val="009F6C23"/>
    <w:rsid w:val="009F6C52"/>
    <w:rsid w:val="009F6D89"/>
    <w:rsid w:val="009F72E8"/>
    <w:rsid w:val="009F767E"/>
    <w:rsid w:val="009F781A"/>
    <w:rsid w:val="009F797D"/>
    <w:rsid w:val="009F7AC4"/>
    <w:rsid w:val="009F7B8B"/>
    <w:rsid w:val="009F7C09"/>
    <w:rsid w:val="009F7EF8"/>
    <w:rsid w:val="009F7FA0"/>
    <w:rsid w:val="009F7FD4"/>
    <w:rsid w:val="00A00122"/>
    <w:rsid w:val="00A00255"/>
    <w:rsid w:val="00A0031C"/>
    <w:rsid w:val="00A003CC"/>
    <w:rsid w:val="00A0044C"/>
    <w:rsid w:val="00A005CE"/>
    <w:rsid w:val="00A00606"/>
    <w:rsid w:val="00A00720"/>
    <w:rsid w:val="00A0073F"/>
    <w:rsid w:val="00A007B9"/>
    <w:rsid w:val="00A007DD"/>
    <w:rsid w:val="00A008A3"/>
    <w:rsid w:val="00A00A7F"/>
    <w:rsid w:val="00A00D5F"/>
    <w:rsid w:val="00A00E15"/>
    <w:rsid w:val="00A01186"/>
    <w:rsid w:val="00A01490"/>
    <w:rsid w:val="00A01509"/>
    <w:rsid w:val="00A01578"/>
    <w:rsid w:val="00A01671"/>
    <w:rsid w:val="00A0173D"/>
    <w:rsid w:val="00A01751"/>
    <w:rsid w:val="00A017E1"/>
    <w:rsid w:val="00A01B01"/>
    <w:rsid w:val="00A01CA0"/>
    <w:rsid w:val="00A01DCA"/>
    <w:rsid w:val="00A01DFA"/>
    <w:rsid w:val="00A01F83"/>
    <w:rsid w:val="00A021B2"/>
    <w:rsid w:val="00A021E1"/>
    <w:rsid w:val="00A021F6"/>
    <w:rsid w:val="00A02216"/>
    <w:rsid w:val="00A0231C"/>
    <w:rsid w:val="00A024A7"/>
    <w:rsid w:val="00A024C5"/>
    <w:rsid w:val="00A024D2"/>
    <w:rsid w:val="00A0253E"/>
    <w:rsid w:val="00A02627"/>
    <w:rsid w:val="00A0277B"/>
    <w:rsid w:val="00A02789"/>
    <w:rsid w:val="00A027DA"/>
    <w:rsid w:val="00A02A7A"/>
    <w:rsid w:val="00A02AE1"/>
    <w:rsid w:val="00A02D6F"/>
    <w:rsid w:val="00A02DB2"/>
    <w:rsid w:val="00A02ED3"/>
    <w:rsid w:val="00A02F3D"/>
    <w:rsid w:val="00A03024"/>
    <w:rsid w:val="00A03055"/>
    <w:rsid w:val="00A0311B"/>
    <w:rsid w:val="00A034AC"/>
    <w:rsid w:val="00A03570"/>
    <w:rsid w:val="00A03597"/>
    <w:rsid w:val="00A039AA"/>
    <w:rsid w:val="00A039D5"/>
    <w:rsid w:val="00A03D22"/>
    <w:rsid w:val="00A03D9E"/>
    <w:rsid w:val="00A03E5A"/>
    <w:rsid w:val="00A04001"/>
    <w:rsid w:val="00A0403F"/>
    <w:rsid w:val="00A04050"/>
    <w:rsid w:val="00A0427F"/>
    <w:rsid w:val="00A0431C"/>
    <w:rsid w:val="00A0432D"/>
    <w:rsid w:val="00A045FB"/>
    <w:rsid w:val="00A04617"/>
    <w:rsid w:val="00A048C9"/>
    <w:rsid w:val="00A04998"/>
    <w:rsid w:val="00A04B5B"/>
    <w:rsid w:val="00A04D7D"/>
    <w:rsid w:val="00A04EFC"/>
    <w:rsid w:val="00A051DC"/>
    <w:rsid w:val="00A051F3"/>
    <w:rsid w:val="00A0520E"/>
    <w:rsid w:val="00A055D9"/>
    <w:rsid w:val="00A05774"/>
    <w:rsid w:val="00A05848"/>
    <w:rsid w:val="00A05879"/>
    <w:rsid w:val="00A058E9"/>
    <w:rsid w:val="00A05CD1"/>
    <w:rsid w:val="00A05DC6"/>
    <w:rsid w:val="00A05E6D"/>
    <w:rsid w:val="00A060E5"/>
    <w:rsid w:val="00A06101"/>
    <w:rsid w:val="00A062E5"/>
    <w:rsid w:val="00A062FD"/>
    <w:rsid w:val="00A06394"/>
    <w:rsid w:val="00A06395"/>
    <w:rsid w:val="00A063A1"/>
    <w:rsid w:val="00A0649F"/>
    <w:rsid w:val="00A06731"/>
    <w:rsid w:val="00A0679C"/>
    <w:rsid w:val="00A067D1"/>
    <w:rsid w:val="00A067E8"/>
    <w:rsid w:val="00A06AB0"/>
    <w:rsid w:val="00A06B3F"/>
    <w:rsid w:val="00A06B54"/>
    <w:rsid w:val="00A06E38"/>
    <w:rsid w:val="00A07022"/>
    <w:rsid w:val="00A07059"/>
    <w:rsid w:val="00A07103"/>
    <w:rsid w:val="00A071B3"/>
    <w:rsid w:val="00A071BE"/>
    <w:rsid w:val="00A0730D"/>
    <w:rsid w:val="00A0768E"/>
    <w:rsid w:val="00A076A8"/>
    <w:rsid w:val="00A077BC"/>
    <w:rsid w:val="00A0783C"/>
    <w:rsid w:val="00A078AD"/>
    <w:rsid w:val="00A07971"/>
    <w:rsid w:val="00A07A9D"/>
    <w:rsid w:val="00A07B5F"/>
    <w:rsid w:val="00A07C3B"/>
    <w:rsid w:val="00A07D0B"/>
    <w:rsid w:val="00A07EEE"/>
    <w:rsid w:val="00A07EFE"/>
    <w:rsid w:val="00A07FCD"/>
    <w:rsid w:val="00A10255"/>
    <w:rsid w:val="00A1061E"/>
    <w:rsid w:val="00A1068C"/>
    <w:rsid w:val="00A10797"/>
    <w:rsid w:val="00A108E4"/>
    <w:rsid w:val="00A108FF"/>
    <w:rsid w:val="00A10A63"/>
    <w:rsid w:val="00A10B0D"/>
    <w:rsid w:val="00A10C57"/>
    <w:rsid w:val="00A10C80"/>
    <w:rsid w:val="00A10CD2"/>
    <w:rsid w:val="00A10D58"/>
    <w:rsid w:val="00A10D67"/>
    <w:rsid w:val="00A10F18"/>
    <w:rsid w:val="00A11112"/>
    <w:rsid w:val="00A1131D"/>
    <w:rsid w:val="00A11499"/>
    <w:rsid w:val="00A114F4"/>
    <w:rsid w:val="00A115CD"/>
    <w:rsid w:val="00A117D6"/>
    <w:rsid w:val="00A11B30"/>
    <w:rsid w:val="00A11C75"/>
    <w:rsid w:val="00A11DB0"/>
    <w:rsid w:val="00A11FA7"/>
    <w:rsid w:val="00A11FCF"/>
    <w:rsid w:val="00A12081"/>
    <w:rsid w:val="00A120C4"/>
    <w:rsid w:val="00A12198"/>
    <w:rsid w:val="00A121CA"/>
    <w:rsid w:val="00A12791"/>
    <w:rsid w:val="00A127A4"/>
    <w:rsid w:val="00A12902"/>
    <w:rsid w:val="00A129CB"/>
    <w:rsid w:val="00A12B3A"/>
    <w:rsid w:val="00A12B93"/>
    <w:rsid w:val="00A12BC8"/>
    <w:rsid w:val="00A12D67"/>
    <w:rsid w:val="00A12DB4"/>
    <w:rsid w:val="00A1331D"/>
    <w:rsid w:val="00A1358B"/>
    <w:rsid w:val="00A13624"/>
    <w:rsid w:val="00A1374E"/>
    <w:rsid w:val="00A13835"/>
    <w:rsid w:val="00A13960"/>
    <w:rsid w:val="00A13A72"/>
    <w:rsid w:val="00A13CE7"/>
    <w:rsid w:val="00A13D52"/>
    <w:rsid w:val="00A1427C"/>
    <w:rsid w:val="00A14352"/>
    <w:rsid w:val="00A1436C"/>
    <w:rsid w:val="00A145CE"/>
    <w:rsid w:val="00A1466B"/>
    <w:rsid w:val="00A1466D"/>
    <w:rsid w:val="00A14766"/>
    <w:rsid w:val="00A14859"/>
    <w:rsid w:val="00A1487F"/>
    <w:rsid w:val="00A148A7"/>
    <w:rsid w:val="00A149D4"/>
    <w:rsid w:val="00A14AF6"/>
    <w:rsid w:val="00A14B72"/>
    <w:rsid w:val="00A14BA1"/>
    <w:rsid w:val="00A14C29"/>
    <w:rsid w:val="00A14E31"/>
    <w:rsid w:val="00A1506C"/>
    <w:rsid w:val="00A1524E"/>
    <w:rsid w:val="00A15504"/>
    <w:rsid w:val="00A1574C"/>
    <w:rsid w:val="00A15830"/>
    <w:rsid w:val="00A15907"/>
    <w:rsid w:val="00A15908"/>
    <w:rsid w:val="00A15A89"/>
    <w:rsid w:val="00A15BFD"/>
    <w:rsid w:val="00A15C35"/>
    <w:rsid w:val="00A15C6B"/>
    <w:rsid w:val="00A15D8C"/>
    <w:rsid w:val="00A15F60"/>
    <w:rsid w:val="00A1606A"/>
    <w:rsid w:val="00A160D4"/>
    <w:rsid w:val="00A160DA"/>
    <w:rsid w:val="00A16128"/>
    <w:rsid w:val="00A1614C"/>
    <w:rsid w:val="00A163E8"/>
    <w:rsid w:val="00A1642D"/>
    <w:rsid w:val="00A164CE"/>
    <w:rsid w:val="00A16616"/>
    <w:rsid w:val="00A166CF"/>
    <w:rsid w:val="00A16742"/>
    <w:rsid w:val="00A16859"/>
    <w:rsid w:val="00A168B7"/>
    <w:rsid w:val="00A16945"/>
    <w:rsid w:val="00A1696B"/>
    <w:rsid w:val="00A16A6F"/>
    <w:rsid w:val="00A16B89"/>
    <w:rsid w:val="00A16C03"/>
    <w:rsid w:val="00A16C42"/>
    <w:rsid w:val="00A16DF1"/>
    <w:rsid w:val="00A16EA0"/>
    <w:rsid w:val="00A16ECE"/>
    <w:rsid w:val="00A170C7"/>
    <w:rsid w:val="00A172CF"/>
    <w:rsid w:val="00A1750A"/>
    <w:rsid w:val="00A17519"/>
    <w:rsid w:val="00A17603"/>
    <w:rsid w:val="00A17729"/>
    <w:rsid w:val="00A177F6"/>
    <w:rsid w:val="00A17929"/>
    <w:rsid w:val="00A179A2"/>
    <w:rsid w:val="00A17F5D"/>
    <w:rsid w:val="00A20331"/>
    <w:rsid w:val="00A205F2"/>
    <w:rsid w:val="00A20633"/>
    <w:rsid w:val="00A20675"/>
    <w:rsid w:val="00A207FF"/>
    <w:rsid w:val="00A20916"/>
    <w:rsid w:val="00A20D2D"/>
    <w:rsid w:val="00A20E23"/>
    <w:rsid w:val="00A20E49"/>
    <w:rsid w:val="00A20EF7"/>
    <w:rsid w:val="00A20F25"/>
    <w:rsid w:val="00A20FD8"/>
    <w:rsid w:val="00A21208"/>
    <w:rsid w:val="00A21284"/>
    <w:rsid w:val="00A212E0"/>
    <w:rsid w:val="00A2167C"/>
    <w:rsid w:val="00A217D4"/>
    <w:rsid w:val="00A218AA"/>
    <w:rsid w:val="00A218AC"/>
    <w:rsid w:val="00A21E1F"/>
    <w:rsid w:val="00A21EAE"/>
    <w:rsid w:val="00A21F51"/>
    <w:rsid w:val="00A22037"/>
    <w:rsid w:val="00A22091"/>
    <w:rsid w:val="00A2209A"/>
    <w:rsid w:val="00A22259"/>
    <w:rsid w:val="00A22348"/>
    <w:rsid w:val="00A2235B"/>
    <w:rsid w:val="00A2235C"/>
    <w:rsid w:val="00A223D2"/>
    <w:rsid w:val="00A223DF"/>
    <w:rsid w:val="00A228BE"/>
    <w:rsid w:val="00A22A40"/>
    <w:rsid w:val="00A22E07"/>
    <w:rsid w:val="00A22F37"/>
    <w:rsid w:val="00A22F89"/>
    <w:rsid w:val="00A22FE9"/>
    <w:rsid w:val="00A2306A"/>
    <w:rsid w:val="00A2306D"/>
    <w:rsid w:val="00A23164"/>
    <w:rsid w:val="00A2350C"/>
    <w:rsid w:val="00A23763"/>
    <w:rsid w:val="00A237D0"/>
    <w:rsid w:val="00A237E6"/>
    <w:rsid w:val="00A239FF"/>
    <w:rsid w:val="00A23A16"/>
    <w:rsid w:val="00A23A27"/>
    <w:rsid w:val="00A23CC5"/>
    <w:rsid w:val="00A23D68"/>
    <w:rsid w:val="00A23D6A"/>
    <w:rsid w:val="00A23DFD"/>
    <w:rsid w:val="00A23E40"/>
    <w:rsid w:val="00A2402B"/>
    <w:rsid w:val="00A24070"/>
    <w:rsid w:val="00A24153"/>
    <w:rsid w:val="00A241E8"/>
    <w:rsid w:val="00A242F8"/>
    <w:rsid w:val="00A2438F"/>
    <w:rsid w:val="00A24448"/>
    <w:rsid w:val="00A246AB"/>
    <w:rsid w:val="00A246FF"/>
    <w:rsid w:val="00A24884"/>
    <w:rsid w:val="00A249FC"/>
    <w:rsid w:val="00A24AF7"/>
    <w:rsid w:val="00A24BDB"/>
    <w:rsid w:val="00A24DF2"/>
    <w:rsid w:val="00A24EDB"/>
    <w:rsid w:val="00A24FCC"/>
    <w:rsid w:val="00A25006"/>
    <w:rsid w:val="00A25121"/>
    <w:rsid w:val="00A25173"/>
    <w:rsid w:val="00A25557"/>
    <w:rsid w:val="00A25605"/>
    <w:rsid w:val="00A256CD"/>
    <w:rsid w:val="00A2589C"/>
    <w:rsid w:val="00A258A9"/>
    <w:rsid w:val="00A258F5"/>
    <w:rsid w:val="00A25990"/>
    <w:rsid w:val="00A25A6F"/>
    <w:rsid w:val="00A25A75"/>
    <w:rsid w:val="00A25AAE"/>
    <w:rsid w:val="00A25B5B"/>
    <w:rsid w:val="00A25B90"/>
    <w:rsid w:val="00A25CEF"/>
    <w:rsid w:val="00A25DE2"/>
    <w:rsid w:val="00A25F41"/>
    <w:rsid w:val="00A25F6C"/>
    <w:rsid w:val="00A261DD"/>
    <w:rsid w:val="00A2623D"/>
    <w:rsid w:val="00A2628A"/>
    <w:rsid w:val="00A26732"/>
    <w:rsid w:val="00A267AF"/>
    <w:rsid w:val="00A26887"/>
    <w:rsid w:val="00A26987"/>
    <w:rsid w:val="00A269F5"/>
    <w:rsid w:val="00A26BD2"/>
    <w:rsid w:val="00A26BDB"/>
    <w:rsid w:val="00A26C0A"/>
    <w:rsid w:val="00A26D3B"/>
    <w:rsid w:val="00A26DBE"/>
    <w:rsid w:val="00A26DD5"/>
    <w:rsid w:val="00A26F22"/>
    <w:rsid w:val="00A26F4F"/>
    <w:rsid w:val="00A271D1"/>
    <w:rsid w:val="00A27537"/>
    <w:rsid w:val="00A27541"/>
    <w:rsid w:val="00A27627"/>
    <w:rsid w:val="00A2778F"/>
    <w:rsid w:val="00A277B9"/>
    <w:rsid w:val="00A27A8B"/>
    <w:rsid w:val="00A27EE7"/>
    <w:rsid w:val="00A3003A"/>
    <w:rsid w:val="00A3009F"/>
    <w:rsid w:val="00A300D2"/>
    <w:rsid w:val="00A3034F"/>
    <w:rsid w:val="00A30479"/>
    <w:rsid w:val="00A3061B"/>
    <w:rsid w:val="00A30634"/>
    <w:rsid w:val="00A30813"/>
    <w:rsid w:val="00A3089D"/>
    <w:rsid w:val="00A3091D"/>
    <w:rsid w:val="00A3092A"/>
    <w:rsid w:val="00A3098B"/>
    <w:rsid w:val="00A30A34"/>
    <w:rsid w:val="00A30A3E"/>
    <w:rsid w:val="00A30ADA"/>
    <w:rsid w:val="00A30D48"/>
    <w:rsid w:val="00A30E09"/>
    <w:rsid w:val="00A30E97"/>
    <w:rsid w:val="00A30E9D"/>
    <w:rsid w:val="00A3101D"/>
    <w:rsid w:val="00A3104E"/>
    <w:rsid w:val="00A310BC"/>
    <w:rsid w:val="00A31309"/>
    <w:rsid w:val="00A31322"/>
    <w:rsid w:val="00A31387"/>
    <w:rsid w:val="00A316EE"/>
    <w:rsid w:val="00A31936"/>
    <w:rsid w:val="00A31A11"/>
    <w:rsid w:val="00A31B91"/>
    <w:rsid w:val="00A31C05"/>
    <w:rsid w:val="00A31E21"/>
    <w:rsid w:val="00A31F06"/>
    <w:rsid w:val="00A31F42"/>
    <w:rsid w:val="00A32087"/>
    <w:rsid w:val="00A3232C"/>
    <w:rsid w:val="00A323B9"/>
    <w:rsid w:val="00A32417"/>
    <w:rsid w:val="00A32600"/>
    <w:rsid w:val="00A326E6"/>
    <w:rsid w:val="00A3283B"/>
    <w:rsid w:val="00A32868"/>
    <w:rsid w:val="00A328B5"/>
    <w:rsid w:val="00A328CE"/>
    <w:rsid w:val="00A32B84"/>
    <w:rsid w:val="00A32B9B"/>
    <w:rsid w:val="00A32CC9"/>
    <w:rsid w:val="00A32CCF"/>
    <w:rsid w:val="00A32F4F"/>
    <w:rsid w:val="00A330DE"/>
    <w:rsid w:val="00A33108"/>
    <w:rsid w:val="00A331C5"/>
    <w:rsid w:val="00A33213"/>
    <w:rsid w:val="00A33290"/>
    <w:rsid w:val="00A3343A"/>
    <w:rsid w:val="00A334F4"/>
    <w:rsid w:val="00A3377D"/>
    <w:rsid w:val="00A337A6"/>
    <w:rsid w:val="00A337E0"/>
    <w:rsid w:val="00A3380B"/>
    <w:rsid w:val="00A3380C"/>
    <w:rsid w:val="00A3391B"/>
    <w:rsid w:val="00A339D7"/>
    <w:rsid w:val="00A339ED"/>
    <w:rsid w:val="00A33A65"/>
    <w:rsid w:val="00A33AFB"/>
    <w:rsid w:val="00A33B3C"/>
    <w:rsid w:val="00A33C4D"/>
    <w:rsid w:val="00A33F51"/>
    <w:rsid w:val="00A34080"/>
    <w:rsid w:val="00A34182"/>
    <w:rsid w:val="00A341DD"/>
    <w:rsid w:val="00A34254"/>
    <w:rsid w:val="00A343F3"/>
    <w:rsid w:val="00A34425"/>
    <w:rsid w:val="00A34481"/>
    <w:rsid w:val="00A346F0"/>
    <w:rsid w:val="00A34711"/>
    <w:rsid w:val="00A348A3"/>
    <w:rsid w:val="00A34A71"/>
    <w:rsid w:val="00A34B03"/>
    <w:rsid w:val="00A34B16"/>
    <w:rsid w:val="00A34B95"/>
    <w:rsid w:val="00A34D4B"/>
    <w:rsid w:val="00A34EBF"/>
    <w:rsid w:val="00A34ECA"/>
    <w:rsid w:val="00A34EDD"/>
    <w:rsid w:val="00A3539E"/>
    <w:rsid w:val="00A353CA"/>
    <w:rsid w:val="00A35620"/>
    <w:rsid w:val="00A3584D"/>
    <w:rsid w:val="00A358A6"/>
    <w:rsid w:val="00A35A31"/>
    <w:rsid w:val="00A35A32"/>
    <w:rsid w:val="00A35A67"/>
    <w:rsid w:val="00A35A99"/>
    <w:rsid w:val="00A35CB8"/>
    <w:rsid w:val="00A35D75"/>
    <w:rsid w:val="00A35F2B"/>
    <w:rsid w:val="00A3610B"/>
    <w:rsid w:val="00A361CB"/>
    <w:rsid w:val="00A36397"/>
    <w:rsid w:val="00A363A9"/>
    <w:rsid w:val="00A36626"/>
    <w:rsid w:val="00A366F9"/>
    <w:rsid w:val="00A36806"/>
    <w:rsid w:val="00A368C1"/>
    <w:rsid w:val="00A3698F"/>
    <w:rsid w:val="00A36A93"/>
    <w:rsid w:val="00A36AA5"/>
    <w:rsid w:val="00A36AC0"/>
    <w:rsid w:val="00A36C20"/>
    <w:rsid w:val="00A36E62"/>
    <w:rsid w:val="00A36F09"/>
    <w:rsid w:val="00A36FB5"/>
    <w:rsid w:val="00A3709F"/>
    <w:rsid w:val="00A3715F"/>
    <w:rsid w:val="00A373FC"/>
    <w:rsid w:val="00A3745B"/>
    <w:rsid w:val="00A3764C"/>
    <w:rsid w:val="00A376EB"/>
    <w:rsid w:val="00A37967"/>
    <w:rsid w:val="00A37A49"/>
    <w:rsid w:val="00A37BBB"/>
    <w:rsid w:val="00A37D55"/>
    <w:rsid w:val="00A37ED9"/>
    <w:rsid w:val="00A37FFE"/>
    <w:rsid w:val="00A400D0"/>
    <w:rsid w:val="00A40140"/>
    <w:rsid w:val="00A403A3"/>
    <w:rsid w:val="00A4042F"/>
    <w:rsid w:val="00A407B9"/>
    <w:rsid w:val="00A40B96"/>
    <w:rsid w:val="00A40BF5"/>
    <w:rsid w:val="00A40BF8"/>
    <w:rsid w:val="00A40E7C"/>
    <w:rsid w:val="00A40F81"/>
    <w:rsid w:val="00A4100E"/>
    <w:rsid w:val="00A411C5"/>
    <w:rsid w:val="00A411DD"/>
    <w:rsid w:val="00A41283"/>
    <w:rsid w:val="00A412F2"/>
    <w:rsid w:val="00A413EB"/>
    <w:rsid w:val="00A416EA"/>
    <w:rsid w:val="00A41741"/>
    <w:rsid w:val="00A41A44"/>
    <w:rsid w:val="00A41B70"/>
    <w:rsid w:val="00A41CC1"/>
    <w:rsid w:val="00A41D81"/>
    <w:rsid w:val="00A41F3C"/>
    <w:rsid w:val="00A421F6"/>
    <w:rsid w:val="00A42210"/>
    <w:rsid w:val="00A42263"/>
    <w:rsid w:val="00A422B6"/>
    <w:rsid w:val="00A422C8"/>
    <w:rsid w:val="00A42316"/>
    <w:rsid w:val="00A42331"/>
    <w:rsid w:val="00A4238B"/>
    <w:rsid w:val="00A423BD"/>
    <w:rsid w:val="00A4246F"/>
    <w:rsid w:val="00A4254F"/>
    <w:rsid w:val="00A4257A"/>
    <w:rsid w:val="00A425D6"/>
    <w:rsid w:val="00A42606"/>
    <w:rsid w:val="00A42785"/>
    <w:rsid w:val="00A4291C"/>
    <w:rsid w:val="00A429E9"/>
    <w:rsid w:val="00A42B73"/>
    <w:rsid w:val="00A42D2D"/>
    <w:rsid w:val="00A42E13"/>
    <w:rsid w:val="00A42FE4"/>
    <w:rsid w:val="00A43629"/>
    <w:rsid w:val="00A4371B"/>
    <w:rsid w:val="00A43838"/>
    <w:rsid w:val="00A439F4"/>
    <w:rsid w:val="00A43B5B"/>
    <w:rsid w:val="00A43D8B"/>
    <w:rsid w:val="00A43EEA"/>
    <w:rsid w:val="00A43F5C"/>
    <w:rsid w:val="00A440A7"/>
    <w:rsid w:val="00A441D4"/>
    <w:rsid w:val="00A4434A"/>
    <w:rsid w:val="00A4443E"/>
    <w:rsid w:val="00A44623"/>
    <w:rsid w:val="00A44734"/>
    <w:rsid w:val="00A4473A"/>
    <w:rsid w:val="00A44999"/>
    <w:rsid w:val="00A44A62"/>
    <w:rsid w:val="00A44E52"/>
    <w:rsid w:val="00A44E5C"/>
    <w:rsid w:val="00A44F1A"/>
    <w:rsid w:val="00A44F66"/>
    <w:rsid w:val="00A45075"/>
    <w:rsid w:val="00A45132"/>
    <w:rsid w:val="00A4517A"/>
    <w:rsid w:val="00A452A2"/>
    <w:rsid w:val="00A4536C"/>
    <w:rsid w:val="00A454EA"/>
    <w:rsid w:val="00A457F9"/>
    <w:rsid w:val="00A45841"/>
    <w:rsid w:val="00A458E8"/>
    <w:rsid w:val="00A459C7"/>
    <w:rsid w:val="00A45AB6"/>
    <w:rsid w:val="00A45B53"/>
    <w:rsid w:val="00A45B8E"/>
    <w:rsid w:val="00A45C56"/>
    <w:rsid w:val="00A45FC2"/>
    <w:rsid w:val="00A4617E"/>
    <w:rsid w:val="00A461EF"/>
    <w:rsid w:val="00A462B3"/>
    <w:rsid w:val="00A46343"/>
    <w:rsid w:val="00A465A1"/>
    <w:rsid w:val="00A465A4"/>
    <w:rsid w:val="00A46642"/>
    <w:rsid w:val="00A467FE"/>
    <w:rsid w:val="00A46815"/>
    <w:rsid w:val="00A468DA"/>
    <w:rsid w:val="00A46A5B"/>
    <w:rsid w:val="00A46C31"/>
    <w:rsid w:val="00A46CA5"/>
    <w:rsid w:val="00A46EE7"/>
    <w:rsid w:val="00A46F50"/>
    <w:rsid w:val="00A46FD4"/>
    <w:rsid w:val="00A4701F"/>
    <w:rsid w:val="00A472F1"/>
    <w:rsid w:val="00A4735F"/>
    <w:rsid w:val="00A47375"/>
    <w:rsid w:val="00A47C33"/>
    <w:rsid w:val="00A47F0F"/>
    <w:rsid w:val="00A47F3F"/>
    <w:rsid w:val="00A50158"/>
    <w:rsid w:val="00A50380"/>
    <w:rsid w:val="00A50B13"/>
    <w:rsid w:val="00A50B6B"/>
    <w:rsid w:val="00A50BAD"/>
    <w:rsid w:val="00A50BCA"/>
    <w:rsid w:val="00A50C0B"/>
    <w:rsid w:val="00A50D39"/>
    <w:rsid w:val="00A50DE8"/>
    <w:rsid w:val="00A51010"/>
    <w:rsid w:val="00A51188"/>
    <w:rsid w:val="00A514CD"/>
    <w:rsid w:val="00A515A2"/>
    <w:rsid w:val="00A515F4"/>
    <w:rsid w:val="00A51752"/>
    <w:rsid w:val="00A518BC"/>
    <w:rsid w:val="00A518CD"/>
    <w:rsid w:val="00A51AB2"/>
    <w:rsid w:val="00A51AE4"/>
    <w:rsid w:val="00A51B39"/>
    <w:rsid w:val="00A51C7A"/>
    <w:rsid w:val="00A51CDD"/>
    <w:rsid w:val="00A51DCE"/>
    <w:rsid w:val="00A52143"/>
    <w:rsid w:val="00A52275"/>
    <w:rsid w:val="00A5279C"/>
    <w:rsid w:val="00A528EB"/>
    <w:rsid w:val="00A5292F"/>
    <w:rsid w:val="00A52A76"/>
    <w:rsid w:val="00A52AB0"/>
    <w:rsid w:val="00A52BCB"/>
    <w:rsid w:val="00A52C35"/>
    <w:rsid w:val="00A52D24"/>
    <w:rsid w:val="00A52F9D"/>
    <w:rsid w:val="00A530DE"/>
    <w:rsid w:val="00A534E6"/>
    <w:rsid w:val="00A538C8"/>
    <w:rsid w:val="00A539BE"/>
    <w:rsid w:val="00A539F4"/>
    <w:rsid w:val="00A53A1D"/>
    <w:rsid w:val="00A53AD4"/>
    <w:rsid w:val="00A53B77"/>
    <w:rsid w:val="00A53CCF"/>
    <w:rsid w:val="00A53DA8"/>
    <w:rsid w:val="00A54071"/>
    <w:rsid w:val="00A5422E"/>
    <w:rsid w:val="00A542E1"/>
    <w:rsid w:val="00A54557"/>
    <w:rsid w:val="00A545A2"/>
    <w:rsid w:val="00A5491F"/>
    <w:rsid w:val="00A54A66"/>
    <w:rsid w:val="00A54AEA"/>
    <w:rsid w:val="00A54BFC"/>
    <w:rsid w:val="00A54E66"/>
    <w:rsid w:val="00A54F4C"/>
    <w:rsid w:val="00A55228"/>
    <w:rsid w:val="00A5523F"/>
    <w:rsid w:val="00A55333"/>
    <w:rsid w:val="00A55351"/>
    <w:rsid w:val="00A5536D"/>
    <w:rsid w:val="00A55393"/>
    <w:rsid w:val="00A553BB"/>
    <w:rsid w:val="00A553BF"/>
    <w:rsid w:val="00A5541C"/>
    <w:rsid w:val="00A55457"/>
    <w:rsid w:val="00A55507"/>
    <w:rsid w:val="00A55549"/>
    <w:rsid w:val="00A555B1"/>
    <w:rsid w:val="00A555B4"/>
    <w:rsid w:val="00A55655"/>
    <w:rsid w:val="00A55741"/>
    <w:rsid w:val="00A55780"/>
    <w:rsid w:val="00A557FC"/>
    <w:rsid w:val="00A559A4"/>
    <w:rsid w:val="00A55A49"/>
    <w:rsid w:val="00A55BAB"/>
    <w:rsid w:val="00A55CC0"/>
    <w:rsid w:val="00A55D69"/>
    <w:rsid w:val="00A55DD1"/>
    <w:rsid w:val="00A55E36"/>
    <w:rsid w:val="00A55EE4"/>
    <w:rsid w:val="00A56320"/>
    <w:rsid w:val="00A56393"/>
    <w:rsid w:val="00A566A0"/>
    <w:rsid w:val="00A56752"/>
    <w:rsid w:val="00A5675D"/>
    <w:rsid w:val="00A56EE7"/>
    <w:rsid w:val="00A5713F"/>
    <w:rsid w:val="00A572C2"/>
    <w:rsid w:val="00A572D6"/>
    <w:rsid w:val="00A575D4"/>
    <w:rsid w:val="00A57716"/>
    <w:rsid w:val="00A5774A"/>
    <w:rsid w:val="00A57759"/>
    <w:rsid w:val="00A57879"/>
    <w:rsid w:val="00A57A1C"/>
    <w:rsid w:val="00A57C94"/>
    <w:rsid w:val="00A57DFF"/>
    <w:rsid w:val="00A57E22"/>
    <w:rsid w:val="00A57F1B"/>
    <w:rsid w:val="00A605BE"/>
    <w:rsid w:val="00A605C4"/>
    <w:rsid w:val="00A60734"/>
    <w:rsid w:val="00A6082B"/>
    <w:rsid w:val="00A6090A"/>
    <w:rsid w:val="00A60B3C"/>
    <w:rsid w:val="00A60C3C"/>
    <w:rsid w:val="00A60C93"/>
    <w:rsid w:val="00A61203"/>
    <w:rsid w:val="00A612A1"/>
    <w:rsid w:val="00A61326"/>
    <w:rsid w:val="00A61333"/>
    <w:rsid w:val="00A614F4"/>
    <w:rsid w:val="00A61A13"/>
    <w:rsid w:val="00A61CB1"/>
    <w:rsid w:val="00A61E07"/>
    <w:rsid w:val="00A61EF6"/>
    <w:rsid w:val="00A61F5E"/>
    <w:rsid w:val="00A61FC2"/>
    <w:rsid w:val="00A620B2"/>
    <w:rsid w:val="00A6226D"/>
    <w:rsid w:val="00A62283"/>
    <w:rsid w:val="00A62745"/>
    <w:rsid w:val="00A62821"/>
    <w:rsid w:val="00A6286B"/>
    <w:rsid w:val="00A628C0"/>
    <w:rsid w:val="00A628D4"/>
    <w:rsid w:val="00A62982"/>
    <w:rsid w:val="00A62B8E"/>
    <w:rsid w:val="00A62D07"/>
    <w:rsid w:val="00A62DD4"/>
    <w:rsid w:val="00A62E5E"/>
    <w:rsid w:val="00A62EFB"/>
    <w:rsid w:val="00A62F16"/>
    <w:rsid w:val="00A6315C"/>
    <w:rsid w:val="00A631BF"/>
    <w:rsid w:val="00A632A1"/>
    <w:rsid w:val="00A6332E"/>
    <w:rsid w:val="00A63355"/>
    <w:rsid w:val="00A633FC"/>
    <w:rsid w:val="00A6360E"/>
    <w:rsid w:val="00A637CB"/>
    <w:rsid w:val="00A6387B"/>
    <w:rsid w:val="00A639EC"/>
    <w:rsid w:val="00A63B81"/>
    <w:rsid w:val="00A63C16"/>
    <w:rsid w:val="00A63E40"/>
    <w:rsid w:val="00A64644"/>
    <w:rsid w:val="00A646C7"/>
    <w:rsid w:val="00A64734"/>
    <w:rsid w:val="00A6475F"/>
    <w:rsid w:val="00A64774"/>
    <w:rsid w:val="00A647DF"/>
    <w:rsid w:val="00A6486A"/>
    <w:rsid w:val="00A649E5"/>
    <w:rsid w:val="00A649F1"/>
    <w:rsid w:val="00A64BC0"/>
    <w:rsid w:val="00A64BD6"/>
    <w:rsid w:val="00A64CA4"/>
    <w:rsid w:val="00A64DBF"/>
    <w:rsid w:val="00A64E20"/>
    <w:rsid w:val="00A650B9"/>
    <w:rsid w:val="00A650FE"/>
    <w:rsid w:val="00A65252"/>
    <w:rsid w:val="00A65274"/>
    <w:rsid w:val="00A652F9"/>
    <w:rsid w:val="00A653A8"/>
    <w:rsid w:val="00A653FE"/>
    <w:rsid w:val="00A654A8"/>
    <w:rsid w:val="00A6556F"/>
    <w:rsid w:val="00A65683"/>
    <w:rsid w:val="00A656E6"/>
    <w:rsid w:val="00A657BB"/>
    <w:rsid w:val="00A657EE"/>
    <w:rsid w:val="00A65819"/>
    <w:rsid w:val="00A65A62"/>
    <w:rsid w:val="00A65E23"/>
    <w:rsid w:val="00A660D9"/>
    <w:rsid w:val="00A66132"/>
    <w:rsid w:val="00A661BB"/>
    <w:rsid w:val="00A66344"/>
    <w:rsid w:val="00A66436"/>
    <w:rsid w:val="00A66457"/>
    <w:rsid w:val="00A66646"/>
    <w:rsid w:val="00A66701"/>
    <w:rsid w:val="00A66739"/>
    <w:rsid w:val="00A668B4"/>
    <w:rsid w:val="00A66A2E"/>
    <w:rsid w:val="00A66A4C"/>
    <w:rsid w:val="00A66BB8"/>
    <w:rsid w:val="00A66D32"/>
    <w:rsid w:val="00A66D47"/>
    <w:rsid w:val="00A66E8F"/>
    <w:rsid w:val="00A670B6"/>
    <w:rsid w:val="00A670C9"/>
    <w:rsid w:val="00A67202"/>
    <w:rsid w:val="00A672C7"/>
    <w:rsid w:val="00A67319"/>
    <w:rsid w:val="00A674EC"/>
    <w:rsid w:val="00A67500"/>
    <w:rsid w:val="00A67899"/>
    <w:rsid w:val="00A678B9"/>
    <w:rsid w:val="00A678CD"/>
    <w:rsid w:val="00A67BB1"/>
    <w:rsid w:val="00A67C6F"/>
    <w:rsid w:val="00A67CE8"/>
    <w:rsid w:val="00A67E19"/>
    <w:rsid w:val="00A67E32"/>
    <w:rsid w:val="00A67E82"/>
    <w:rsid w:val="00A70043"/>
    <w:rsid w:val="00A700CD"/>
    <w:rsid w:val="00A701A1"/>
    <w:rsid w:val="00A701A9"/>
    <w:rsid w:val="00A70245"/>
    <w:rsid w:val="00A7026F"/>
    <w:rsid w:val="00A702AE"/>
    <w:rsid w:val="00A7042C"/>
    <w:rsid w:val="00A704BC"/>
    <w:rsid w:val="00A7081C"/>
    <w:rsid w:val="00A70855"/>
    <w:rsid w:val="00A7086B"/>
    <w:rsid w:val="00A70885"/>
    <w:rsid w:val="00A70894"/>
    <w:rsid w:val="00A70903"/>
    <w:rsid w:val="00A7097D"/>
    <w:rsid w:val="00A70A4E"/>
    <w:rsid w:val="00A70AF1"/>
    <w:rsid w:val="00A70B9C"/>
    <w:rsid w:val="00A70BCF"/>
    <w:rsid w:val="00A70C85"/>
    <w:rsid w:val="00A70CB1"/>
    <w:rsid w:val="00A70D51"/>
    <w:rsid w:val="00A70E64"/>
    <w:rsid w:val="00A70FCB"/>
    <w:rsid w:val="00A70FD3"/>
    <w:rsid w:val="00A71029"/>
    <w:rsid w:val="00A7108A"/>
    <w:rsid w:val="00A710FF"/>
    <w:rsid w:val="00A711BC"/>
    <w:rsid w:val="00A7120D"/>
    <w:rsid w:val="00A7122B"/>
    <w:rsid w:val="00A71233"/>
    <w:rsid w:val="00A7156B"/>
    <w:rsid w:val="00A7196A"/>
    <w:rsid w:val="00A7196D"/>
    <w:rsid w:val="00A7199C"/>
    <w:rsid w:val="00A71A48"/>
    <w:rsid w:val="00A71CCE"/>
    <w:rsid w:val="00A71D7A"/>
    <w:rsid w:val="00A71E4D"/>
    <w:rsid w:val="00A72007"/>
    <w:rsid w:val="00A722ED"/>
    <w:rsid w:val="00A72439"/>
    <w:rsid w:val="00A724E9"/>
    <w:rsid w:val="00A728BC"/>
    <w:rsid w:val="00A72ADB"/>
    <w:rsid w:val="00A72B34"/>
    <w:rsid w:val="00A72D18"/>
    <w:rsid w:val="00A72EB4"/>
    <w:rsid w:val="00A72F83"/>
    <w:rsid w:val="00A72FBD"/>
    <w:rsid w:val="00A73095"/>
    <w:rsid w:val="00A730F0"/>
    <w:rsid w:val="00A732E6"/>
    <w:rsid w:val="00A733E7"/>
    <w:rsid w:val="00A734E3"/>
    <w:rsid w:val="00A73523"/>
    <w:rsid w:val="00A736EA"/>
    <w:rsid w:val="00A73B8F"/>
    <w:rsid w:val="00A73DD5"/>
    <w:rsid w:val="00A73E12"/>
    <w:rsid w:val="00A73E30"/>
    <w:rsid w:val="00A73E73"/>
    <w:rsid w:val="00A74076"/>
    <w:rsid w:val="00A74169"/>
    <w:rsid w:val="00A74317"/>
    <w:rsid w:val="00A743FE"/>
    <w:rsid w:val="00A74604"/>
    <w:rsid w:val="00A74711"/>
    <w:rsid w:val="00A74BA9"/>
    <w:rsid w:val="00A74CC2"/>
    <w:rsid w:val="00A74E2A"/>
    <w:rsid w:val="00A75182"/>
    <w:rsid w:val="00A751DE"/>
    <w:rsid w:val="00A751F6"/>
    <w:rsid w:val="00A7522E"/>
    <w:rsid w:val="00A752A3"/>
    <w:rsid w:val="00A75375"/>
    <w:rsid w:val="00A75675"/>
    <w:rsid w:val="00A757F4"/>
    <w:rsid w:val="00A758E1"/>
    <w:rsid w:val="00A75A05"/>
    <w:rsid w:val="00A75B17"/>
    <w:rsid w:val="00A75DD5"/>
    <w:rsid w:val="00A75E5B"/>
    <w:rsid w:val="00A76106"/>
    <w:rsid w:val="00A76107"/>
    <w:rsid w:val="00A7617A"/>
    <w:rsid w:val="00A76216"/>
    <w:rsid w:val="00A764F8"/>
    <w:rsid w:val="00A76628"/>
    <w:rsid w:val="00A76715"/>
    <w:rsid w:val="00A76A10"/>
    <w:rsid w:val="00A76B28"/>
    <w:rsid w:val="00A76B67"/>
    <w:rsid w:val="00A76D44"/>
    <w:rsid w:val="00A77163"/>
    <w:rsid w:val="00A77332"/>
    <w:rsid w:val="00A773EA"/>
    <w:rsid w:val="00A774C5"/>
    <w:rsid w:val="00A775A3"/>
    <w:rsid w:val="00A775B1"/>
    <w:rsid w:val="00A7760C"/>
    <w:rsid w:val="00A77622"/>
    <w:rsid w:val="00A776C1"/>
    <w:rsid w:val="00A77A60"/>
    <w:rsid w:val="00A77C07"/>
    <w:rsid w:val="00A77C9D"/>
    <w:rsid w:val="00A77F5B"/>
    <w:rsid w:val="00A77FA2"/>
    <w:rsid w:val="00A800CA"/>
    <w:rsid w:val="00A8011C"/>
    <w:rsid w:val="00A8014F"/>
    <w:rsid w:val="00A8015D"/>
    <w:rsid w:val="00A8024F"/>
    <w:rsid w:val="00A804F6"/>
    <w:rsid w:val="00A80531"/>
    <w:rsid w:val="00A805A9"/>
    <w:rsid w:val="00A805F6"/>
    <w:rsid w:val="00A808A0"/>
    <w:rsid w:val="00A808E9"/>
    <w:rsid w:val="00A80902"/>
    <w:rsid w:val="00A80966"/>
    <w:rsid w:val="00A80A68"/>
    <w:rsid w:val="00A80BC9"/>
    <w:rsid w:val="00A80C3B"/>
    <w:rsid w:val="00A80D51"/>
    <w:rsid w:val="00A80D9A"/>
    <w:rsid w:val="00A80DD0"/>
    <w:rsid w:val="00A80F06"/>
    <w:rsid w:val="00A80F3C"/>
    <w:rsid w:val="00A81059"/>
    <w:rsid w:val="00A8117B"/>
    <w:rsid w:val="00A811BA"/>
    <w:rsid w:val="00A8122F"/>
    <w:rsid w:val="00A81344"/>
    <w:rsid w:val="00A815DA"/>
    <w:rsid w:val="00A816EC"/>
    <w:rsid w:val="00A817F7"/>
    <w:rsid w:val="00A8199A"/>
    <w:rsid w:val="00A81ACB"/>
    <w:rsid w:val="00A81B45"/>
    <w:rsid w:val="00A81B97"/>
    <w:rsid w:val="00A81D2C"/>
    <w:rsid w:val="00A81F3C"/>
    <w:rsid w:val="00A81FBC"/>
    <w:rsid w:val="00A82086"/>
    <w:rsid w:val="00A82171"/>
    <w:rsid w:val="00A823F0"/>
    <w:rsid w:val="00A82776"/>
    <w:rsid w:val="00A827FA"/>
    <w:rsid w:val="00A82851"/>
    <w:rsid w:val="00A82C2B"/>
    <w:rsid w:val="00A82CF2"/>
    <w:rsid w:val="00A82D67"/>
    <w:rsid w:val="00A82EE5"/>
    <w:rsid w:val="00A82F62"/>
    <w:rsid w:val="00A832BA"/>
    <w:rsid w:val="00A832CB"/>
    <w:rsid w:val="00A83481"/>
    <w:rsid w:val="00A83527"/>
    <w:rsid w:val="00A8362B"/>
    <w:rsid w:val="00A83B75"/>
    <w:rsid w:val="00A83F82"/>
    <w:rsid w:val="00A83F9E"/>
    <w:rsid w:val="00A840D7"/>
    <w:rsid w:val="00A8435B"/>
    <w:rsid w:val="00A84371"/>
    <w:rsid w:val="00A8450C"/>
    <w:rsid w:val="00A84741"/>
    <w:rsid w:val="00A8476A"/>
    <w:rsid w:val="00A84859"/>
    <w:rsid w:val="00A84894"/>
    <w:rsid w:val="00A848E7"/>
    <w:rsid w:val="00A849B0"/>
    <w:rsid w:val="00A849CB"/>
    <w:rsid w:val="00A84C26"/>
    <w:rsid w:val="00A84CD1"/>
    <w:rsid w:val="00A84CF2"/>
    <w:rsid w:val="00A84CFB"/>
    <w:rsid w:val="00A84DAB"/>
    <w:rsid w:val="00A84DAF"/>
    <w:rsid w:val="00A84E4F"/>
    <w:rsid w:val="00A84E86"/>
    <w:rsid w:val="00A84EB7"/>
    <w:rsid w:val="00A85120"/>
    <w:rsid w:val="00A851A8"/>
    <w:rsid w:val="00A85355"/>
    <w:rsid w:val="00A85360"/>
    <w:rsid w:val="00A855FB"/>
    <w:rsid w:val="00A85747"/>
    <w:rsid w:val="00A858AD"/>
    <w:rsid w:val="00A85AB0"/>
    <w:rsid w:val="00A85B49"/>
    <w:rsid w:val="00A85E1A"/>
    <w:rsid w:val="00A85F44"/>
    <w:rsid w:val="00A85F8C"/>
    <w:rsid w:val="00A86016"/>
    <w:rsid w:val="00A86086"/>
    <w:rsid w:val="00A861AD"/>
    <w:rsid w:val="00A8648D"/>
    <w:rsid w:val="00A864EA"/>
    <w:rsid w:val="00A865D3"/>
    <w:rsid w:val="00A866B5"/>
    <w:rsid w:val="00A86A24"/>
    <w:rsid w:val="00A86B88"/>
    <w:rsid w:val="00A86CBD"/>
    <w:rsid w:val="00A86D0D"/>
    <w:rsid w:val="00A86DE1"/>
    <w:rsid w:val="00A86E2F"/>
    <w:rsid w:val="00A86EA1"/>
    <w:rsid w:val="00A86F6E"/>
    <w:rsid w:val="00A87007"/>
    <w:rsid w:val="00A870EB"/>
    <w:rsid w:val="00A871C0"/>
    <w:rsid w:val="00A873FB"/>
    <w:rsid w:val="00A87522"/>
    <w:rsid w:val="00A875F2"/>
    <w:rsid w:val="00A8762E"/>
    <w:rsid w:val="00A8781F"/>
    <w:rsid w:val="00A878B3"/>
    <w:rsid w:val="00A8799E"/>
    <w:rsid w:val="00A87C18"/>
    <w:rsid w:val="00A87C9F"/>
    <w:rsid w:val="00A87FA3"/>
    <w:rsid w:val="00A87FC0"/>
    <w:rsid w:val="00A87FE4"/>
    <w:rsid w:val="00A87FEE"/>
    <w:rsid w:val="00A9019D"/>
    <w:rsid w:val="00A9055C"/>
    <w:rsid w:val="00A90594"/>
    <w:rsid w:val="00A90595"/>
    <w:rsid w:val="00A905EE"/>
    <w:rsid w:val="00A90603"/>
    <w:rsid w:val="00A9071E"/>
    <w:rsid w:val="00A907E0"/>
    <w:rsid w:val="00A90862"/>
    <w:rsid w:val="00A90912"/>
    <w:rsid w:val="00A90927"/>
    <w:rsid w:val="00A90AB5"/>
    <w:rsid w:val="00A90C27"/>
    <w:rsid w:val="00A90CFA"/>
    <w:rsid w:val="00A90F7E"/>
    <w:rsid w:val="00A910FC"/>
    <w:rsid w:val="00A91131"/>
    <w:rsid w:val="00A91430"/>
    <w:rsid w:val="00A915BD"/>
    <w:rsid w:val="00A91601"/>
    <w:rsid w:val="00A9164D"/>
    <w:rsid w:val="00A9180C"/>
    <w:rsid w:val="00A918A3"/>
    <w:rsid w:val="00A918B9"/>
    <w:rsid w:val="00A91990"/>
    <w:rsid w:val="00A919AE"/>
    <w:rsid w:val="00A91AD6"/>
    <w:rsid w:val="00A91BEF"/>
    <w:rsid w:val="00A91FD4"/>
    <w:rsid w:val="00A9204E"/>
    <w:rsid w:val="00A921C9"/>
    <w:rsid w:val="00A9230E"/>
    <w:rsid w:val="00A92326"/>
    <w:rsid w:val="00A9263E"/>
    <w:rsid w:val="00A92A65"/>
    <w:rsid w:val="00A92ADE"/>
    <w:rsid w:val="00A92E1F"/>
    <w:rsid w:val="00A93036"/>
    <w:rsid w:val="00A93140"/>
    <w:rsid w:val="00A931D9"/>
    <w:rsid w:val="00A93589"/>
    <w:rsid w:val="00A93617"/>
    <w:rsid w:val="00A936AF"/>
    <w:rsid w:val="00A93763"/>
    <w:rsid w:val="00A93BE7"/>
    <w:rsid w:val="00A93D10"/>
    <w:rsid w:val="00A93D74"/>
    <w:rsid w:val="00A93E83"/>
    <w:rsid w:val="00A93EB4"/>
    <w:rsid w:val="00A93F4A"/>
    <w:rsid w:val="00A94619"/>
    <w:rsid w:val="00A94ACA"/>
    <w:rsid w:val="00A94C17"/>
    <w:rsid w:val="00A94D09"/>
    <w:rsid w:val="00A94F9E"/>
    <w:rsid w:val="00A94FC0"/>
    <w:rsid w:val="00A950BC"/>
    <w:rsid w:val="00A95208"/>
    <w:rsid w:val="00A95410"/>
    <w:rsid w:val="00A9578F"/>
    <w:rsid w:val="00A95882"/>
    <w:rsid w:val="00A95953"/>
    <w:rsid w:val="00A9597B"/>
    <w:rsid w:val="00A95B75"/>
    <w:rsid w:val="00A95C67"/>
    <w:rsid w:val="00A95C68"/>
    <w:rsid w:val="00A95CCB"/>
    <w:rsid w:val="00A95DD2"/>
    <w:rsid w:val="00A95F66"/>
    <w:rsid w:val="00A9642E"/>
    <w:rsid w:val="00A967F4"/>
    <w:rsid w:val="00A9693C"/>
    <w:rsid w:val="00A969D3"/>
    <w:rsid w:val="00A96B3D"/>
    <w:rsid w:val="00A96DA2"/>
    <w:rsid w:val="00A9707E"/>
    <w:rsid w:val="00A9711E"/>
    <w:rsid w:val="00A97151"/>
    <w:rsid w:val="00A97185"/>
    <w:rsid w:val="00A971EA"/>
    <w:rsid w:val="00A97232"/>
    <w:rsid w:val="00A9725B"/>
    <w:rsid w:val="00A972CF"/>
    <w:rsid w:val="00A9738F"/>
    <w:rsid w:val="00A973B4"/>
    <w:rsid w:val="00A97470"/>
    <w:rsid w:val="00A974A7"/>
    <w:rsid w:val="00A97503"/>
    <w:rsid w:val="00A97523"/>
    <w:rsid w:val="00A97658"/>
    <w:rsid w:val="00A976A6"/>
    <w:rsid w:val="00A976C3"/>
    <w:rsid w:val="00A977F6"/>
    <w:rsid w:val="00A97808"/>
    <w:rsid w:val="00A97979"/>
    <w:rsid w:val="00A979D6"/>
    <w:rsid w:val="00A97A92"/>
    <w:rsid w:val="00A97D20"/>
    <w:rsid w:val="00A97D52"/>
    <w:rsid w:val="00A97E1C"/>
    <w:rsid w:val="00AA002D"/>
    <w:rsid w:val="00AA0055"/>
    <w:rsid w:val="00AA00E9"/>
    <w:rsid w:val="00AA014F"/>
    <w:rsid w:val="00AA018E"/>
    <w:rsid w:val="00AA01F8"/>
    <w:rsid w:val="00AA0232"/>
    <w:rsid w:val="00AA05AE"/>
    <w:rsid w:val="00AA0688"/>
    <w:rsid w:val="00AA081E"/>
    <w:rsid w:val="00AA09D6"/>
    <w:rsid w:val="00AA0B1D"/>
    <w:rsid w:val="00AA0B74"/>
    <w:rsid w:val="00AA0B7F"/>
    <w:rsid w:val="00AA0C73"/>
    <w:rsid w:val="00AA0CB0"/>
    <w:rsid w:val="00AA11D8"/>
    <w:rsid w:val="00AA1247"/>
    <w:rsid w:val="00AA1249"/>
    <w:rsid w:val="00AA13E9"/>
    <w:rsid w:val="00AA1798"/>
    <w:rsid w:val="00AA19DE"/>
    <w:rsid w:val="00AA19F3"/>
    <w:rsid w:val="00AA1A3D"/>
    <w:rsid w:val="00AA1E42"/>
    <w:rsid w:val="00AA1E95"/>
    <w:rsid w:val="00AA22E7"/>
    <w:rsid w:val="00AA2405"/>
    <w:rsid w:val="00AA2414"/>
    <w:rsid w:val="00AA2669"/>
    <w:rsid w:val="00AA26BF"/>
    <w:rsid w:val="00AA2719"/>
    <w:rsid w:val="00AA2754"/>
    <w:rsid w:val="00AA27BF"/>
    <w:rsid w:val="00AA281C"/>
    <w:rsid w:val="00AA28BD"/>
    <w:rsid w:val="00AA2B2B"/>
    <w:rsid w:val="00AA2BFA"/>
    <w:rsid w:val="00AA2CAB"/>
    <w:rsid w:val="00AA3313"/>
    <w:rsid w:val="00AA3382"/>
    <w:rsid w:val="00AA3398"/>
    <w:rsid w:val="00AA349F"/>
    <w:rsid w:val="00AA34DB"/>
    <w:rsid w:val="00AA37BA"/>
    <w:rsid w:val="00AA3859"/>
    <w:rsid w:val="00AA3CF9"/>
    <w:rsid w:val="00AA3D34"/>
    <w:rsid w:val="00AA3D81"/>
    <w:rsid w:val="00AA3D86"/>
    <w:rsid w:val="00AA3DC5"/>
    <w:rsid w:val="00AA3FFC"/>
    <w:rsid w:val="00AA4216"/>
    <w:rsid w:val="00AA4811"/>
    <w:rsid w:val="00AA48FA"/>
    <w:rsid w:val="00AA495E"/>
    <w:rsid w:val="00AA4AC7"/>
    <w:rsid w:val="00AA4BCA"/>
    <w:rsid w:val="00AA4BCE"/>
    <w:rsid w:val="00AA4D45"/>
    <w:rsid w:val="00AA4F50"/>
    <w:rsid w:val="00AA52A1"/>
    <w:rsid w:val="00AA5323"/>
    <w:rsid w:val="00AA546F"/>
    <w:rsid w:val="00AA5539"/>
    <w:rsid w:val="00AA556D"/>
    <w:rsid w:val="00AA5654"/>
    <w:rsid w:val="00AA57AC"/>
    <w:rsid w:val="00AA57E3"/>
    <w:rsid w:val="00AA59C1"/>
    <w:rsid w:val="00AA5A62"/>
    <w:rsid w:val="00AA5C11"/>
    <w:rsid w:val="00AA5D0A"/>
    <w:rsid w:val="00AA5D8A"/>
    <w:rsid w:val="00AA60D6"/>
    <w:rsid w:val="00AA615F"/>
    <w:rsid w:val="00AA616F"/>
    <w:rsid w:val="00AA631F"/>
    <w:rsid w:val="00AA66A6"/>
    <w:rsid w:val="00AA674A"/>
    <w:rsid w:val="00AA6866"/>
    <w:rsid w:val="00AA6899"/>
    <w:rsid w:val="00AA69FC"/>
    <w:rsid w:val="00AA6A0C"/>
    <w:rsid w:val="00AA6A4C"/>
    <w:rsid w:val="00AA6B25"/>
    <w:rsid w:val="00AA6BA1"/>
    <w:rsid w:val="00AA6D69"/>
    <w:rsid w:val="00AA707F"/>
    <w:rsid w:val="00AA71D0"/>
    <w:rsid w:val="00AA72D6"/>
    <w:rsid w:val="00AA73E2"/>
    <w:rsid w:val="00AA74A3"/>
    <w:rsid w:val="00AA759F"/>
    <w:rsid w:val="00AA764C"/>
    <w:rsid w:val="00AA7865"/>
    <w:rsid w:val="00AA7871"/>
    <w:rsid w:val="00AA7C17"/>
    <w:rsid w:val="00AA7DC8"/>
    <w:rsid w:val="00AA7EEE"/>
    <w:rsid w:val="00AB0028"/>
    <w:rsid w:val="00AB00B5"/>
    <w:rsid w:val="00AB01B9"/>
    <w:rsid w:val="00AB0372"/>
    <w:rsid w:val="00AB03CE"/>
    <w:rsid w:val="00AB03DF"/>
    <w:rsid w:val="00AB0429"/>
    <w:rsid w:val="00AB04F4"/>
    <w:rsid w:val="00AB053F"/>
    <w:rsid w:val="00AB056F"/>
    <w:rsid w:val="00AB0571"/>
    <w:rsid w:val="00AB06D5"/>
    <w:rsid w:val="00AB0860"/>
    <w:rsid w:val="00AB0873"/>
    <w:rsid w:val="00AB08CD"/>
    <w:rsid w:val="00AB092F"/>
    <w:rsid w:val="00AB0B42"/>
    <w:rsid w:val="00AB0BF9"/>
    <w:rsid w:val="00AB0CED"/>
    <w:rsid w:val="00AB0E0E"/>
    <w:rsid w:val="00AB1234"/>
    <w:rsid w:val="00AB12E5"/>
    <w:rsid w:val="00AB144E"/>
    <w:rsid w:val="00AB1463"/>
    <w:rsid w:val="00AB1471"/>
    <w:rsid w:val="00AB147D"/>
    <w:rsid w:val="00AB1558"/>
    <w:rsid w:val="00AB15A1"/>
    <w:rsid w:val="00AB1674"/>
    <w:rsid w:val="00AB1814"/>
    <w:rsid w:val="00AB19C0"/>
    <w:rsid w:val="00AB19CC"/>
    <w:rsid w:val="00AB19EA"/>
    <w:rsid w:val="00AB1A91"/>
    <w:rsid w:val="00AB1C4A"/>
    <w:rsid w:val="00AB1E20"/>
    <w:rsid w:val="00AB1EB8"/>
    <w:rsid w:val="00AB2064"/>
    <w:rsid w:val="00AB2089"/>
    <w:rsid w:val="00AB20C6"/>
    <w:rsid w:val="00AB21C7"/>
    <w:rsid w:val="00AB2262"/>
    <w:rsid w:val="00AB227F"/>
    <w:rsid w:val="00AB228B"/>
    <w:rsid w:val="00AB24B4"/>
    <w:rsid w:val="00AB24FA"/>
    <w:rsid w:val="00AB2507"/>
    <w:rsid w:val="00AB256D"/>
    <w:rsid w:val="00AB262E"/>
    <w:rsid w:val="00AB26AE"/>
    <w:rsid w:val="00AB26D1"/>
    <w:rsid w:val="00AB2781"/>
    <w:rsid w:val="00AB2785"/>
    <w:rsid w:val="00AB27B1"/>
    <w:rsid w:val="00AB27B7"/>
    <w:rsid w:val="00AB28DA"/>
    <w:rsid w:val="00AB2C49"/>
    <w:rsid w:val="00AB2ED5"/>
    <w:rsid w:val="00AB2EF9"/>
    <w:rsid w:val="00AB2FCA"/>
    <w:rsid w:val="00AB3062"/>
    <w:rsid w:val="00AB3291"/>
    <w:rsid w:val="00AB338B"/>
    <w:rsid w:val="00AB340C"/>
    <w:rsid w:val="00AB3617"/>
    <w:rsid w:val="00AB364B"/>
    <w:rsid w:val="00AB36C6"/>
    <w:rsid w:val="00AB3744"/>
    <w:rsid w:val="00AB38FB"/>
    <w:rsid w:val="00AB3A5A"/>
    <w:rsid w:val="00AB3A92"/>
    <w:rsid w:val="00AB3B87"/>
    <w:rsid w:val="00AB3BDC"/>
    <w:rsid w:val="00AB3C91"/>
    <w:rsid w:val="00AB3EBE"/>
    <w:rsid w:val="00AB3ED6"/>
    <w:rsid w:val="00AB408C"/>
    <w:rsid w:val="00AB436B"/>
    <w:rsid w:val="00AB4487"/>
    <w:rsid w:val="00AB459A"/>
    <w:rsid w:val="00AB470E"/>
    <w:rsid w:val="00AB4A0E"/>
    <w:rsid w:val="00AB4A5F"/>
    <w:rsid w:val="00AB4A87"/>
    <w:rsid w:val="00AB4B16"/>
    <w:rsid w:val="00AB4CBE"/>
    <w:rsid w:val="00AB4E4D"/>
    <w:rsid w:val="00AB4E63"/>
    <w:rsid w:val="00AB4E95"/>
    <w:rsid w:val="00AB5170"/>
    <w:rsid w:val="00AB5227"/>
    <w:rsid w:val="00AB5340"/>
    <w:rsid w:val="00AB53FB"/>
    <w:rsid w:val="00AB5421"/>
    <w:rsid w:val="00AB542F"/>
    <w:rsid w:val="00AB56D0"/>
    <w:rsid w:val="00AB56D2"/>
    <w:rsid w:val="00AB5870"/>
    <w:rsid w:val="00AB59DB"/>
    <w:rsid w:val="00AB59FA"/>
    <w:rsid w:val="00AB5AF5"/>
    <w:rsid w:val="00AB5B7A"/>
    <w:rsid w:val="00AB5BF2"/>
    <w:rsid w:val="00AB5C73"/>
    <w:rsid w:val="00AB5D50"/>
    <w:rsid w:val="00AB5FE2"/>
    <w:rsid w:val="00AB6036"/>
    <w:rsid w:val="00AB61C4"/>
    <w:rsid w:val="00AB6211"/>
    <w:rsid w:val="00AB65DC"/>
    <w:rsid w:val="00AB66F8"/>
    <w:rsid w:val="00AB67D1"/>
    <w:rsid w:val="00AB6847"/>
    <w:rsid w:val="00AB6939"/>
    <w:rsid w:val="00AB6AD6"/>
    <w:rsid w:val="00AB6B06"/>
    <w:rsid w:val="00AB6B24"/>
    <w:rsid w:val="00AB6CC2"/>
    <w:rsid w:val="00AB6D21"/>
    <w:rsid w:val="00AB704B"/>
    <w:rsid w:val="00AB7212"/>
    <w:rsid w:val="00AB7405"/>
    <w:rsid w:val="00AB76E2"/>
    <w:rsid w:val="00AB77CE"/>
    <w:rsid w:val="00AB77DE"/>
    <w:rsid w:val="00AB78C1"/>
    <w:rsid w:val="00AB78F5"/>
    <w:rsid w:val="00AB7A5D"/>
    <w:rsid w:val="00AB7AEE"/>
    <w:rsid w:val="00AB7B8E"/>
    <w:rsid w:val="00AB7BFC"/>
    <w:rsid w:val="00AB7C39"/>
    <w:rsid w:val="00AB7E12"/>
    <w:rsid w:val="00AB7E43"/>
    <w:rsid w:val="00AB7E5F"/>
    <w:rsid w:val="00AB7FF6"/>
    <w:rsid w:val="00AC0025"/>
    <w:rsid w:val="00AC00DD"/>
    <w:rsid w:val="00AC0160"/>
    <w:rsid w:val="00AC01D9"/>
    <w:rsid w:val="00AC023A"/>
    <w:rsid w:val="00AC034F"/>
    <w:rsid w:val="00AC04C4"/>
    <w:rsid w:val="00AC0592"/>
    <w:rsid w:val="00AC0713"/>
    <w:rsid w:val="00AC071C"/>
    <w:rsid w:val="00AC0B1E"/>
    <w:rsid w:val="00AC0BDF"/>
    <w:rsid w:val="00AC0D20"/>
    <w:rsid w:val="00AC0E26"/>
    <w:rsid w:val="00AC0E59"/>
    <w:rsid w:val="00AC10D4"/>
    <w:rsid w:val="00AC1116"/>
    <w:rsid w:val="00AC126D"/>
    <w:rsid w:val="00AC133B"/>
    <w:rsid w:val="00AC13C5"/>
    <w:rsid w:val="00AC141E"/>
    <w:rsid w:val="00AC144B"/>
    <w:rsid w:val="00AC1574"/>
    <w:rsid w:val="00AC1584"/>
    <w:rsid w:val="00AC1808"/>
    <w:rsid w:val="00AC19B9"/>
    <w:rsid w:val="00AC1A45"/>
    <w:rsid w:val="00AC1B12"/>
    <w:rsid w:val="00AC1C3A"/>
    <w:rsid w:val="00AC1C58"/>
    <w:rsid w:val="00AC1F19"/>
    <w:rsid w:val="00AC1F4E"/>
    <w:rsid w:val="00AC1F7D"/>
    <w:rsid w:val="00AC23AE"/>
    <w:rsid w:val="00AC2479"/>
    <w:rsid w:val="00AC2737"/>
    <w:rsid w:val="00AC278F"/>
    <w:rsid w:val="00AC2909"/>
    <w:rsid w:val="00AC290C"/>
    <w:rsid w:val="00AC298D"/>
    <w:rsid w:val="00AC2A08"/>
    <w:rsid w:val="00AC2BA7"/>
    <w:rsid w:val="00AC2BD2"/>
    <w:rsid w:val="00AC2D73"/>
    <w:rsid w:val="00AC2E75"/>
    <w:rsid w:val="00AC3039"/>
    <w:rsid w:val="00AC315D"/>
    <w:rsid w:val="00AC34C3"/>
    <w:rsid w:val="00AC368F"/>
    <w:rsid w:val="00AC3897"/>
    <w:rsid w:val="00AC39C7"/>
    <w:rsid w:val="00AC3A85"/>
    <w:rsid w:val="00AC3BB0"/>
    <w:rsid w:val="00AC3F57"/>
    <w:rsid w:val="00AC40EB"/>
    <w:rsid w:val="00AC410C"/>
    <w:rsid w:val="00AC41A4"/>
    <w:rsid w:val="00AC4223"/>
    <w:rsid w:val="00AC42EE"/>
    <w:rsid w:val="00AC443B"/>
    <w:rsid w:val="00AC4492"/>
    <w:rsid w:val="00AC4639"/>
    <w:rsid w:val="00AC467B"/>
    <w:rsid w:val="00AC4695"/>
    <w:rsid w:val="00AC4820"/>
    <w:rsid w:val="00AC4961"/>
    <w:rsid w:val="00AC4BD2"/>
    <w:rsid w:val="00AC4E20"/>
    <w:rsid w:val="00AC50FE"/>
    <w:rsid w:val="00AC51E3"/>
    <w:rsid w:val="00AC52BC"/>
    <w:rsid w:val="00AC54A4"/>
    <w:rsid w:val="00AC56CD"/>
    <w:rsid w:val="00AC58E4"/>
    <w:rsid w:val="00AC5998"/>
    <w:rsid w:val="00AC59AD"/>
    <w:rsid w:val="00AC5A75"/>
    <w:rsid w:val="00AC5B37"/>
    <w:rsid w:val="00AC5BD9"/>
    <w:rsid w:val="00AC5F24"/>
    <w:rsid w:val="00AC6098"/>
    <w:rsid w:val="00AC611B"/>
    <w:rsid w:val="00AC61F0"/>
    <w:rsid w:val="00AC6240"/>
    <w:rsid w:val="00AC624F"/>
    <w:rsid w:val="00AC63EE"/>
    <w:rsid w:val="00AC6435"/>
    <w:rsid w:val="00AC6443"/>
    <w:rsid w:val="00AC6468"/>
    <w:rsid w:val="00AC64A5"/>
    <w:rsid w:val="00AC694C"/>
    <w:rsid w:val="00AC69E0"/>
    <w:rsid w:val="00AC6AAC"/>
    <w:rsid w:val="00AC6D80"/>
    <w:rsid w:val="00AC6E0A"/>
    <w:rsid w:val="00AC6F11"/>
    <w:rsid w:val="00AC6F46"/>
    <w:rsid w:val="00AC6F62"/>
    <w:rsid w:val="00AC7121"/>
    <w:rsid w:val="00AC7160"/>
    <w:rsid w:val="00AC735D"/>
    <w:rsid w:val="00AC7394"/>
    <w:rsid w:val="00AC7499"/>
    <w:rsid w:val="00AC74EC"/>
    <w:rsid w:val="00AC7638"/>
    <w:rsid w:val="00AC769D"/>
    <w:rsid w:val="00AC778E"/>
    <w:rsid w:val="00AC7867"/>
    <w:rsid w:val="00AC789E"/>
    <w:rsid w:val="00AC7A10"/>
    <w:rsid w:val="00AC7A26"/>
    <w:rsid w:val="00AC7A85"/>
    <w:rsid w:val="00AC7D19"/>
    <w:rsid w:val="00AC7E5C"/>
    <w:rsid w:val="00AC7E79"/>
    <w:rsid w:val="00AC7F21"/>
    <w:rsid w:val="00AC7F3B"/>
    <w:rsid w:val="00AC7FE1"/>
    <w:rsid w:val="00AD00FE"/>
    <w:rsid w:val="00AD054E"/>
    <w:rsid w:val="00AD05E6"/>
    <w:rsid w:val="00AD0616"/>
    <w:rsid w:val="00AD06A3"/>
    <w:rsid w:val="00AD06EE"/>
    <w:rsid w:val="00AD0779"/>
    <w:rsid w:val="00AD07FC"/>
    <w:rsid w:val="00AD0C1E"/>
    <w:rsid w:val="00AD0F18"/>
    <w:rsid w:val="00AD0F92"/>
    <w:rsid w:val="00AD1008"/>
    <w:rsid w:val="00AD11FC"/>
    <w:rsid w:val="00AD129F"/>
    <w:rsid w:val="00AD1441"/>
    <w:rsid w:val="00AD153F"/>
    <w:rsid w:val="00AD1650"/>
    <w:rsid w:val="00AD1661"/>
    <w:rsid w:val="00AD16CC"/>
    <w:rsid w:val="00AD1775"/>
    <w:rsid w:val="00AD1846"/>
    <w:rsid w:val="00AD19C2"/>
    <w:rsid w:val="00AD1AF4"/>
    <w:rsid w:val="00AD1B14"/>
    <w:rsid w:val="00AD1FF1"/>
    <w:rsid w:val="00AD22B4"/>
    <w:rsid w:val="00AD24B4"/>
    <w:rsid w:val="00AD256F"/>
    <w:rsid w:val="00AD287B"/>
    <w:rsid w:val="00AD296E"/>
    <w:rsid w:val="00AD29BC"/>
    <w:rsid w:val="00AD29C0"/>
    <w:rsid w:val="00AD2B9B"/>
    <w:rsid w:val="00AD2D0F"/>
    <w:rsid w:val="00AD2E2B"/>
    <w:rsid w:val="00AD2E48"/>
    <w:rsid w:val="00AD2E5C"/>
    <w:rsid w:val="00AD2EAE"/>
    <w:rsid w:val="00AD3004"/>
    <w:rsid w:val="00AD312B"/>
    <w:rsid w:val="00AD324F"/>
    <w:rsid w:val="00AD3298"/>
    <w:rsid w:val="00AD32F7"/>
    <w:rsid w:val="00AD35F8"/>
    <w:rsid w:val="00AD37E7"/>
    <w:rsid w:val="00AD3821"/>
    <w:rsid w:val="00AD384E"/>
    <w:rsid w:val="00AD394D"/>
    <w:rsid w:val="00AD3A08"/>
    <w:rsid w:val="00AD3A52"/>
    <w:rsid w:val="00AD3B59"/>
    <w:rsid w:val="00AD3BD2"/>
    <w:rsid w:val="00AD3D60"/>
    <w:rsid w:val="00AD3DB1"/>
    <w:rsid w:val="00AD3E4A"/>
    <w:rsid w:val="00AD425B"/>
    <w:rsid w:val="00AD42E7"/>
    <w:rsid w:val="00AD430D"/>
    <w:rsid w:val="00AD4377"/>
    <w:rsid w:val="00AD4380"/>
    <w:rsid w:val="00AD4398"/>
    <w:rsid w:val="00AD45C6"/>
    <w:rsid w:val="00AD45D0"/>
    <w:rsid w:val="00AD4734"/>
    <w:rsid w:val="00AD48EE"/>
    <w:rsid w:val="00AD4AB8"/>
    <w:rsid w:val="00AD4AEC"/>
    <w:rsid w:val="00AD4B31"/>
    <w:rsid w:val="00AD4BC5"/>
    <w:rsid w:val="00AD4C10"/>
    <w:rsid w:val="00AD4CAF"/>
    <w:rsid w:val="00AD4D1B"/>
    <w:rsid w:val="00AD4E9B"/>
    <w:rsid w:val="00AD5005"/>
    <w:rsid w:val="00AD5077"/>
    <w:rsid w:val="00AD5139"/>
    <w:rsid w:val="00AD52B1"/>
    <w:rsid w:val="00AD57B0"/>
    <w:rsid w:val="00AD588C"/>
    <w:rsid w:val="00AD5904"/>
    <w:rsid w:val="00AD59CC"/>
    <w:rsid w:val="00AD5A71"/>
    <w:rsid w:val="00AD5C6E"/>
    <w:rsid w:val="00AD5D18"/>
    <w:rsid w:val="00AD5DE3"/>
    <w:rsid w:val="00AD5F09"/>
    <w:rsid w:val="00AD6013"/>
    <w:rsid w:val="00AD617D"/>
    <w:rsid w:val="00AD627E"/>
    <w:rsid w:val="00AD62AA"/>
    <w:rsid w:val="00AD6417"/>
    <w:rsid w:val="00AD6479"/>
    <w:rsid w:val="00AD6554"/>
    <w:rsid w:val="00AD65E1"/>
    <w:rsid w:val="00AD666E"/>
    <w:rsid w:val="00AD6AD4"/>
    <w:rsid w:val="00AD6F22"/>
    <w:rsid w:val="00AD6F23"/>
    <w:rsid w:val="00AD701D"/>
    <w:rsid w:val="00AD7133"/>
    <w:rsid w:val="00AD718E"/>
    <w:rsid w:val="00AD72A9"/>
    <w:rsid w:val="00AD72E2"/>
    <w:rsid w:val="00AD73ED"/>
    <w:rsid w:val="00AD74F3"/>
    <w:rsid w:val="00AD758D"/>
    <w:rsid w:val="00AD75CB"/>
    <w:rsid w:val="00AD7C45"/>
    <w:rsid w:val="00AD7C8E"/>
    <w:rsid w:val="00AD7D0C"/>
    <w:rsid w:val="00AD7E5F"/>
    <w:rsid w:val="00AD7E86"/>
    <w:rsid w:val="00AD7F74"/>
    <w:rsid w:val="00AD7FF4"/>
    <w:rsid w:val="00AE0076"/>
    <w:rsid w:val="00AE04B6"/>
    <w:rsid w:val="00AE0638"/>
    <w:rsid w:val="00AE064E"/>
    <w:rsid w:val="00AE0691"/>
    <w:rsid w:val="00AE06E6"/>
    <w:rsid w:val="00AE0711"/>
    <w:rsid w:val="00AE0907"/>
    <w:rsid w:val="00AE0A28"/>
    <w:rsid w:val="00AE0B15"/>
    <w:rsid w:val="00AE0BAF"/>
    <w:rsid w:val="00AE0C28"/>
    <w:rsid w:val="00AE0C5B"/>
    <w:rsid w:val="00AE1108"/>
    <w:rsid w:val="00AE1534"/>
    <w:rsid w:val="00AE1679"/>
    <w:rsid w:val="00AE167F"/>
    <w:rsid w:val="00AE17CE"/>
    <w:rsid w:val="00AE18A1"/>
    <w:rsid w:val="00AE198E"/>
    <w:rsid w:val="00AE19A8"/>
    <w:rsid w:val="00AE1D5B"/>
    <w:rsid w:val="00AE1F47"/>
    <w:rsid w:val="00AE2372"/>
    <w:rsid w:val="00AE242C"/>
    <w:rsid w:val="00AE2689"/>
    <w:rsid w:val="00AE279D"/>
    <w:rsid w:val="00AE2806"/>
    <w:rsid w:val="00AE28D4"/>
    <w:rsid w:val="00AE2A22"/>
    <w:rsid w:val="00AE2C4B"/>
    <w:rsid w:val="00AE2D28"/>
    <w:rsid w:val="00AE3079"/>
    <w:rsid w:val="00AE30F8"/>
    <w:rsid w:val="00AE31C0"/>
    <w:rsid w:val="00AE327D"/>
    <w:rsid w:val="00AE35AA"/>
    <w:rsid w:val="00AE3818"/>
    <w:rsid w:val="00AE3AD4"/>
    <w:rsid w:val="00AE3AFD"/>
    <w:rsid w:val="00AE3E11"/>
    <w:rsid w:val="00AE3E49"/>
    <w:rsid w:val="00AE3F6A"/>
    <w:rsid w:val="00AE4505"/>
    <w:rsid w:val="00AE466F"/>
    <w:rsid w:val="00AE4877"/>
    <w:rsid w:val="00AE4B40"/>
    <w:rsid w:val="00AE4B73"/>
    <w:rsid w:val="00AE4BA3"/>
    <w:rsid w:val="00AE4C13"/>
    <w:rsid w:val="00AE4C56"/>
    <w:rsid w:val="00AE4C84"/>
    <w:rsid w:val="00AE4D03"/>
    <w:rsid w:val="00AE5043"/>
    <w:rsid w:val="00AE50EA"/>
    <w:rsid w:val="00AE5134"/>
    <w:rsid w:val="00AE5162"/>
    <w:rsid w:val="00AE5185"/>
    <w:rsid w:val="00AE51D0"/>
    <w:rsid w:val="00AE527D"/>
    <w:rsid w:val="00AE535A"/>
    <w:rsid w:val="00AE53A7"/>
    <w:rsid w:val="00AE54C1"/>
    <w:rsid w:val="00AE54DB"/>
    <w:rsid w:val="00AE5587"/>
    <w:rsid w:val="00AE5A13"/>
    <w:rsid w:val="00AE5AE4"/>
    <w:rsid w:val="00AE5AEC"/>
    <w:rsid w:val="00AE5C80"/>
    <w:rsid w:val="00AE5D14"/>
    <w:rsid w:val="00AE5F1C"/>
    <w:rsid w:val="00AE5F78"/>
    <w:rsid w:val="00AE5F9D"/>
    <w:rsid w:val="00AE603E"/>
    <w:rsid w:val="00AE607B"/>
    <w:rsid w:val="00AE60B3"/>
    <w:rsid w:val="00AE623B"/>
    <w:rsid w:val="00AE62AB"/>
    <w:rsid w:val="00AE6343"/>
    <w:rsid w:val="00AE635A"/>
    <w:rsid w:val="00AE6415"/>
    <w:rsid w:val="00AE653D"/>
    <w:rsid w:val="00AE65D7"/>
    <w:rsid w:val="00AE65DF"/>
    <w:rsid w:val="00AE6742"/>
    <w:rsid w:val="00AE6805"/>
    <w:rsid w:val="00AE6808"/>
    <w:rsid w:val="00AE68B0"/>
    <w:rsid w:val="00AE68C9"/>
    <w:rsid w:val="00AE6AF4"/>
    <w:rsid w:val="00AE6B9D"/>
    <w:rsid w:val="00AE6CC0"/>
    <w:rsid w:val="00AE712E"/>
    <w:rsid w:val="00AE7289"/>
    <w:rsid w:val="00AE7503"/>
    <w:rsid w:val="00AE750E"/>
    <w:rsid w:val="00AE7590"/>
    <w:rsid w:val="00AE7670"/>
    <w:rsid w:val="00AE76D1"/>
    <w:rsid w:val="00AE7796"/>
    <w:rsid w:val="00AE77AB"/>
    <w:rsid w:val="00AE7A18"/>
    <w:rsid w:val="00AE7A8F"/>
    <w:rsid w:val="00AE7D05"/>
    <w:rsid w:val="00AE7F01"/>
    <w:rsid w:val="00AE7F48"/>
    <w:rsid w:val="00AE7F52"/>
    <w:rsid w:val="00AE7F93"/>
    <w:rsid w:val="00AE7FF5"/>
    <w:rsid w:val="00AF004D"/>
    <w:rsid w:val="00AF012C"/>
    <w:rsid w:val="00AF01A1"/>
    <w:rsid w:val="00AF041E"/>
    <w:rsid w:val="00AF0587"/>
    <w:rsid w:val="00AF0D71"/>
    <w:rsid w:val="00AF0E06"/>
    <w:rsid w:val="00AF0EDD"/>
    <w:rsid w:val="00AF0EE9"/>
    <w:rsid w:val="00AF0F99"/>
    <w:rsid w:val="00AF0FD4"/>
    <w:rsid w:val="00AF1031"/>
    <w:rsid w:val="00AF117F"/>
    <w:rsid w:val="00AF123C"/>
    <w:rsid w:val="00AF1488"/>
    <w:rsid w:val="00AF14D6"/>
    <w:rsid w:val="00AF15F3"/>
    <w:rsid w:val="00AF179C"/>
    <w:rsid w:val="00AF18B1"/>
    <w:rsid w:val="00AF1BEC"/>
    <w:rsid w:val="00AF1ED9"/>
    <w:rsid w:val="00AF1FFA"/>
    <w:rsid w:val="00AF2027"/>
    <w:rsid w:val="00AF217D"/>
    <w:rsid w:val="00AF2196"/>
    <w:rsid w:val="00AF2489"/>
    <w:rsid w:val="00AF2626"/>
    <w:rsid w:val="00AF2701"/>
    <w:rsid w:val="00AF2815"/>
    <w:rsid w:val="00AF29DC"/>
    <w:rsid w:val="00AF29FA"/>
    <w:rsid w:val="00AF2A09"/>
    <w:rsid w:val="00AF2B14"/>
    <w:rsid w:val="00AF2BAF"/>
    <w:rsid w:val="00AF2CCA"/>
    <w:rsid w:val="00AF2D37"/>
    <w:rsid w:val="00AF2E09"/>
    <w:rsid w:val="00AF2EEA"/>
    <w:rsid w:val="00AF2FFD"/>
    <w:rsid w:val="00AF34B4"/>
    <w:rsid w:val="00AF3589"/>
    <w:rsid w:val="00AF35A1"/>
    <w:rsid w:val="00AF360E"/>
    <w:rsid w:val="00AF3642"/>
    <w:rsid w:val="00AF36F5"/>
    <w:rsid w:val="00AF3764"/>
    <w:rsid w:val="00AF38C6"/>
    <w:rsid w:val="00AF3A58"/>
    <w:rsid w:val="00AF3B38"/>
    <w:rsid w:val="00AF3F2B"/>
    <w:rsid w:val="00AF3FCB"/>
    <w:rsid w:val="00AF40AE"/>
    <w:rsid w:val="00AF4410"/>
    <w:rsid w:val="00AF445E"/>
    <w:rsid w:val="00AF4885"/>
    <w:rsid w:val="00AF48FD"/>
    <w:rsid w:val="00AF49D3"/>
    <w:rsid w:val="00AF4B78"/>
    <w:rsid w:val="00AF4CD0"/>
    <w:rsid w:val="00AF4D99"/>
    <w:rsid w:val="00AF4F3B"/>
    <w:rsid w:val="00AF4F4D"/>
    <w:rsid w:val="00AF5194"/>
    <w:rsid w:val="00AF530C"/>
    <w:rsid w:val="00AF53E0"/>
    <w:rsid w:val="00AF557B"/>
    <w:rsid w:val="00AF56EC"/>
    <w:rsid w:val="00AF58E9"/>
    <w:rsid w:val="00AF5A11"/>
    <w:rsid w:val="00AF5BE2"/>
    <w:rsid w:val="00AF5CE1"/>
    <w:rsid w:val="00AF5D98"/>
    <w:rsid w:val="00AF5F2C"/>
    <w:rsid w:val="00AF6036"/>
    <w:rsid w:val="00AF617A"/>
    <w:rsid w:val="00AF62E3"/>
    <w:rsid w:val="00AF6312"/>
    <w:rsid w:val="00AF6336"/>
    <w:rsid w:val="00AF63E3"/>
    <w:rsid w:val="00AF6607"/>
    <w:rsid w:val="00AF675F"/>
    <w:rsid w:val="00AF6891"/>
    <w:rsid w:val="00AF68CA"/>
    <w:rsid w:val="00AF6B71"/>
    <w:rsid w:val="00AF6DD9"/>
    <w:rsid w:val="00AF6E19"/>
    <w:rsid w:val="00AF6ED8"/>
    <w:rsid w:val="00AF7120"/>
    <w:rsid w:val="00AF7162"/>
    <w:rsid w:val="00AF74F5"/>
    <w:rsid w:val="00AF751A"/>
    <w:rsid w:val="00AF76FF"/>
    <w:rsid w:val="00AF770D"/>
    <w:rsid w:val="00AF781A"/>
    <w:rsid w:val="00AF788F"/>
    <w:rsid w:val="00AF7982"/>
    <w:rsid w:val="00AF7992"/>
    <w:rsid w:val="00AF7AB2"/>
    <w:rsid w:val="00AF7D53"/>
    <w:rsid w:val="00AF7E7E"/>
    <w:rsid w:val="00AF7F18"/>
    <w:rsid w:val="00B00053"/>
    <w:rsid w:val="00B0007A"/>
    <w:rsid w:val="00B000FB"/>
    <w:rsid w:val="00B0011F"/>
    <w:rsid w:val="00B00270"/>
    <w:rsid w:val="00B002E5"/>
    <w:rsid w:val="00B0079F"/>
    <w:rsid w:val="00B007A4"/>
    <w:rsid w:val="00B007A6"/>
    <w:rsid w:val="00B00865"/>
    <w:rsid w:val="00B0088A"/>
    <w:rsid w:val="00B008B8"/>
    <w:rsid w:val="00B008FB"/>
    <w:rsid w:val="00B009CC"/>
    <w:rsid w:val="00B00A42"/>
    <w:rsid w:val="00B00A96"/>
    <w:rsid w:val="00B00ABD"/>
    <w:rsid w:val="00B00C97"/>
    <w:rsid w:val="00B00DB2"/>
    <w:rsid w:val="00B010C8"/>
    <w:rsid w:val="00B01111"/>
    <w:rsid w:val="00B011D6"/>
    <w:rsid w:val="00B01204"/>
    <w:rsid w:val="00B0134C"/>
    <w:rsid w:val="00B01449"/>
    <w:rsid w:val="00B0146F"/>
    <w:rsid w:val="00B01518"/>
    <w:rsid w:val="00B0158E"/>
    <w:rsid w:val="00B0168D"/>
    <w:rsid w:val="00B017E9"/>
    <w:rsid w:val="00B01BDA"/>
    <w:rsid w:val="00B01C31"/>
    <w:rsid w:val="00B01D2B"/>
    <w:rsid w:val="00B01D97"/>
    <w:rsid w:val="00B01DE7"/>
    <w:rsid w:val="00B01E7D"/>
    <w:rsid w:val="00B01ED1"/>
    <w:rsid w:val="00B01F34"/>
    <w:rsid w:val="00B01F9B"/>
    <w:rsid w:val="00B01FDB"/>
    <w:rsid w:val="00B02117"/>
    <w:rsid w:val="00B0214D"/>
    <w:rsid w:val="00B021FC"/>
    <w:rsid w:val="00B021FE"/>
    <w:rsid w:val="00B02228"/>
    <w:rsid w:val="00B0227F"/>
    <w:rsid w:val="00B022A3"/>
    <w:rsid w:val="00B023B9"/>
    <w:rsid w:val="00B02712"/>
    <w:rsid w:val="00B02800"/>
    <w:rsid w:val="00B02A0C"/>
    <w:rsid w:val="00B02C01"/>
    <w:rsid w:val="00B02C48"/>
    <w:rsid w:val="00B02D59"/>
    <w:rsid w:val="00B02D83"/>
    <w:rsid w:val="00B02DF6"/>
    <w:rsid w:val="00B02E16"/>
    <w:rsid w:val="00B02E9C"/>
    <w:rsid w:val="00B02F70"/>
    <w:rsid w:val="00B0311B"/>
    <w:rsid w:val="00B0311E"/>
    <w:rsid w:val="00B0329F"/>
    <w:rsid w:val="00B0341C"/>
    <w:rsid w:val="00B03598"/>
    <w:rsid w:val="00B0360A"/>
    <w:rsid w:val="00B0375E"/>
    <w:rsid w:val="00B03775"/>
    <w:rsid w:val="00B03834"/>
    <w:rsid w:val="00B0387C"/>
    <w:rsid w:val="00B038DD"/>
    <w:rsid w:val="00B03930"/>
    <w:rsid w:val="00B03CD1"/>
    <w:rsid w:val="00B03D5F"/>
    <w:rsid w:val="00B03DDF"/>
    <w:rsid w:val="00B03ECA"/>
    <w:rsid w:val="00B03F56"/>
    <w:rsid w:val="00B0407D"/>
    <w:rsid w:val="00B040BB"/>
    <w:rsid w:val="00B04372"/>
    <w:rsid w:val="00B0439C"/>
    <w:rsid w:val="00B04422"/>
    <w:rsid w:val="00B04767"/>
    <w:rsid w:val="00B048C1"/>
    <w:rsid w:val="00B04A51"/>
    <w:rsid w:val="00B04C46"/>
    <w:rsid w:val="00B04C62"/>
    <w:rsid w:val="00B04E30"/>
    <w:rsid w:val="00B04F73"/>
    <w:rsid w:val="00B05149"/>
    <w:rsid w:val="00B0518F"/>
    <w:rsid w:val="00B051EA"/>
    <w:rsid w:val="00B052E0"/>
    <w:rsid w:val="00B05355"/>
    <w:rsid w:val="00B05471"/>
    <w:rsid w:val="00B05502"/>
    <w:rsid w:val="00B056B1"/>
    <w:rsid w:val="00B057F5"/>
    <w:rsid w:val="00B05860"/>
    <w:rsid w:val="00B05A02"/>
    <w:rsid w:val="00B05B61"/>
    <w:rsid w:val="00B05CCC"/>
    <w:rsid w:val="00B05EAC"/>
    <w:rsid w:val="00B062B1"/>
    <w:rsid w:val="00B06369"/>
    <w:rsid w:val="00B06522"/>
    <w:rsid w:val="00B06666"/>
    <w:rsid w:val="00B06726"/>
    <w:rsid w:val="00B0686C"/>
    <w:rsid w:val="00B068FE"/>
    <w:rsid w:val="00B06904"/>
    <w:rsid w:val="00B06AC0"/>
    <w:rsid w:val="00B06BA6"/>
    <w:rsid w:val="00B06DBF"/>
    <w:rsid w:val="00B06FAC"/>
    <w:rsid w:val="00B07032"/>
    <w:rsid w:val="00B070D4"/>
    <w:rsid w:val="00B070F3"/>
    <w:rsid w:val="00B07346"/>
    <w:rsid w:val="00B074D1"/>
    <w:rsid w:val="00B07514"/>
    <w:rsid w:val="00B07610"/>
    <w:rsid w:val="00B076C4"/>
    <w:rsid w:val="00B078A7"/>
    <w:rsid w:val="00B078CC"/>
    <w:rsid w:val="00B078EB"/>
    <w:rsid w:val="00B07929"/>
    <w:rsid w:val="00B07973"/>
    <w:rsid w:val="00B07A9C"/>
    <w:rsid w:val="00B07C16"/>
    <w:rsid w:val="00B07D92"/>
    <w:rsid w:val="00B07DDA"/>
    <w:rsid w:val="00B07DEC"/>
    <w:rsid w:val="00B07E4A"/>
    <w:rsid w:val="00B07E74"/>
    <w:rsid w:val="00B07FBE"/>
    <w:rsid w:val="00B10006"/>
    <w:rsid w:val="00B101D0"/>
    <w:rsid w:val="00B10209"/>
    <w:rsid w:val="00B1026E"/>
    <w:rsid w:val="00B103A1"/>
    <w:rsid w:val="00B1048F"/>
    <w:rsid w:val="00B104A5"/>
    <w:rsid w:val="00B104D2"/>
    <w:rsid w:val="00B10730"/>
    <w:rsid w:val="00B10925"/>
    <w:rsid w:val="00B1097D"/>
    <w:rsid w:val="00B109B7"/>
    <w:rsid w:val="00B10A81"/>
    <w:rsid w:val="00B10B4F"/>
    <w:rsid w:val="00B10B52"/>
    <w:rsid w:val="00B10D30"/>
    <w:rsid w:val="00B10F91"/>
    <w:rsid w:val="00B11061"/>
    <w:rsid w:val="00B1129E"/>
    <w:rsid w:val="00B112A9"/>
    <w:rsid w:val="00B1138C"/>
    <w:rsid w:val="00B113F7"/>
    <w:rsid w:val="00B1151B"/>
    <w:rsid w:val="00B11522"/>
    <w:rsid w:val="00B116E1"/>
    <w:rsid w:val="00B116FC"/>
    <w:rsid w:val="00B118D7"/>
    <w:rsid w:val="00B1199C"/>
    <w:rsid w:val="00B11A84"/>
    <w:rsid w:val="00B11A92"/>
    <w:rsid w:val="00B11BCB"/>
    <w:rsid w:val="00B11D73"/>
    <w:rsid w:val="00B11DE9"/>
    <w:rsid w:val="00B11E0F"/>
    <w:rsid w:val="00B11EEE"/>
    <w:rsid w:val="00B12009"/>
    <w:rsid w:val="00B12211"/>
    <w:rsid w:val="00B122C7"/>
    <w:rsid w:val="00B1233B"/>
    <w:rsid w:val="00B12450"/>
    <w:rsid w:val="00B125E9"/>
    <w:rsid w:val="00B12670"/>
    <w:rsid w:val="00B12683"/>
    <w:rsid w:val="00B12833"/>
    <w:rsid w:val="00B12BCE"/>
    <w:rsid w:val="00B12BDE"/>
    <w:rsid w:val="00B12BF4"/>
    <w:rsid w:val="00B12E73"/>
    <w:rsid w:val="00B12EF4"/>
    <w:rsid w:val="00B130C6"/>
    <w:rsid w:val="00B1319A"/>
    <w:rsid w:val="00B132E5"/>
    <w:rsid w:val="00B13302"/>
    <w:rsid w:val="00B13349"/>
    <w:rsid w:val="00B133AD"/>
    <w:rsid w:val="00B133D5"/>
    <w:rsid w:val="00B135CB"/>
    <w:rsid w:val="00B138DC"/>
    <w:rsid w:val="00B13959"/>
    <w:rsid w:val="00B13A3C"/>
    <w:rsid w:val="00B13CA5"/>
    <w:rsid w:val="00B13CC1"/>
    <w:rsid w:val="00B13EED"/>
    <w:rsid w:val="00B140D2"/>
    <w:rsid w:val="00B1423B"/>
    <w:rsid w:val="00B14285"/>
    <w:rsid w:val="00B144B9"/>
    <w:rsid w:val="00B1458A"/>
    <w:rsid w:val="00B1470D"/>
    <w:rsid w:val="00B147DA"/>
    <w:rsid w:val="00B14BAC"/>
    <w:rsid w:val="00B14CDA"/>
    <w:rsid w:val="00B14CE4"/>
    <w:rsid w:val="00B14EC0"/>
    <w:rsid w:val="00B14F6D"/>
    <w:rsid w:val="00B14FF5"/>
    <w:rsid w:val="00B1504A"/>
    <w:rsid w:val="00B15410"/>
    <w:rsid w:val="00B15655"/>
    <w:rsid w:val="00B156A4"/>
    <w:rsid w:val="00B1581B"/>
    <w:rsid w:val="00B15934"/>
    <w:rsid w:val="00B15A52"/>
    <w:rsid w:val="00B15A64"/>
    <w:rsid w:val="00B15DE4"/>
    <w:rsid w:val="00B15E27"/>
    <w:rsid w:val="00B15EC9"/>
    <w:rsid w:val="00B15FD8"/>
    <w:rsid w:val="00B16036"/>
    <w:rsid w:val="00B1612B"/>
    <w:rsid w:val="00B161B4"/>
    <w:rsid w:val="00B161BC"/>
    <w:rsid w:val="00B1633A"/>
    <w:rsid w:val="00B16504"/>
    <w:rsid w:val="00B166A3"/>
    <w:rsid w:val="00B167EE"/>
    <w:rsid w:val="00B169AA"/>
    <w:rsid w:val="00B16BD2"/>
    <w:rsid w:val="00B16C40"/>
    <w:rsid w:val="00B16CB7"/>
    <w:rsid w:val="00B16D26"/>
    <w:rsid w:val="00B16D64"/>
    <w:rsid w:val="00B16DFA"/>
    <w:rsid w:val="00B16EA9"/>
    <w:rsid w:val="00B16EF8"/>
    <w:rsid w:val="00B16FCF"/>
    <w:rsid w:val="00B172EF"/>
    <w:rsid w:val="00B17340"/>
    <w:rsid w:val="00B1738F"/>
    <w:rsid w:val="00B174E9"/>
    <w:rsid w:val="00B1759D"/>
    <w:rsid w:val="00B1776C"/>
    <w:rsid w:val="00B17782"/>
    <w:rsid w:val="00B1796D"/>
    <w:rsid w:val="00B17B45"/>
    <w:rsid w:val="00B17BEC"/>
    <w:rsid w:val="00B17C39"/>
    <w:rsid w:val="00B17CD7"/>
    <w:rsid w:val="00B202AF"/>
    <w:rsid w:val="00B204A2"/>
    <w:rsid w:val="00B20513"/>
    <w:rsid w:val="00B20597"/>
    <w:rsid w:val="00B205EA"/>
    <w:rsid w:val="00B20645"/>
    <w:rsid w:val="00B2070E"/>
    <w:rsid w:val="00B2099C"/>
    <w:rsid w:val="00B209F5"/>
    <w:rsid w:val="00B20C8D"/>
    <w:rsid w:val="00B20DEE"/>
    <w:rsid w:val="00B20E4A"/>
    <w:rsid w:val="00B210A3"/>
    <w:rsid w:val="00B2129B"/>
    <w:rsid w:val="00B21456"/>
    <w:rsid w:val="00B214A5"/>
    <w:rsid w:val="00B216DB"/>
    <w:rsid w:val="00B21A76"/>
    <w:rsid w:val="00B21B81"/>
    <w:rsid w:val="00B21CB2"/>
    <w:rsid w:val="00B21E9A"/>
    <w:rsid w:val="00B21F21"/>
    <w:rsid w:val="00B22265"/>
    <w:rsid w:val="00B222AF"/>
    <w:rsid w:val="00B22308"/>
    <w:rsid w:val="00B223DB"/>
    <w:rsid w:val="00B2241E"/>
    <w:rsid w:val="00B22532"/>
    <w:rsid w:val="00B22751"/>
    <w:rsid w:val="00B228F6"/>
    <w:rsid w:val="00B2290A"/>
    <w:rsid w:val="00B229A6"/>
    <w:rsid w:val="00B22A3D"/>
    <w:rsid w:val="00B22C5E"/>
    <w:rsid w:val="00B22CD4"/>
    <w:rsid w:val="00B22EBB"/>
    <w:rsid w:val="00B231E7"/>
    <w:rsid w:val="00B23292"/>
    <w:rsid w:val="00B233BA"/>
    <w:rsid w:val="00B23401"/>
    <w:rsid w:val="00B2340F"/>
    <w:rsid w:val="00B2346C"/>
    <w:rsid w:val="00B23547"/>
    <w:rsid w:val="00B235A5"/>
    <w:rsid w:val="00B23636"/>
    <w:rsid w:val="00B23697"/>
    <w:rsid w:val="00B237B2"/>
    <w:rsid w:val="00B237CE"/>
    <w:rsid w:val="00B23ABB"/>
    <w:rsid w:val="00B23C39"/>
    <w:rsid w:val="00B23CC0"/>
    <w:rsid w:val="00B23D53"/>
    <w:rsid w:val="00B23DD4"/>
    <w:rsid w:val="00B23DDD"/>
    <w:rsid w:val="00B2409E"/>
    <w:rsid w:val="00B240ED"/>
    <w:rsid w:val="00B24256"/>
    <w:rsid w:val="00B243D4"/>
    <w:rsid w:val="00B24412"/>
    <w:rsid w:val="00B244DD"/>
    <w:rsid w:val="00B244F1"/>
    <w:rsid w:val="00B2472D"/>
    <w:rsid w:val="00B24758"/>
    <w:rsid w:val="00B247E5"/>
    <w:rsid w:val="00B248CB"/>
    <w:rsid w:val="00B24B56"/>
    <w:rsid w:val="00B24BEF"/>
    <w:rsid w:val="00B24CA4"/>
    <w:rsid w:val="00B24D53"/>
    <w:rsid w:val="00B24DFA"/>
    <w:rsid w:val="00B24F04"/>
    <w:rsid w:val="00B250DC"/>
    <w:rsid w:val="00B25116"/>
    <w:rsid w:val="00B251E9"/>
    <w:rsid w:val="00B252F6"/>
    <w:rsid w:val="00B25577"/>
    <w:rsid w:val="00B256F2"/>
    <w:rsid w:val="00B25812"/>
    <w:rsid w:val="00B25A2E"/>
    <w:rsid w:val="00B25B2F"/>
    <w:rsid w:val="00B25C81"/>
    <w:rsid w:val="00B25CDD"/>
    <w:rsid w:val="00B25D11"/>
    <w:rsid w:val="00B25F2A"/>
    <w:rsid w:val="00B2605D"/>
    <w:rsid w:val="00B2619D"/>
    <w:rsid w:val="00B261B3"/>
    <w:rsid w:val="00B26445"/>
    <w:rsid w:val="00B264A5"/>
    <w:rsid w:val="00B26629"/>
    <w:rsid w:val="00B26637"/>
    <w:rsid w:val="00B2665F"/>
    <w:rsid w:val="00B266B9"/>
    <w:rsid w:val="00B26B69"/>
    <w:rsid w:val="00B26BD3"/>
    <w:rsid w:val="00B26BF3"/>
    <w:rsid w:val="00B26DA7"/>
    <w:rsid w:val="00B270CC"/>
    <w:rsid w:val="00B271E9"/>
    <w:rsid w:val="00B2727D"/>
    <w:rsid w:val="00B27663"/>
    <w:rsid w:val="00B27683"/>
    <w:rsid w:val="00B27A4C"/>
    <w:rsid w:val="00B27A4D"/>
    <w:rsid w:val="00B27B26"/>
    <w:rsid w:val="00B27B38"/>
    <w:rsid w:val="00B27FE8"/>
    <w:rsid w:val="00B3036B"/>
    <w:rsid w:val="00B306A0"/>
    <w:rsid w:val="00B3075F"/>
    <w:rsid w:val="00B30AF5"/>
    <w:rsid w:val="00B30C6F"/>
    <w:rsid w:val="00B30E1B"/>
    <w:rsid w:val="00B30E79"/>
    <w:rsid w:val="00B30F15"/>
    <w:rsid w:val="00B316BF"/>
    <w:rsid w:val="00B316E0"/>
    <w:rsid w:val="00B319C4"/>
    <w:rsid w:val="00B319FD"/>
    <w:rsid w:val="00B31A36"/>
    <w:rsid w:val="00B31BC8"/>
    <w:rsid w:val="00B31C31"/>
    <w:rsid w:val="00B31CFC"/>
    <w:rsid w:val="00B31D7D"/>
    <w:rsid w:val="00B31D87"/>
    <w:rsid w:val="00B31E1F"/>
    <w:rsid w:val="00B320B1"/>
    <w:rsid w:val="00B32255"/>
    <w:rsid w:val="00B32285"/>
    <w:rsid w:val="00B32318"/>
    <w:rsid w:val="00B32394"/>
    <w:rsid w:val="00B32747"/>
    <w:rsid w:val="00B3274D"/>
    <w:rsid w:val="00B327BC"/>
    <w:rsid w:val="00B32ABF"/>
    <w:rsid w:val="00B32B17"/>
    <w:rsid w:val="00B32BB5"/>
    <w:rsid w:val="00B32BF3"/>
    <w:rsid w:val="00B32BFC"/>
    <w:rsid w:val="00B32DFB"/>
    <w:rsid w:val="00B32E82"/>
    <w:rsid w:val="00B32ED9"/>
    <w:rsid w:val="00B32F42"/>
    <w:rsid w:val="00B33098"/>
    <w:rsid w:val="00B3316C"/>
    <w:rsid w:val="00B331A6"/>
    <w:rsid w:val="00B331DE"/>
    <w:rsid w:val="00B3326F"/>
    <w:rsid w:val="00B332FB"/>
    <w:rsid w:val="00B333ED"/>
    <w:rsid w:val="00B335C1"/>
    <w:rsid w:val="00B33631"/>
    <w:rsid w:val="00B33BBB"/>
    <w:rsid w:val="00B33BD8"/>
    <w:rsid w:val="00B33EC9"/>
    <w:rsid w:val="00B34130"/>
    <w:rsid w:val="00B34281"/>
    <w:rsid w:val="00B342B6"/>
    <w:rsid w:val="00B34356"/>
    <w:rsid w:val="00B34549"/>
    <w:rsid w:val="00B3467D"/>
    <w:rsid w:val="00B347DE"/>
    <w:rsid w:val="00B3481D"/>
    <w:rsid w:val="00B348A9"/>
    <w:rsid w:val="00B348BB"/>
    <w:rsid w:val="00B34A1D"/>
    <w:rsid w:val="00B34B64"/>
    <w:rsid w:val="00B34BB0"/>
    <w:rsid w:val="00B34C3E"/>
    <w:rsid w:val="00B34E1D"/>
    <w:rsid w:val="00B352AE"/>
    <w:rsid w:val="00B356C3"/>
    <w:rsid w:val="00B35A1D"/>
    <w:rsid w:val="00B35A87"/>
    <w:rsid w:val="00B35A98"/>
    <w:rsid w:val="00B35C4C"/>
    <w:rsid w:val="00B35C70"/>
    <w:rsid w:val="00B35DB9"/>
    <w:rsid w:val="00B35DC3"/>
    <w:rsid w:val="00B35E39"/>
    <w:rsid w:val="00B35FE0"/>
    <w:rsid w:val="00B3600D"/>
    <w:rsid w:val="00B36424"/>
    <w:rsid w:val="00B364A0"/>
    <w:rsid w:val="00B36632"/>
    <w:rsid w:val="00B36782"/>
    <w:rsid w:val="00B367C2"/>
    <w:rsid w:val="00B3690D"/>
    <w:rsid w:val="00B36A30"/>
    <w:rsid w:val="00B36AD5"/>
    <w:rsid w:val="00B36C65"/>
    <w:rsid w:val="00B36FEC"/>
    <w:rsid w:val="00B3703F"/>
    <w:rsid w:val="00B3730B"/>
    <w:rsid w:val="00B375AA"/>
    <w:rsid w:val="00B377F5"/>
    <w:rsid w:val="00B37940"/>
    <w:rsid w:val="00B379E4"/>
    <w:rsid w:val="00B37A2F"/>
    <w:rsid w:val="00B37BB5"/>
    <w:rsid w:val="00B37D0B"/>
    <w:rsid w:val="00B37EBB"/>
    <w:rsid w:val="00B37F63"/>
    <w:rsid w:val="00B40160"/>
    <w:rsid w:val="00B40234"/>
    <w:rsid w:val="00B40307"/>
    <w:rsid w:val="00B403A6"/>
    <w:rsid w:val="00B40603"/>
    <w:rsid w:val="00B40752"/>
    <w:rsid w:val="00B407A9"/>
    <w:rsid w:val="00B408A7"/>
    <w:rsid w:val="00B408EF"/>
    <w:rsid w:val="00B40A01"/>
    <w:rsid w:val="00B40DA0"/>
    <w:rsid w:val="00B40F11"/>
    <w:rsid w:val="00B40F4A"/>
    <w:rsid w:val="00B40F69"/>
    <w:rsid w:val="00B41041"/>
    <w:rsid w:val="00B41298"/>
    <w:rsid w:val="00B41434"/>
    <w:rsid w:val="00B4146D"/>
    <w:rsid w:val="00B414E0"/>
    <w:rsid w:val="00B41624"/>
    <w:rsid w:val="00B416D8"/>
    <w:rsid w:val="00B418B0"/>
    <w:rsid w:val="00B41950"/>
    <w:rsid w:val="00B419A8"/>
    <w:rsid w:val="00B41A43"/>
    <w:rsid w:val="00B41A70"/>
    <w:rsid w:val="00B41EEA"/>
    <w:rsid w:val="00B41F03"/>
    <w:rsid w:val="00B42108"/>
    <w:rsid w:val="00B423FF"/>
    <w:rsid w:val="00B42431"/>
    <w:rsid w:val="00B42452"/>
    <w:rsid w:val="00B424EA"/>
    <w:rsid w:val="00B4256D"/>
    <w:rsid w:val="00B426E2"/>
    <w:rsid w:val="00B42A83"/>
    <w:rsid w:val="00B42ADC"/>
    <w:rsid w:val="00B42B49"/>
    <w:rsid w:val="00B42BC2"/>
    <w:rsid w:val="00B42C2D"/>
    <w:rsid w:val="00B42D53"/>
    <w:rsid w:val="00B42D60"/>
    <w:rsid w:val="00B42D63"/>
    <w:rsid w:val="00B42DA6"/>
    <w:rsid w:val="00B42DE3"/>
    <w:rsid w:val="00B42FD7"/>
    <w:rsid w:val="00B43039"/>
    <w:rsid w:val="00B43266"/>
    <w:rsid w:val="00B43382"/>
    <w:rsid w:val="00B433D9"/>
    <w:rsid w:val="00B4347B"/>
    <w:rsid w:val="00B435FD"/>
    <w:rsid w:val="00B436E6"/>
    <w:rsid w:val="00B43A5B"/>
    <w:rsid w:val="00B43B1D"/>
    <w:rsid w:val="00B43D61"/>
    <w:rsid w:val="00B440DE"/>
    <w:rsid w:val="00B441B3"/>
    <w:rsid w:val="00B44232"/>
    <w:rsid w:val="00B4428A"/>
    <w:rsid w:val="00B442F8"/>
    <w:rsid w:val="00B4435A"/>
    <w:rsid w:val="00B4461C"/>
    <w:rsid w:val="00B446AC"/>
    <w:rsid w:val="00B449AF"/>
    <w:rsid w:val="00B44AB7"/>
    <w:rsid w:val="00B44B4A"/>
    <w:rsid w:val="00B44C94"/>
    <w:rsid w:val="00B44C97"/>
    <w:rsid w:val="00B44DF5"/>
    <w:rsid w:val="00B44E5E"/>
    <w:rsid w:val="00B451FA"/>
    <w:rsid w:val="00B45293"/>
    <w:rsid w:val="00B45569"/>
    <w:rsid w:val="00B45570"/>
    <w:rsid w:val="00B4575D"/>
    <w:rsid w:val="00B457E7"/>
    <w:rsid w:val="00B458C3"/>
    <w:rsid w:val="00B459ED"/>
    <w:rsid w:val="00B45B0E"/>
    <w:rsid w:val="00B45B29"/>
    <w:rsid w:val="00B45CF4"/>
    <w:rsid w:val="00B45D20"/>
    <w:rsid w:val="00B45F2B"/>
    <w:rsid w:val="00B45F34"/>
    <w:rsid w:val="00B46734"/>
    <w:rsid w:val="00B4685C"/>
    <w:rsid w:val="00B468B0"/>
    <w:rsid w:val="00B468C2"/>
    <w:rsid w:val="00B469E8"/>
    <w:rsid w:val="00B46A61"/>
    <w:rsid w:val="00B46B83"/>
    <w:rsid w:val="00B46CE4"/>
    <w:rsid w:val="00B46D84"/>
    <w:rsid w:val="00B46ECE"/>
    <w:rsid w:val="00B46EFB"/>
    <w:rsid w:val="00B47060"/>
    <w:rsid w:val="00B4715F"/>
    <w:rsid w:val="00B47172"/>
    <w:rsid w:val="00B4732C"/>
    <w:rsid w:val="00B473F1"/>
    <w:rsid w:val="00B47649"/>
    <w:rsid w:val="00B4769F"/>
    <w:rsid w:val="00B47751"/>
    <w:rsid w:val="00B47785"/>
    <w:rsid w:val="00B477E8"/>
    <w:rsid w:val="00B47A63"/>
    <w:rsid w:val="00B47B0F"/>
    <w:rsid w:val="00B47BE4"/>
    <w:rsid w:val="00B47D38"/>
    <w:rsid w:val="00B47E09"/>
    <w:rsid w:val="00B47EEF"/>
    <w:rsid w:val="00B47F8C"/>
    <w:rsid w:val="00B5032D"/>
    <w:rsid w:val="00B50370"/>
    <w:rsid w:val="00B503D2"/>
    <w:rsid w:val="00B50495"/>
    <w:rsid w:val="00B504EA"/>
    <w:rsid w:val="00B5056D"/>
    <w:rsid w:val="00B505BD"/>
    <w:rsid w:val="00B50640"/>
    <w:rsid w:val="00B5067D"/>
    <w:rsid w:val="00B506A3"/>
    <w:rsid w:val="00B50714"/>
    <w:rsid w:val="00B50B53"/>
    <w:rsid w:val="00B50B91"/>
    <w:rsid w:val="00B50BE8"/>
    <w:rsid w:val="00B50D0B"/>
    <w:rsid w:val="00B50F67"/>
    <w:rsid w:val="00B510DC"/>
    <w:rsid w:val="00B51195"/>
    <w:rsid w:val="00B51243"/>
    <w:rsid w:val="00B51355"/>
    <w:rsid w:val="00B514CD"/>
    <w:rsid w:val="00B515E8"/>
    <w:rsid w:val="00B5164E"/>
    <w:rsid w:val="00B5164F"/>
    <w:rsid w:val="00B5168A"/>
    <w:rsid w:val="00B51704"/>
    <w:rsid w:val="00B5177F"/>
    <w:rsid w:val="00B517A0"/>
    <w:rsid w:val="00B517AA"/>
    <w:rsid w:val="00B51A08"/>
    <w:rsid w:val="00B51A45"/>
    <w:rsid w:val="00B51A54"/>
    <w:rsid w:val="00B51B55"/>
    <w:rsid w:val="00B51C2B"/>
    <w:rsid w:val="00B51E95"/>
    <w:rsid w:val="00B52152"/>
    <w:rsid w:val="00B5217E"/>
    <w:rsid w:val="00B522F1"/>
    <w:rsid w:val="00B52581"/>
    <w:rsid w:val="00B52592"/>
    <w:rsid w:val="00B525AD"/>
    <w:rsid w:val="00B52601"/>
    <w:rsid w:val="00B526F9"/>
    <w:rsid w:val="00B527E4"/>
    <w:rsid w:val="00B5299D"/>
    <w:rsid w:val="00B52B66"/>
    <w:rsid w:val="00B52BE9"/>
    <w:rsid w:val="00B52C41"/>
    <w:rsid w:val="00B52CC0"/>
    <w:rsid w:val="00B52E3D"/>
    <w:rsid w:val="00B52EFD"/>
    <w:rsid w:val="00B52FD1"/>
    <w:rsid w:val="00B53095"/>
    <w:rsid w:val="00B53125"/>
    <w:rsid w:val="00B53177"/>
    <w:rsid w:val="00B5321B"/>
    <w:rsid w:val="00B532F9"/>
    <w:rsid w:val="00B53607"/>
    <w:rsid w:val="00B536E8"/>
    <w:rsid w:val="00B538C6"/>
    <w:rsid w:val="00B53927"/>
    <w:rsid w:val="00B53D86"/>
    <w:rsid w:val="00B53DFD"/>
    <w:rsid w:val="00B53F34"/>
    <w:rsid w:val="00B54270"/>
    <w:rsid w:val="00B542F1"/>
    <w:rsid w:val="00B54614"/>
    <w:rsid w:val="00B54763"/>
    <w:rsid w:val="00B547DE"/>
    <w:rsid w:val="00B548DD"/>
    <w:rsid w:val="00B54E48"/>
    <w:rsid w:val="00B54E9B"/>
    <w:rsid w:val="00B54E9D"/>
    <w:rsid w:val="00B54EE7"/>
    <w:rsid w:val="00B54F65"/>
    <w:rsid w:val="00B550AE"/>
    <w:rsid w:val="00B5525C"/>
    <w:rsid w:val="00B55321"/>
    <w:rsid w:val="00B55428"/>
    <w:rsid w:val="00B55611"/>
    <w:rsid w:val="00B55ADD"/>
    <w:rsid w:val="00B55AFA"/>
    <w:rsid w:val="00B55AFD"/>
    <w:rsid w:val="00B55BAD"/>
    <w:rsid w:val="00B55D21"/>
    <w:rsid w:val="00B55D9E"/>
    <w:rsid w:val="00B55EC6"/>
    <w:rsid w:val="00B55F96"/>
    <w:rsid w:val="00B5609A"/>
    <w:rsid w:val="00B56266"/>
    <w:rsid w:val="00B5640F"/>
    <w:rsid w:val="00B56466"/>
    <w:rsid w:val="00B56683"/>
    <w:rsid w:val="00B56909"/>
    <w:rsid w:val="00B56936"/>
    <w:rsid w:val="00B56962"/>
    <w:rsid w:val="00B569A1"/>
    <w:rsid w:val="00B569A5"/>
    <w:rsid w:val="00B56ABE"/>
    <w:rsid w:val="00B56B14"/>
    <w:rsid w:val="00B56BFD"/>
    <w:rsid w:val="00B56C42"/>
    <w:rsid w:val="00B56CA2"/>
    <w:rsid w:val="00B56D61"/>
    <w:rsid w:val="00B56DD8"/>
    <w:rsid w:val="00B56EDD"/>
    <w:rsid w:val="00B5701E"/>
    <w:rsid w:val="00B570AA"/>
    <w:rsid w:val="00B57198"/>
    <w:rsid w:val="00B571B6"/>
    <w:rsid w:val="00B57632"/>
    <w:rsid w:val="00B57DC2"/>
    <w:rsid w:val="00B57DDE"/>
    <w:rsid w:val="00B57E50"/>
    <w:rsid w:val="00B60020"/>
    <w:rsid w:val="00B60131"/>
    <w:rsid w:val="00B60158"/>
    <w:rsid w:val="00B601D7"/>
    <w:rsid w:val="00B601F2"/>
    <w:rsid w:val="00B6027B"/>
    <w:rsid w:val="00B6028F"/>
    <w:rsid w:val="00B60370"/>
    <w:rsid w:val="00B60450"/>
    <w:rsid w:val="00B60796"/>
    <w:rsid w:val="00B609AC"/>
    <w:rsid w:val="00B609B6"/>
    <w:rsid w:val="00B60B08"/>
    <w:rsid w:val="00B60B4C"/>
    <w:rsid w:val="00B60DD5"/>
    <w:rsid w:val="00B60E05"/>
    <w:rsid w:val="00B6106F"/>
    <w:rsid w:val="00B61102"/>
    <w:rsid w:val="00B6112F"/>
    <w:rsid w:val="00B6119B"/>
    <w:rsid w:val="00B612A8"/>
    <w:rsid w:val="00B614D1"/>
    <w:rsid w:val="00B615A6"/>
    <w:rsid w:val="00B617DB"/>
    <w:rsid w:val="00B61955"/>
    <w:rsid w:val="00B61B30"/>
    <w:rsid w:val="00B61BB4"/>
    <w:rsid w:val="00B61C0E"/>
    <w:rsid w:val="00B61CA1"/>
    <w:rsid w:val="00B61CCB"/>
    <w:rsid w:val="00B61DC3"/>
    <w:rsid w:val="00B61E0D"/>
    <w:rsid w:val="00B6235F"/>
    <w:rsid w:val="00B623A2"/>
    <w:rsid w:val="00B623A6"/>
    <w:rsid w:val="00B62567"/>
    <w:rsid w:val="00B625B9"/>
    <w:rsid w:val="00B625BF"/>
    <w:rsid w:val="00B62653"/>
    <w:rsid w:val="00B626F1"/>
    <w:rsid w:val="00B627C3"/>
    <w:rsid w:val="00B628CD"/>
    <w:rsid w:val="00B62B8B"/>
    <w:rsid w:val="00B62CE6"/>
    <w:rsid w:val="00B62D1E"/>
    <w:rsid w:val="00B62EF2"/>
    <w:rsid w:val="00B62FAD"/>
    <w:rsid w:val="00B6303E"/>
    <w:rsid w:val="00B631B4"/>
    <w:rsid w:val="00B63382"/>
    <w:rsid w:val="00B63486"/>
    <w:rsid w:val="00B6351A"/>
    <w:rsid w:val="00B63665"/>
    <w:rsid w:val="00B63890"/>
    <w:rsid w:val="00B638D3"/>
    <w:rsid w:val="00B63925"/>
    <w:rsid w:val="00B639B4"/>
    <w:rsid w:val="00B63C11"/>
    <w:rsid w:val="00B63CA5"/>
    <w:rsid w:val="00B6406A"/>
    <w:rsid w:val="00B641E6"/>
    <w:rsid w:val="00B642A9"/>
    <w:rsid w:val="00B6452A"/>
    <w:rsid w:val="00B64591"/>
    <w:rsid w:val="00B6462B"/>
    <w:rsid w:val="00B64643"/>
    <w:rsid w:val="00B64670"/>
    <w:rsid w:val="00B6485A"/>
    <w:rsid w:val="00B648EA"/>
    <w:rsid w:val="00B64A67"/>
    <w:rsid w:val="00B64B04"/>
    <w:rsid w:val="00B64C6E"/>
    <w:rsid w:val="00B64D7B"/>
    <w:rsid w:val="00B64EA7"/>
    <w:rsid w:val="00B64F84"/>
    <w:rsid w:val="00B64FE1"/>
    <w:rsid w:val="00B6533C"/>
    <w:rsid w:val="00B6534B"/>
    <w:rsid w:val="00B65522"/>
    <w:rsid w:val="00B657AD"/>
    <w:rsid w:val="00B65843"/>
    <w:rsid w:val="00B6593D"/>
    <w:rsid w:val="00B659CC"/>
    <w:rsid w:val="00B65B6E"/>
    <w:rsid w:val="00B65C40"/>
    <w:rsid w:val="00B65CA8"/>
    <w:rsid w:val="00B65D36"/>
    <w:rsid w:val="00B65E18"/>
    <w:rsid w:val="00B65F00"/>
    <w:rsid w:val="00B6602F"/>
    <w:rsid w:val="00B66119"/>
    <w:rsid w:val="00B66141"/>
    <w:rsid w:val="00B6614F"/>
    <w:rsid w:val="00B664F0"/>
    <w:rsid w:val="00B66583"/>
    <w:rsid w:val="00B66615"/>
    <w:rsid w:val="00B6676D"/>
    <w:rsid w:val="00B667EA"/>
    <w:rsid w:val="00B6696D"/>
    <w:rsid w:val="00B66C7F"/>
    <w:rsid w:val="00B66D9C"/>
    <w:rsid w:val="00B671FC"/>
    <w:rsid w:val="00B6726D"/>
    <w:rsid w:val="00B6732B"/>
    <w:rsid w:val="00B675FA"/>
    <w:rsid w:val="00B6787D"/>
    <w:rsid w:val="00B67996"/>
    <w:rsid w:val="00B67AC9"/>
    <w:rsid w:val="00B67BC2"/>
    <w:rsid w:val="00B67C0B"/>
    <w:rsid w:val="00B67C22"/>
    <w:rsid w:val="00B67C7E"/>
    <w:rsid w:val="00B67CDA"/>
    <w:rsid w:val="00B700D8"/>
    <w:rsid w:val="00B7032C"/>
    <w:rsid w:val="00B7039A"/>
    <w:rsid w:val="00B703C8"/>
    <w:rsid w:val="00B70419"/>
    <w:rsid w:val="00B7043C"/>
    <w:rsid w:val="00B7057F"/>
    <w:rsid w:val="00B70673"/>
    <w:rsid w:val="00B70985"/>
    <w:rsid w:val="00B70AEE"/>
    <w:rsid w:val="00B70BB0"/>
    <w:rsid w:val="00B70C9B"/>
    <w:rsid w:val="00B70CC9"/>
    <w:rsid w:val="00B70D71"/>
    <w:rsid w:val="00B70D82"/>
    <w:rsid w:val="00B71056"/>
    <w:rsid w:val="00B710FA"/>
    <w:rsid w:val="00B7116B"/>
    <w:rsid w:val="00B7125A"/>
    <w:rsid w:val="00B7142B"/>
    <w:rsid w:val="00B71522"/>
    <w:rsid w:val="00B71667"/>
    <w:rsid w:val="00B7170B"/>
    <w:rsid w:val="00B7174A"/>
    <w:rsid w:val="00B7181B"/>
    <w:rsid w:val="00B71B82"/>
    <w:rsid w:val="00B71D02"/>
    <w:rsid w:val="00B72214"/>
    <w:rsid w:val="00B723AE"/>
    <w:rsid w:val="00B72640"/>
    <w:rsid w:val="00B7282C"/>
    <w:rsid w:val="00B728BA"/>
    <w:rsid w:val="00B72A05"/>
    <w:rsid w:val="00B72D52"/>
    <w:rsid w:val="00B72E4E"/>
    <w:rsid w:val="00B72EBD"/>
    <w:rsid w:val="00B72F00"/>
    <w:rsid w:val="00B72F6D"/>
    <w:rsid w:val="00B731B0"/>
    <w:rsid w:val="00B731BF"/>
    <w:rsid w:val="00B73312"/>
    <w:rsid w:val="00B73473"/>
    <w:rsid w:val="00B736A6"/>
    <w:rsid w:val="00B73E06"/>
    <w:rsid w:val="00B73E36"/>
    <w:rsid w:val="00B7402A"/>
    <w:rsid w:val="00B74099"/>
    <w:rsid w:val="00B74131"/>
    <w:rsid w:val="00B7427F"/>
    <w:rsid w:val="00B74288"/>
    <w:rsid w:val="00B74379"/>
    <w:rsid w:val="00B745B3"/>
    <w:rsid w:val="00B7477B"/>
    <w:rsid w:val="00B74835"/>
    <w:rsid w:val="00B748D3"/>
    <w:rsid w:val="00B7498D"/>
    <w:rsid w:val="00B749A5"/>
    <w:rsid w:val="00B74AAA"/>
    <w:rsid w:val="00B74C1D"/>
    <w:rsid w:val="00B74D3D"/>
    <w:rsid w:val="00B74D58"/>
    <w:rsid w:val="00B74E5A"/>
    <w:rsid w:val="00B74E79"/>
    <w:rsid w:val="00B74EB6"/>
    <w:rsid w:val="00B75041"/>
    <w:rsid w:val="00B750D8"/>
    <w:rsid w:val="00B7529B"/>
    <w:rsid w:val="00B752CB"/>
    <w:rsid w:val="00B7570D"/>
    <w:rsid w:val="00B758B5"/>
    <w:rsid w:val="00B758B8"/>
    <w:rsid w:val="00B759CE"/>
    <w:rsid w:val="00B75A68"/>
    <w:rsid w:val="00B75ADC"/>
    <w:rsid w:val="00B75B44"/>
    <w:rsid w:val="00B75BF5"/>
    <w:rsid w:val="00B75FAB"/>
    <w:rsid w:val="00B75FC3"/>
    <w:rsid w:val="00B76116"/>
    <w:rsid w:val="00B761F3"/>
    <w:rsid w:val="00B7632C"/>
    <w:rsid w:val="00B76501"/>
    <w:rsid w:val="00B7667A"/>
    <w:rsid w:val="00B76681"/>
    <w:rsid w:val="00B766C5"/>
    <w:rsid w:val="00B76780"/>
    <w:rsid w:val="00B769BD"/>
    <w:rsid w:val="00B769E2"/>
    <w:rsid w:val="00B76A8D"/>
    <w:rsid w:val="00B76B88"/>
    <w:rsid w:val="00B76BB0"/>
    <w:rsid w:val="00B76BF3"/>
    <w:rsid w:val="00B76C12"/>
    <w:rsid w:val="00B76D31"/>
    <w:rsid w:val="00B76DD7"/>
    <w:rsid w:val="00B76E3C"/>
    <w:rsid w:val="00B76E85"/>
    <w:rsid w:val="00B76F50"/>
    <w:rsid w:val="00B76F94"/>
    <w:rsid w:val="00B77018"/>
    <w:rsid w:val="00B77055"/>
    <w:rsid w:val="00B77240"/>
    <w:rsid w:val="00B77498"/>
    <w:rsid w:val="00B77530"/>
    <w:rsid w:val="00B77605"/>
    <w:rsid w:val="00B7761F"/>
    <w:rsid w:val="00B776ED"/>
    <w:rsid w:val="00B777CE"/>
    <w:rsid w:val="00B77849"/>
    <w:rsid w:val="00B779D1"/>
    <w:rsid w:val="00B779D4"/>
    <w:rsid w:val="00B77BB8"/>
    <w:rsid w:val="00B77DB6"/>
    <w:rsid w:val="00B77EEF"/>
    <w:rsid w:val="00B8015A"/>
    <w:rsid w:val="00B80196"/>
    <w:rsid w:val="00B80278"/>
    <w:rsid w:val="00B802C1"/>
    <w:rsid w:val="00B80341"/>
    <w:rsid w:val="00B803D5"/>
    <w:rsid w:val="00B803E7"/>
    <w:rsid w:val="00B80476"/>
    <w:rsid w:val="00B80682"/>
    <w:rsid w:val="00B80847"/>
    <w:rsid w:val="00B809BC"/>
    <w:rsid w:val="00B80B1A"/>
    <w:rsid w:val="00B80C58"/>
    <w:rsid w:val="00B80C73"/>
    <w:rsid w:val="00B80F3D"/>
    <w:rsid w:val="00B8160E"/>
    <w:rsid w:val="00B81822"/>
    <w:rsid w:val="00B81836"/>
    <w:rsid w:val="00B81A54"/>
    <w:rsid w:val="00B81B8B"/>
    <w:rsid w:val="00B81BC1"/>
    <w:rsid w:val="00B81C8E"/>
    <w:rsid w:val="00B81D2A"/>
    <w:rsid w:val="00B81E21"/>
    <w:rsid w:val="00B81E61"/>
    <w:rsid w:val="00B81FD5"/>
    <w:rsid w:val="00B820B3"/>
    <w:rsid w:val="00B820F8"/>
    <w:rsid w:val="00B8211A"/>
    <w:rsid w:val="00B82334"/>
    <w:rsid w:val="00B82343"/>
    <w:rsid w:val="00B82424"/>
    <w:rsid w:val="00B8243A"/>
    <w:rsid w:val="00B82479"/>
    <w:rsid w:val="00B82811"/>
    <w:rsid w:val="00B8296E"/>
    <w:rsid w:val="00B8299F"/>
    <w:rsid w:val="00B82A00"/>
    <w:rsid w:val="00B82D96"/>
    <w:rsid w:val="00B82E3B"/>
    <w:rsid w:val="00B82EE4"/>
    <w:rsid w:val="00B8319D"/>
    <w:rsid w:val="00B832CC"/>
    <w:rsid w:val="00B832E7"/>
    <w:rsid w:val="00B8332C"/>
    <w:rsid w:val="00B8360C"/>
    <w:rsid w:val="00B83695"/>
    <w:rsid w:val="00B83720"/>
    <w:rsid w:val="00B839D3"/>
    <w:rsid w:val="00B83A09"/>
    <w:rsid w:val="00B83A3F"/>
    <w:rsid w:val="00B83B17"/>
    <w:rsid w:val="00B83ED8"/>
    <w:rsid w:val="00B83F57"/>
    <w:rsid w:val="00B841E6"/>
    <w:rsid w:val="00B8429F"/>
    <w:rsid w:val="00B84439"/>
    <w:rsid w:val="00B84543"/>
    <w:rsid w:val="00B848D2"/>
    <w:rsid w:val="00B84AA2"/>
    <w:rsid w:val="00B84BDA"/>
    <w:rsid w:val="00B84C09"/>
    <w:rsid w:val="00B84C39"/>
    <w:rsid w:val="00B84DB9"/>
    <w:rsid w:val="00B84DBF"/>
    <w:rsid w:val="00B84E06"/>
    <w:rsid w:val="00B84E9A"/>
    <w:rsid w:val="00B850DA"/>
    <w:rsid w:val="00B8522A"/>
    <w:rsid w:val="00B852CC"/>
    <w:rsid w:val="00B8538F"/>
    <w:rsid w:val="00B853DE"/>
    <w:rsid w:val="00B8545D"/>
    <w:rsid w:val="00B85650"/>
    <w:rsid w:val="00B85791"/>
    <w:rsid w:val="00B858DA"/>
    <w:rsid w:val="00B85ADC"/>
    <w:rsid w:val="00B85B28"/>
    <w:rsid w:val="00B85BC9"/>
    <w:rsid w:val="00B85D3F"/>
    <w:rsid w:val="00B85D40"/>
    <w:rsid w:val="00B85D82"/>
    <w:rsid w:val="00B85EA9"/>
    <w:rsid w:val="00B8602D"/>
    <w:rsid w:val="00B86125"/>
    <w:rsid w:val="00B8615B"/>
    <w:rsid w:val="00B8620C"/>
    <w:rsid w:val="00B8626A"/>
    <w:rsid w:val="00B863D1"/>
    <w:rsid w:val="00B86424"/>
    <w:rsid w:val="00B8649A"/>
    <w:rsid w:val="00B86677"/>
    <w:rsid w:val="00B86679"/>
    <w:rsid w:val="00B8683C"/>
    <w:rsid w:val="00B86961"/>
    <w:rsid w:val="00B869B7"/>
    <w:rsid w:val="00B86BAA"/>
    <w:rsid w:val="00B86BDF"/>
    <w:rsid w:val="00B86E72"/>
    <w:rsid w:val="00B86EAE"/>
    <w:rsid w:val="00B86F9F"/>
    <w:rsid w:val="00B870AD"/>
    <w:rsid w:val="00B872E2"/>
    <w:rsid w:val="00B87539"/>
    <w:rsid w:val="00B87582"/>
    <w:rsid w:val="00B87722"/>
    <w:rsid w:val="00B87749"/>
    <w:rsid w:val="00B877BE"/>
    <w:rsid w:val="00B87823"/>
    <w:rsid w:val="00B8786E"/>
    <w:rsid w:val="00B8789A"/>
    <w:rsid w:val="00B878C3"/>
    <w:rsid w:val="00B87A98"/>
    <w:rsid w:val="00B87C7B"/>
    <w:rsid w:val="00B87CBF"/>
    <w:rsid w:val="00B87F82"/>
    <w:rsid w:val="00B87FD8"/>
    <w:rsid w:val="00B9011A"/>
    <w:rsid w:val="00B90453"/>
    <w:rsid w:val="00B906FF"/>
    <w:rsid w:val="00B90733"/>
    <w:rsid w:val="00B907E8"/>
    <w:rsid w:val="00B90895"/>
    <w:rsid w:val="00B90D35"/>
    <w:rsid w:val="00B90F0B"/>
    <w:rsid w:val="00B90FA7"/>
    <w:rsid w:val="00B9108D"/>
    <w:rsid w:val="00B910DA"/>
    <w:rsid w:val="00B9118C"/>
    <w:rsid w:val="00B912AB"/>
    <w:rsid w:val="00B91421"/>
    <w:rsid w:val="00B91795"/>
    <w:rsid w:val="00B91929"/>
    <w:rsid w:val="00B91A0C"/>
    <w:rsid w:val="00B91FF3"/>
    <w:rsid w:val="00B920F1"/>
    <w:rsid w:val="00B921A5"/>
    <w:rsid w:val="00B9222E"/>
    <w:rsid w:val="00B923F9"/>
    <w:rsid w:val="00B92569"/>
    <w:rsid w:val="00B925DB"/>
    <w:rsid w:val="00B926B3"/>
    <w:rsid w:val="00B92891"/>
    <w:rsid w:val="00B929C4"/>
    <w:rsid w:val="00B92A83"/>
    <w:rsid w:val="00B92A9A"/>
    <w:rsid w:val="00B92D48"/>
    <w:rsid w:val="00B92D94"/>
    <w:rsid w:val="00B92DA4"/>
    <w:rsid w:val="00B93087"/>
    <w:rsid w:val="00B930B4"/>
    <w:rsid w:val="00B931C9"/>
    <w:rsid w:val="00B9354E"/>
    <w:rsid w:val="00B93612"/>
    <w:rsid w:val="00B93615"/>
    <w:rsid w:val="00B93639"/>
    <w:rsid w:val="00B93676"/>
    <w:rsid w:val="00B93707"/>
    <w:rsid w:val="00B9380E"/>
    <w:rsid w:val="00B9382D"/>
    <w:rsid w:val="00B93B6A"/>
    <w:rsid w:val="00B93D48"/>
    <w:rsid w:val="00B93D9D"/>
    <w:rsid w:val="00B94121"/>
    <w:rsid w:val="00B943A8"/>
    <w:rsid w:val="00B944A6"/>
    <w:rsid w:val="00B94731"/>
    <w:rsid w:val="00B94A8B"/>
    <w:rsid w:val="00B94B5F"/>
    <w:rsid w:val="00B94BEA"/>
    <w:rsid w:val="00B94CD2"/>
    <w:rsid w:val="00B94EBE"/>
    <w:rsid w:val="00B95025"/>
    <w:rsid w:val="00B9504E"/>
    <w:rsid w:val="00B95144"/>
    <w:rsid w:val="00B951E0"/>
    <w:rsid w:val="00B9535E"/>
    <w:rsid w:val="00B95400"/>
    <w:rsid w:val="00B954B2"/>
    <w:rsid w:val="00B95536"/>
    <w:rsid w:val="00B95597"/>
    <w:rsid w:val="00B955A7"/>
    <w:rsid w:val="00B955C7"/>
    <w:rsid w:val="00B9566B"/>
    <w:rsid w:val="00B95766"/>
    <w:rsid w:val="00B957DF"/>
    <w:rsid w:val="00B95884"/>
    <w:rsid w:val="00B958AD"/>
    <w:rsid w:val="00B95C06"/>
    <w:rsid w:val="00B95D00"/>
    <w:rsid w:val="00B95E75"/>
    <w:rsid w:val="00B95E80"/>
    <w:rsid w:val="00B95F81"/>
    <w:rsid w:val="00B95FF0"/>
    <w:rsid w:val="00B96054"/>
    <w:rsid w:val="00B96075"/>
    <w:rsid w:val="00B96085"/>
    <w:rsid w:val="00B9614E"/>
    <w:rsid w:val="00B962DA"/>
    <w:rsid w:val="00B963BA"/>
    <w:rsid w:val="00B963ED"/>
    <w:rsid w:val="00B96476"/>
    <w:rsid w:val="00B964B7"/>
    <w:rsid w:val="00B96549"/>
    <w:rsid w:val="00B96646"/>
    <w:rsid w:val="00B9677D"/>
    <w:rsid w:val="00B96A05"/>
    <w:rsid w:val="00B96BB2"/>
    <w:rsid w:val="00B96CB0"/>
    <w:rsid w:val="00B96D08"/>
    <w:rsid w:val="00B96FA4"/>
    <w:rsid w:val="00B973AD"/>
    <w:rsid w:val="00B97400"/>
    <w:rsid w:val="00B97451"/>
    <w:rsid w:val="00B97588"/>
    <w:rsid w:val="00B97617"/>
    <w:rsid w:val="00B978AA"/>
    <w:rsid w:val="00B978D6"/>
    <w:rsid w:val="00B978E0"/>
    <w:rsid w:val="00B979CB"/>
    <w:rsid w:val="00B97A20"/>
    <w:rsid w:val="00B97A95"/>
    <w:rsid w:val="00B97B2C"/>
    <w:rsid w:val="00B97C6C"/>
    <w:rsid w:val="00B97DB6"/>
    <w:rsid w:val="00B97E30"/>
    <w:rsid w:val="00B97E58"/>
    <w:rsid w:val="00B97F81"/>
    <w:rsid w:val="00BA00D6"/>
    <w:rsid w:val="00BA00DD"/>
    <w:rsid w:val="00BA0123"/>
    <w:rsid w:val="00BA0314"/>
    <w:rsid w:val="00BA03E8"/>
    <w:rsid w:val="00BA08AB"/>
    <w:rsid w:val="00BA0AFD"/>
    <w:rsid w:val="00BA0B4C"/>
    <w:rsid w:val="00BA0C91"/>
    <w:rsid w:val="00BA0E74"/>
    <w:rsid w:val="00BA1075"/>
    <w:rsid w:val="00BA107B"/>
    <w:rsid w:val="00BA1303"/>
    <w:rsid w:val="00BA1618"/>
    <w:rsid w:val="00BA164E"/>
    <w:rsid w:val="00BA16E1"/>
    <w:rsid w:val="00BA18DF"/>
    <w:rsid w:val="00BA1C1C"/>
    <w:rsid w:val="00BA1D13"/>
    <w:rsid w:val="00BA1DAA"/>
    <w:rsid w:val="00BA1F88"/>
    <w:rsid w:val="00BA1FD5"/>
    <w:rsid w:val="00BA2032"/>
    <w:rsid w:val="00BA20C6"/>
    <w:rsid w:val="00BA20FE"/>
    <w:rsid w:val="00BA253A"/>
    <w:rsid w:val="00BA2575"/>
    <w:rsid w:val="00BA272E"/>
    <w:rsid w:val="00BA2805"/>
    <w:rsid w:val="00BA2AA4"/>
    <w:rsid w:val="00BA2AA5"/>
    <w:rsid w:val="00BA2B10"/>
    <w:rsid w:val="00BA2BF2"/>
    <w:rsid w:val="00BA2E91"/>
    <w:rsid w:val="00BA3369"/>
    <w:rsid w:val="00BA356E"/>
    <w:rsid w:val="00BA3620"/>
    <w:rsid w:val="00BA37E0"/>
    <w:rsid w:val="00BA38B8"/>
    <w:rsid w:val="00BA3934"/>
    <w:rsid w:val="00BA39F6"/>
    <w:rsid w:val="00BA3ABD"/>
    <w:rsid w:val="00BA3AC7"/>
    <w:rsid w:val="00BA3B0E"/>
    <w:rsid w:val="00BA3C80"/>
    <w:rsid w:val="00BA3C94"/>
    <w:rsid w:val="00BA3EE2"/>
    <w:rsid w:val="00BA4024"/>
    <w:rsid w:val="00BA4056"/>
    <w:rsid w:val="00BA4162"/>
    <w:rsid w:val="00BA434C"/>
    <w:rsid w:val="00BA43AA"/>
    <w:rsid w:val="00BA44EA"/>
    <w:rsid w:val="00BA4548"/>
    <w:rsid w:val="00BA483B"/>
    <w:rsid w:val="00BA4A27"/>
    <w:rsid w:val="00BA4B31"/>
    <w:rsid w:val="00BA4B9C"/>
    <w:rsid w:val="00BA4E41"/>
    <w:rsid w:val="00BA4FB7"/>
    <w:rsid w:val="00BA5058"/>
    <w:rsid w:val="00BA514E"/>
    <w:rsid w:val="00BA533E"/>
    <w:rsid w:val="00BA5362"/>
    <w:rsid w:val="00BA53E6"/>
    <w:rsid w:val="00BA5415"/>
    <w:rsid w:val="00BA544A"/>
    <w:rsid w:val="00BA54DC"/>
    <w:rsid w:val="00BA5633"/>
    <w:rsid w:val="00BA588E"/>
    <w:rsid w:val="00BA5999"/>
    <w:rsid w:val="00BA5A1E"/>
    <w:rsid w:val="00BA5BDF"/>
    <w:rsid w:val="00BA5C17"/>
    <w:rsid w:val="00BA5C2B"/>
    <w:rsid w:val="00BA5CC7"/>
    <w:rsid w:val="00BA5CED"/>
    <w:rsid w:val="00BA5D6F"/>
    <w:rsid w:val="00BA61B6"/>
    <w:rsid w:val="00BA6201"/>
    <w:rsid w:val="00BA6378"/>
    <w:rsid w:val="00BA6447"/>
    <w:rsid w:val="00BA65EF"/>
    <w:rsid w:val="00BA660C"/>
    <w:rsid w:val="00BA6866"/>
    <w:rsid w:val="00BA6868"/>
    <w:rsid w:val="00BA68C9"/>
    <w:rsid w:val="00BA6AC8"/>
    <w:rsid w:val="00BA6B16"/>
    <w:rsid w:val="00BA6BAF"/>
    <w:rsid w:val="00BA6C05"/>
    <w:rsid w:val="00BA6CBB"/>
    <w:rsid w:val="00BA6D62"/>
    <w:rsid w:val="00BA6ED2"/>
    <w:rsid w:val="00BA6F86"/>
    <w:rsid w:val="00BA6FA1"/>
    <w:rsid w:val="00BA6FDC"/>
    <w:rsid w:val="00BA70EE"/>
    <w:rsid w:val="00BA70F1"/>
    <w:rsid w:val="00BA73D4"/>
    <w:rsid w:val="00BA7551"/>
    <w:rsid w:val="00BA7AAD"/>
    <w:rsid w:val="00BA7C12"/>
    <w:rsid w:val="00BA7C21"/>
    <w:rsid w:val="00BA7C56"/>
    <w:rsid w:val="00BA7E0F"/>
    <w:rsid w:val="00BA7FCB"/>
    <w:rsid w:val="00BB0074"/>
    <w:rsid w:val="00BB016F"/>
    <w:rsid w:val="00BB01A0"/>
    <w:rsid w:val="00BB01A7"/>
    <w:rsid w:val="00BB01F4"/>
    <w:rsid w:val="00BB021A"/>
    <w:rsid w:val="00BB022D"/>
    <w:rsid w:val="00BB036A"/>
    <w:rsid w:val="00BB0547"/>
    <w:rsid w:val="00BB056E"/>
    <w:rsid w:val="00BB0646"/>
    <w:rsid w:val="00BB076E"/>
    <w:rsid w:val="00BB0798"/>
    <w:rsid w:val="00BB07D0"/>
    <w:rsid w:val="00BB08C0"/>
    <w:rsid w:val="00BB0919"/>
    <w:rsid w:val="00BB0A19"/>
    <w:rsid w:val="00BB0ABD"/>
    <w:rsid w:val="00BB0AF3"/>
    <w:rsid w:val="00BB0CE7"/>
    <w:rsid w:val="00BB0D4B"/>
    <w:rsid w:val="00BB0F04"/>
    <w:rsid w:val="00BB0F20"/>
    <w:rsid w:val="00BB1033"/>
    <w:rsid w:val="00BB1296"/>
    <w:rsid w:val="00BB129C"/>
    <w:rsid w:val="00BB1330"/>
    <w:rsid w:val="00BB1404"/>
    <w:rsid w:val="00BB16A0"/>
    <w:rsid w:val="00BB16BE"/>
    <w:rsid w:val="00BB16F9"/>
    <w:rsid w:val="00BB179D"/>
    <w:rsid w:val="00BB18FC"/>
    <w:rsid w:val="00BB1905"/>
    <w:rsid w:val="00BB19CE"/>
    <w:rsid w:val="00BB1B7F"/>
    <w:rsid w:val="00BB1C72"/>
    <w:rsid w:val="00BB1CEA"/>
    <w:rsid w:val="00BB1D4E"/>
    <w:rsid w:val="00BB1F13"/>
    <w:rsid w:val="00BB1F66"/>
    <w:rsid w:val="00BB1F73"/>
    <w:rsid w:val="00BB2039"/>
    <w:rsid w:val="00BB21A8"/>
    <w:rsid w:val="00BB223B"/>
    <w:rsid w:val="00BB2324"/>
    <w:rsid w:val="00BB2326"/>
    <w:rsid w:val="00BB2360"/>
    <w:rsid w:val="00BB2392"/>
    <w:rsid w:val="00BB25BD"/>
    <w:rsid w:val="00BB2665"/>
    <w:rsid w:val="00BB26F2"/>
    <w:rsid w:val="00BB271C"/>
    <w:rsid w:val="00BB274D"/>
    <w:rsid w:val="00BB2779"/>
    <w:rsid w:val="00BB285F"/>
    <w:rsid w:val="00BB28EB"/>
    <w:rsid w:val="00BB2B66"/>
    <w:rsid w:val="00BB2CD8"/>
    <w:rsid w:val="00BB324F"/>
    <w:rsid w:val="00BB3536"/>
    <w:rsid w:val="00BB377C"/>
    <w:rsid w:val="00BB37F8"/>
    <w:rsid w:val="00BB3897"/>
    <w:rsid w:val="00BB3902"/>
    <w:rsid w:val="00BB3986"/>
    <w:rsid w:val="00BB3A18"/>
    <w:rsid w:val="00BB3A68"/>
    <w:rsid w:val="00BB3B0A"/>
    <w:rsid w:val="00BB3D23"/>
    <w:rsid w:val="00BB3DAB"/>
    <w:rsid w:val="00BB3E7D"/>
    <w:rsid w:val="00BB3ECB"/>
    <w:rsid w:val="00BB3FEB"/>
    <w:rsid w:val="00BB4251"/>
    <w:rsid w:val="00BB42FB"/>
    <w:rsid w:val="00BB44BE"/>
    <w:rsid w:val="00BB469D"/>
    <w:rsid w:val="00BB4832"/>
    <w:rsid w:val="00BB484C"/>
    <w:rsid w:val="00BB48B0"/>
    <w:rsid w:val="00BB495B"/>
    <w:rsid w:val="00BB4B61"/>
    <w:rsid w:val="00BB4E89"/>
    <w:rsid w:val="00BB4F0D"/>
    <w:rsid w:val="00BB5551"/>
    <w:rsid w:val="00BB5558"/>
    <w:rsid w:val="00BB55E9"/>
    <w:rsid w:val="00BB5637"/>
    <w:rsid w:val="00BB5680"/>
    <w:rsid w:val="00BB57A5"/>
    <w:rsid w:val="00BB57A9"/>
    <w:rsid w:val="00BB58C1"/>
    <w:rsid w:val="00BB5B74"/>
    <w:rsid w:val="00BB5BB8"/>
    <w:rsid w:val="00BB5C6F"/>
    <w:rsid w:val="00BB5E8F"/>
    <w:rsid w:val="00BB6124"/>
    <w:rsid w:val="00BB619C"/>
    <w:rsid w:val="00BB6339"/>
    <w:rsid w:val="00BB6404"/>
    <w:rsid w:val="00BB6554"/>
    <w:rsid w:val="00BB66E7"/>
    <w:rsid w:val="00BB686C"/>
    <w:rsid w:val="00BB6B1F"/>
    <w:rsid w:val="00BB6FE9"/>
    <w:rsid w:val="00BB706D"/>
    <w:rsid w:val="00BB708D"/>
    <w:rsid w:val="00BB70DC"/>
    <w:rsid w:val="00BB72A2"/>
    <w:rsid w:val="00BB72CA"/>
    <w:rsid w:val="00BB73F2"/>
    <w:rsid w:val="00BB75C2"/>
    <w:rsid w:val="00BB76BE"/>
    <w:rsid w:val="00BB779C"/>
    <w:rsid w:val="00BB790B"/>
    <w:rsid w:val="00BB7B82"/>
    <w:rsid w:val="00BB7D1F"/>
    <w:rsid w:val="00BB7DE4"/>
    <w:rsid w:val="00BB7F3A"/>
    <w:rsid w:val="00BB7F54"/>
    <w:rsid w:val="00BB7F9F"/>
    <w:rsid w:val="00BB7FB2"/>
    <w:rsid w:val="00BC01DE"/>
    <w:rsid w:val="00BC02F7"/>
    <w:rsid w:val="00BC0509"/>
    <w:rsid w:val="00BC0688"/>
    <w:rsid w:val="00BC07CA"/>
    <w:rsid w:val="00BC0822"/>
    <w:rsid w:val="00BC0939"/>
    <w:rsid w:val="00BC093A"/>
    <w:rsid w:val="00BC0942"/>
    <w:rsid w:val="00BC0BDD"/>
    <w:rsid w:val="00BC0C95"/>
    <w:rsid w:val="00BC0CFC"/>
    <w:rsid w:val="00BC0E71"/>
    <w:rsid w:val="00BC0EED"/>
    <w:rsid w:val="00BC10FB"/>
    <w:rsid w:val="00BC1337"/>
    <w:rsid w:val="00BC150C"/>
    <w:rsid w:val="00BC16A9"/>
    <w:rsid w:val="00BC1701"/>
    <w:rsid w:val="00BC189C"/>
    <w:rsid w:val="00BC1A63"/>
    <w:rsid w:val="00BC1B51"/>
    <w:rsid w:val="00BC1B8D"/>
    <w:rsid w:val="00BC1D0A"/>
    <w:rsid w:val="00BC1DC9"/>
    <w:rsid w:val="00BC1F5D"/>
    <w:rsid w:val="00BC2010"/>
    <w:rsid w:val="00BC212D"/>
    <w:rsid w:val="00BC2134"/>
    <w:rsid w:val="00BC213F"/>
    <w:rsid w:val="00BC216C"/>
    <w:rsid w:val="00BC2229"/>
    <w:rsid w:val="00BC2315"/>
    <w:rsid w:val="00BC235E"/>
    <w:rsid w:val="00BC2655"/>
    <w:rsid w:val="00BC269F"/>
    <w:rsid w:val="00BC28A2"/>
    <w:rsid w:val="00BC2A8B"/>
    <w:rsid w:val="00BC2DDD"/>
    <w:rsid w:val="00BC2E8F"/>
    <w:rsid w:val="00BC2EB2"/>
    <w:rsid w:val="00BC2FE8"/>
    <w:rsid w:val="00BC30CF"/>
    <w:rsid w:val="00BC3120"/>
    <w:rsid w:val="00BC319E"/>
    <w:rsid w:val="00BC31B8"/>
    <w:rsid w:val="00BC31ED"/>
    <w:rsid w:val="00BC3370"/>
    <w:rsid w:val="00BC344A"/>
    <w:rsid w:val="00BC345D"/>
    <w:rsid w:val="00BC3658"/>
    <w:rsid w:val="00BC3798"/>
    <w:rsid w:val="00BC3867"/>
    <w:rsid w:val="00BC39CC"/>
    <w:rsid w:val="00BC3B22"/>
    <w:rsid w:val="00BC3B58"/>
    <w:rsid w:val="00BC3BBA"/>
    <w:rsid w:val="00BC3C39"/>
    <w:rsid w:val="00BC3CE6"/>
    <w:rsid w:val="00BC3D7B"/>
    <w:rsid w:val="00BC410F"/>
    <w:rsid w:val="00BC4193"/>
    <w:rsid w:val="00BC433B"/>
    <w:rsid w:val="00BC4406"/>
    <w:rsid w:val="00BC44E9"/>
    <w:rsid w:val="00BC4585"/>
    <w:rsid w:val="00BC48CB"/>
    <w:rsid w:val="00BC4918"/>
    <w:rsid w:val="00BC4B02"/>
    <w:rsid w:val="00BC4DAD"/>
    <w:rsid w:val="00BC5158"/>
    <w:rsid w:val="00BC51ED"/>
    <w:rsid w:val="00BC5203"/>
    <w:rsid w:val="00BC523F"/>
    <w:rsid w:val="00BC55B6"/>
    <w:rsid w:val="00BC5627"/>
    <w:rsid w:val="00BC571C"/>
    <w:rsid w:val="00BC57C4"/>
    <w:rsid w:val="00BC57FD"/>
    <w:rsid w:val="00BC58BB"/>
    <w:rsid w:val="00BC59C0"/>
    <w:rsid w:val="00BC5AAE"/>
    <w:rsid w:val="00BC5B1A"/>
    <w:rsid w:val="00BC5BA8"/>
    <w:rsid w:val="00BC5BAD"/>
    <w:rsid w:val="00BC5CDD"/>
    <w:rsid w:val="00BC5E85"/>
    <w:rsid w:val="00BC5FA0"/>
    <w:rsid w:val="00BC605E"/>
    <w:rsid w:val="00BC61B6"/>
    <w:rsid w:val="00BC6245"/>
    <w:rsid w:val="00BC62AB"/>
    <w:rsid w:val="00BC6310"/>
    <w:rsid w:val="00BC63E9"/>
    <w:rsid w:val="00BC66A4"/>
    <w:rsid w:val="00BC67C5"/>
    <w:rsid w:val="00BC680D"/>
    <w:rsid w:val="00BC6810"/>
    <w:rsid w:val="00BC692E"/>
    <w:rsid w:val="00BC6A65"/>
    <w:rsid w:val="00BC6AC5"/>
    <w:rsid w:val="00BC6B6D"/>
    <w:rsid w:val="00BC6DFC"/>
    <w:rsid w:val="00BC6EA3"/>
    <w:rsid w:val="00BC6F36"/>
    <w:rsid w:val="00BC6FFE"/>
    <w:rsid w:val="00BC7121"/>
    <w:rsid w:val="00BC73B3"/>
    <w:rsid w:val="00BC77DE"/>
    <w:rsid w:val="00BC7A5C"/>
    <w:rsid w:val="00BC7B4F"/>
    <w:rsid w:val="00BC7DF9"/>
    <w:rsid w:val="00BC7F91"/>
    <w:rsid w:val="00BD0055"/>
    <w:rsid w:val="00BD0084"/>
    <w:rsid w:val="00BD01F9"/>
    <w:rsid w:val="00BD0238"/>
    <w:rsid w:val="00BD0310"/>
    <w:rsid w:val="00BD034B"/>
    <w:rsid w:val="00BD04D8"/>
    <w:rsid w:val="00BD05A8"/>
    <w:rsid w:val="00BD06BC"/>
    <w:rsid w:val="00BD06DA"/>
    <w:rsid w:val="00BD0728"/>
    <w:rsid w:val="00BD080F"/>
    <w:rsid w:val="00BD0823"/>
    <w:rsid w:val="00BD09A7"/>
    <w:rsid w:val="00BD0AD9"/>
    <w:rsid w:val="00BD0B05"/>
    <w:rsid w:val="00BD0EB1"/>
    <w:rsid w:val="00BD0EE5"/>
    <w:rsid w:val="00BD1202"/>
    <w:rsid w:val="00BD1443"/>
    <w:rsid w:val="00BD173D"/>
    <w:rsid w:val="00BD1749"/>
    <w:rsid w:val="00BD17AF"/>
    <w:rsid w:val="00BD1C42"/>
    <w:rsid w:val="00BD1C56"/>
    <w:rsid w:val="00BD1E1E"/>
    <w:rsid w:val="00BD1E22"/>
    <w:rsid w:val="00BD1EAC"/>
    <w:rsid w:val="00BD21C3"/>
    <w:rsid w:val="00BD229F"/>
    <w:rsid w:val="00BD23BE"/>
    <w:rsid w:val="00BD248B"/>
    <w:rsid w:val="00BD24B0"/>
    <w:rsid w:val="00BD24E4"/>
    <w:rsid w:val="00BD25E2"/>
    <w:rsid w:val="00BD2764"/>
    <w:rsid w:val="00BD2827"/>
    <w:rsid w:val="00BD2CF0"/>
    <w:rsid w:val="00BD2D67"/>
    <w:rsid w:val="00BD2DE6"/>
    <w:rsid w:val="00BD305F"/>
    <w:rsid w:val="00BD312E"/>
    <w:rsid w:val="00BD3280"/>
    <w:rsid w:val="00BD332C"/>
    <w:rsid w:val="00BD33AD"/>
    <w:rsid w:val="00BD358F"/>
    <w:rsid w:val="00BD3811"/>
    <w:rsid w:val="00BD38B3"/>
    <w:rsid w:val="00BD398E"/>
    <w:rsid w:val="00BD3B23"/>
    <w:rsid w:val="00BD3BF3"/>
    <w:rsid w:val="00BD3C56"/>
    <w:rsid w:val="00BD3CB9"/>
    <w:rsid w:val="00BD3D74"/>
    <w:rsid w:val="00BD3EE2"/>
    <w:rsid w:val="00BD406A"/>
    <w:rsid w:val="00BD4206"/>
    <w:rsid w:val="00BD4367"/>
    <w:rsid w:val="00BD43D1"/>
    <w:rsid w:val="00BD4544"/>
    <w:rsid w:val="00BD465A"/>
    <w:rsid w:val="00BD46CC"/>
    <w:rsid w:val="00BD482B"/>
    <w:rsid w:val="00BD4899"/>
    <w:rsid w:val="00BD4AEB"/>
    <w:rsid w:val="00BD4C2D"/>
    <w:rsid w:val="00BD4E1A"/>
    <w:rsid w:val="00BD4E2E"/>
    <w:rsid w:val="00BD4EF5"/>
    <w:rsid w:val="00BD5055"/>
    <w:rsid w:val="00BD5111"/>
    <w:rsid w:val="00BD5292"/>
    <w:rsid w:val="00BD5420"/>
    <w:rsid w:val="00BD5554"/>
    <w:rsid w:val="00BD5671"/>
    <w:rsid w:val="00BD5A76"/>
    <w:rsid w:val="00BD5AB5"/>
    <w:rsid w:val="00BD5DE8"/>
    <w:rsid w:val="00BD5E51"/>
    <w:rsid w:val="00BD60FB"/>
    <w:rsid w:val="00BD6185"/>
    <w:rsid w:val="00BD6278"/>
    <w:rsid w:val="00BD62C0"/>
    <w:rsid w:val="00BD637A"/>
    <w:rsid w:val="00BD64DE"/>
    <w:rsid w:val="00BD650C"/>
    <w:rsid w:val="00BD65A5"/>
    <w:rsid w:val="00BD65A6"/>
    <w:rsid w:val="00BD66B3"/>
    <w:rsid w:val="00BD674D"/>
    <w:rsid w:val="00BD6756"/>
    <w:rsid w:val="00BD68F1"/>
    <w:rsid w:val="00BD69D9"/>
    <w:rsid w:val="00BD6B5C"/>
    <w:rsid w:val="00BD6C71"/>
    <w:rsid w:val="00BD6CA1"/>
    <w:rsid w:val="00BD6CE6"/>
    <w:rsid w:val="00BD6D70"/>
    <w:rsid w:val="00BD6FAF"/>
    <w:rsid w:val="00BD71EA"/>
    <w:rsid w:val="00BD7222"/>
    <w:rsid w:val="00BD7247"/>
    <w:rsid w:val="00BD72AE"/>
    <w:rsid w:val="00BD7490"/>
    <w:rsid w:val="00BD753A"/>
    <w:rsid w:val="00BD75CB"/>
    <w:rsid w:val="00BD76F6"/>
    <w:rsid w:val="00BD7A2A"/>
    <w:rsid w:val="00BD7A7B"/>
    <w:rsid w:val="00BD7AAF"/>
    <w:rsid w:val="00BD7CBC"/>
    <w:rsid w:val="00BD7CEA"/>
    <w:rsid w:val="00BD7F35"/>
    <w:rsid w:val="00BE00EB"/>
    <w:rsid w:val="00BE011E"/>
    <w:rsid w:val="00BE01F7"/>
    <w:rsid w:val="00BE02A3"/>
    <w:rsid w:val="00BE03FD"/>
    <w:rsid w:val="00BE08F7"/>
    <w:rsid w:val="00BE0D92"/>
    <w:rsid w:val="00BE0D9A"/>
    <w:rsid w:val="00BE0EFE"/>
    <w:rsid w:val="00BE10B9"/>
    <w:rsid w:val="00BE113D"/>
    <w:rsid w:val="00BE114A"/>
    <w:rsid w:val="00BE1158"/>
    <w:rsid w:val="00BE1179"/>
    <w:rsid w:val="00BE11DB"/>
    <w:rsid w:val="00BE1328"/>
    <w:rsid w:val="00BE1343"/>
    <w:rsid w:val="00BE14B6"/>
    <w:rsid w:val="00BE152A"/>
    <w:rsid w:val="00BE1641"/>
    <w:rsid w:val="00BE1700"/>
    <w:rsid w:val="00BE1A7D"/>
    <w:rsid w:val="00BE1B44"/>
    <w:rsid w:val="00BE1C96"/>
    <w:rsid w:val="00BE1D01"/>
    <w:rsid w:val="00BE1E05"/>
    <w:rsid w:val="00BE1FD7"/>
    <w:rsid w:val="00BE20B2"/>
    <w:rsid w:val="00BE23D5"/>
    <w:rsid w:val="00BE249D"/>
    <w:rsid w:val="00BE26CB"/>
    <w:rsid w:val="00BE271E"/>
    <w:rsid w:val="00BE275E"/>
    <w:rsid w:val="00BE283F"/>
    <w:rsid w:val="00BE2877"/>
    <w:rsid w:val="00BE29FB"/>
    <w:rsid w:val="00BE2A26"/>
    <w:rsid w:val="00BE2AEE"/>
    <w:rsid w:val="00BE2B24"/>
    <w:rsid w:val="00BE2BAB"/>
    <w:rsid w:val="00BE2CB3"/>
    <w:rsid w:val="00BE2E1C"/>
    <w:rsid w:val="00BE2ECF"/>
    <w:rsid w:val="00BE2F45"/>
    <w:rsid w:val="00BE32AE"/>
    <w:rsid w:val="00BE336D"/>
    <w:rsid w:val="00BE3493"/>
    <w:rsid w:val="00BE3604"/>
    <w:rsid w:val="00BE3777"/>
    <w:rsid w:val="00BE395A"/>
    <w:rsid w:val="00BE3990"/>
    <w:rsid w:val="00BE39D8"/>
    <w:rsid w:val="00BE3F58"/>
    <w:rsid w:val="00BE3FE1"/>
    <w:rsid w:val="00BE4146"/>
    <w:rsid w:val="00BE4374"/>
    <w:rsid w:val="00BE43BD"/>
    <w:rsid w:val="00BE47B4"/>
    <w:rsid w:val="00BE4B53"/>
    <w:rsid w:val="00BE4BD7"/>
    <w:rsid w:val="00BE4C15"/>
    <w:rsid w:val="00BE4C6D"/>
    <w:rsid w:val="00BE4CDB"/>
    <w:rsid w:val="00BE4DEB"/>
    <w:rsid w:val="00BE4DFB"/>
    <w:rsid w:val="00BE4E4F"/>
    <w:rsid w:val="00BE4F8D"/>
    <w:rsid w:val="00BE519C"/>
    <w:rsid w:val="00BE52E5"/>
    <w:rsid w:val="00BE53E9"/>
    <w:rsid w:val="00BE5477"/>
    <w:rsid w:val="00BE54A5"/>
    <w:rsid w:val="00BE54CE"/>
    <w:rsid w:val="00BE5689"/>
    <w:rsid w:val="00BE56BF"/>
    <w:rsid w:val="00BE5AC9"/>
    <w:rsid w:val="00BE5AF4"/>
    <w:rsid w:val="00BE5B99"/>
    <w:rsid w:val="00BE5D78"/>
    <w:rsid w:val="00BE5E08"/>
    <w:rsid w:val="00BE6086"/>
    <w:rsid w:val="00BE625C"/>
    <w:rsid w:val="00BE640E"/>
    <w:rsid w:val="00BE6627"/>
    <w:rsid w:val="00BE66C7"/>
    <w:rsid w:val="00BE69F2"/>
    <w:rsid w:val="00BE6D5F"/>
    <w:rsid w:val="00BE6D8A"/>
    <w:rsid w:val="00BE6E00"/>
    <w:rsid w:val="00BE6F63"/>
    <w:rsid w:val="00BE7123"/>
    <w:rsid w:val="00BE723D"/>
    <w:rsid w:val="00BE727F"/>
    <w:rsid w:val="00BE72C4"/>
    <w:rsid w:val="00BE742B"/>
    <w:rsid w:val="00BE7435"/>
    <w:rsid w:val="00BE745D"/>
    <w:rsid w:val="00BE755A"/>
    <w:rsid w:val="00BE764B"/>
    <w:rsid w:val="00BE7813"/>
    <w:rsid w:val="00BE782C"/>
    <w:rsid w:val="00BE797B"/>
    <w:rsid w:val="00BE7A11"/>
    <w:rsid w:val="00BE7A94"/>
    <w:rsid w:val="00BE7C78"/>
    <w:rsid w:val="00BE7F1F"/>
    <w:rsid w:val="00BE7F74"/>
    <w:rsid w:val="00BF0221"/>
    <w:rsid w:val="00BF0272"/>
    <w:rsid w:val="00BF074C"/>
    <w:rsid w:val="00BF0A6A"/>
    <w:rsid w:val="00BF0CBD"/>
    <w:rsid w:val="00BF0D76"/>
    <w:rsid w:val="00BF0DFB"/>
    <w:rsid w:val="00BF0F7B"/>
    <w:rsid w:val="00BF1055"/>
    <w:rsid w:val="00BF1104"/>
    <w:rsid w:val="00BF11DA"/>
    <w:rsid w:val="00BF127B"/>
    <w:rsid w:val="00BF14F6"/>
    <w:rsid w:val="00BF153C"/>
    <w:rsid w:val="00BF1736"/>
    <w:rsid w:val="00BF182A"/>
    <w:rsid w:val="00BF1992"/>
    <w:rsid w:val="00BF1CBA"/>
    <w:rsid w:val="00BF1F2D"/>
    <w:rsid w:val="00BF1FBD"/>
    <w:rsid w:val="00BF2548"/>
    <w:rsid w:val="00BF25D3"/>
    <w:rsid w:val="00BF2693"/>
    <w:rsid w:val="00BF269A"/>
    <w:rsid w:val="00BF2797"/>
    <w:rsid w:val="00BF2866"/>
    <w:rsid w:val="00BF28E2"/>
    <w:rsid w:val="00BF293E"/>
    <w:rsid w:val="00BF2D16"/>
    <w:rsid w:val="00BF30C1"/>
    <w:rsid w:val="00BF3235"/>
    <w:rsid w:val="00BF323D"/>
    <w:rsid w:val="00BF3381"/>
    <w:rsid w:val="00BF357A"/>
    <w:rsid w:val="00BF36CC"/>
    <w:rsid w:val="00BF3746"/>
    <w:rsid w:val="00BF377E"/>
    <w:rsid w:val="00BF3910"/>
    <w:rsid w:val="00BF3C7B"/>
    <w:rsid w:val="00BF3F4C"/>
    <w:rsid w:val="00BF3F89"/>
    <w:rsid w:val="00BF4200"/>
    <w:rsid w:val="00BF4206"/>
    <w:rsid w:val="00BF445F"/>
    <w:rsid w:val="00BF44B1"/>
    <w:rsid w:val="00BF44E7"/>
    <w:rsid w:val="00BF45FE"/>
    <w:rsid w:val="00BF481D"/>
    <w:rsid w:val="00BF49F7"/>
    <w:rsid w:val="00BF4A33"/>
    <w:rsid w:val="00BF4AAC"/>
    <w:rsid w:val="00BF4AAE"/>
    <w:rsid w:val="00BF4B13"/>
    <w:rsid w:val="00BF4BFF"/>
    <w:rsid w:val="00BF4E0F"/>
    <w:rsid w:val="00BF52C3"/>
    <w:rsid w:val="00BF5326"/>
    <w:rsid w:val="00BF5422"/>
    <w:rsid w:val="00BF5461"/>
    <w:rsid w:val="00BF562B"/>
    <w:rsid w:val="00BF56DE"/>
    <w:rsid w:val="00BF56FF"/>
    <w:rsid w:val="00BF57EE"/>
    <w:rsid w:val="00BF5930"/>
    <w:rsid w:val="00BF599C"/>
    <w:rsid w:val="00BF5A2D"/>
    <w:rsid w:val="00BF5B05"/>
    <w:rsid w:val="00BF5B8B"/>
    <w:rsid w:val="00BF5C8D"/>
    <w:rsid w:val="00BF5CF9"/>
    <w:rsid w:val="00BF5DFB"/>
    <w:rsid w:val="00BF5E3D"/>
    <w:rsid w:val="00BF5EFA"/>
    <w:rsid w:val="00BF5F28"/>
    <w:rsid w:val="00BF625D"/>
    <w:rsid w:val="00BF62FA"/>
    <w:rsid w:val="00BF637D"/>
    <w:rsid w:val="00BF6547"/>
    <w:rsid w:val="00BF654B"/>
    <w:rsid w:val="00BF656C"/>
    <w:rsid w:val="00BF663C"/>
    <w:rsid w:val="00BF67B1"/>
    <w:rsid w:val="00BF6AF2"/>
    <w:rsid w:val="00BF6CAF"/>
    <w:rsid w:val="00BF6D86"/>
    <w:rsid w:val="00BF6FBF"/>
    <w:rsid w:val="00BF705D"/>
    <w:rsid w:val="00BF721E"/>
    <w:rsid w:val="00BF726A"/>
    <w:rsid w:val="00BF742C"/>
    <w:rsid w:val="00BF7588"/>
    <w:rsid w:val="00BF75B1"/>
    <w:rsid w:val="00BF76AE"/>
    <w:rsid w:val="00BF774C"/>
    <w:rsid w:val="00BF775A"/>
    <w:rsid w:val="00BF7959"/>
    <w:rsid w:val="00BF79D6"/>
    <w:rsid w:val="00BF7BBD"/>
    <w:rsid w:val="00BF7BED"/>
    <w:rsid w:val="00BF7D13"/>
    <w:rsid w:val="00BF7D72"/>
    <w:rsid w:val="00BF7F7A"/>
    <w:rsid w:val="00BF7FB4"/>
    <w:rsid w:val="00C0023A"/>
    <w:rsid w:val="00C00304"/>
    <w:rsid w:val="00C004B2"/>
    <w:rsid w:val="00C00533"/>
    <w:rsid w:val="00C0079A"/>
    <w:rsid w:val="00C00812"/>
    <w:rsid w:val="00C008E6"/>
    <w:rsid w:val="00C009F1"/>
    <w:rsid w:val="00C00A48"/>
    <w:rsid w:val="00C00AF8"/>
    <w:rsid w:val="00C00C9E"/>
    <w:rsid w:val="00C00D02"/>
    <w:rsid w:val="00C00D0F"/>
    <w:rsid w:val="00C00E30"/>
    <w:rsid w:val="00C00EEB"/>
    <w:rsid w:val="00C00F9E"/>
    <w:rsid w:val="00C00FC6"/>
    <w:rsid w:val="00C00FFE"/>
    <w:rsid w:val="00C01189"/>
    <w:rsid w:val="00C01497"/>
    <w:rsid w:val="00C014DE"/>
    <w:rsid w:val="00C015A7"/>
    <w:rsid w:val="00C01611"/>
    <w:rsid w:val="00C0183B"/>
    <w:rsid w:val="00C0191B"/>
    <w:rsid w:val="00C01C9B"/>
    <w:rsid w:val="00C021BB"/>
    <w:rsid w:val="00C02385"/>
    <w:rsid w:val="00C023B3"/>
    <w:rsid w:val="00C023DB"/>
    <w:rsid w:val="00C0254E"/>
    <w:rsid w:val="00C0272D"/>
    <w:rsid w:val="00C02811"/>
    <w:rsid w:val="00C02854"/>
    <w:rsid w:val="00C02B83"/>
    <w:rsid w:val="00C02C9B"/>
    <w:rsid w:val="00C02E99"/>
    <w:rsid w:val="00C02F31"/>
    <w:rsid w:val="00C02F45"/>
    <w:rsid w:val="00C02F63"/>
    <w:rsid w:val="00C02F65"/>
    <w:rsid w:val="00C02FF2"/>
    <w:rsid w:val="00C03192"/>
    <w:rsid w:val="00C033E2"/>
    <w:rsid w:val="00C0356A"/>
    <w:rsid w:val="00C0359B"/>
    <w:rsid w:val="00C03842"/>
    <w:rsid w:val="00C03859"/>
    <w:rsid w:val="00C03B62"/>
    <w:rsid w:val="00C03C9D"/>
    <w:rsid w:val="00C03CEA"/>
    <w:rsid w:val="00C03D85"/>
    <w:rsid w:val="00C04043"/>
    <w:rsid w:val="00C04079"/>
    <w:rsid w:val="00C041F6"/>
    <w:rsid w:val="00C04250"/>
    <w:rsid w:val="00C042AE"/>
    <w:rsid w:val="00C042BE"/>
    <w:rsid w:val="00C0440B"/>
    <w:rsid w:val="00C0447C"/>
    <w:rsid w:val="00C044F1"/>
    <w:rsid w:val="00C0450A"/>
    <w:rsid w:val="00C046B2"/>
    <w:rsid w:val="00C0491E"/>
    <w:rsid w:val="00C0494E"/>
    <w:rsid w:val="00C04E01"/>
    <w:rsid w:val="00C04E31"/>
    <w:rsid w:val="00C04E5C"/>
    <w:rsid w:val="00C04F5F"/>
    <w:rsid w:val="00C04FF3"/>
    <w:rsid w:val="00C05024"/>
    <w:rsid w:val="00C05154"/>
    <w:rsid w:val="00C051A9"/>
    <w:rsid w:val="00C05391"/>
    <w:rsid w:val="00C053EB"/>
    <w:rsid w:val="00C05570"/>
    <w:rsid w:val="00C058FF"/>
    <w:rsid w:val="00C0598D"/>
    <w:rsid w:val="00C05A8D"/>
    <w:rsid w:val="00C05BC1"/>
    <w:rsid w:val="00C05D17"/>
    <w:rsid w:val="00C060D5"/>
    <w:rsid w:val="00C0627E"/>
    <w:rsid w:val="00C063EB"/>
    <w:rsid w:val="00C064DE"/>
    <w:rsid w:val="00C065FA"/>
    <w:rsid w:val="00C0670C"/>
    <w:rsid w:val="00C067BE"/>
    <w:rsid w:val="00C06A3D"/>
    <w:rsid w:val="00C06C42"/>
    <w:rsid w:val="00C06E6F"/>
    <w:rsid w:val="00C06ECF"/>
    <w:rsid w:val="00C06F7B"/>
    <w:rsid w:val="00C07099"/>
    <w:rsid w:val="00C0730B"/>
    <w:rsid w:val="00C0736E"/>
    <w:rsid w:val="00C07388"/>
    <w:rsid w:val="00C07422"/>
    <w:rsid w:val="00C07453"/>
    <w:rsid w:val="00C074B5"/>
    <w:rsid w:val="00C075BE"/>
    <w:rsid w:val="00C0778C"/>
    <w:rsid w:val="00C077C7"/>
    <w:rsid w:val="00C07A12"/>
    <w:rsid w:val="00C07A74"/>
    <w:rsid w:val="00C07BD4"/>
    <w:rsid w:val="00C07C37"/>
    <w:rsid w:val="00C07E48"/>
    <w:rsid w:val="00C07E8E"/>
    <w:rsid w:val="00C07EF3"/>
    <w:rsid w:val="00C07EF4"/>
    <w:rsid w:val="00C10276"/>
    <w:rsid w:val="00C102F2"/>
    <w:rsid w:val="00C103C1"/>
    <w:rsid w:val="00C104D0"/>
    <w:rsid w:val="00C108C0"/>
    <w:rsid w:val="00C1091C"/>
    <w:rsid w:val="00C109EA"/>
    <w:rsid w:val="00C10A0B"/>
    <w:rsid w:val="00C10B77"/>
    <w:rsid w:val="00C10BB0"/>
    <w:rsid w:val="00C10BBC"/>
    <w:rsid w:val="00C10BCB"/>
    <w:rsid w:val="00C10E58"/>
    <w:rsid w:val="00C1117F"/>
    <w:rsid w:val="00C112CD"/>
    <w:rsid w:val="00C112D2"/>
    <w:rsid w:val="00C1139D"/>
    <w:rsid w:val="00C11443"/>
    <w:rsid w:val="00C1150D"/>
    <w:rsid w:val="00C11596"/>
    <w:rsid w:val="00C116BD"/>
    <w:rsid w:val="00C11744"/>
    <w:rsid w:val="00C117C8"/>
    <w:rsid w:val="00C118BF"/>
    <w:rsid w:val="00C11B5D"/>
    <w:rsid w:val="00C11D4D"/>
    <w:rsid w:val="00C11F03"/>
    <w:rsid w:val="00C11F54"/>
    <w:rsid w:val="00C121FC"/>
    <w:rsid w:val="00C1227D"/>
    <w:rsid w:val="00C123C9"/>
    <w:rsid w:val="00C12448"/>
    <w:rsid w:val="00C12482"/>
    <w:rsid w:val="00C1249F"/>
    <w:rsid w:val="00C12534"/>
    <w:rsid w:val="00C12554"/>
    <w:rsid w:val="00C125BB"/>
    <w:rsid w:val="00C12775"/>
    <w:rsid w:val="00C12858"/>
    <w:rsid w:val="00C1292C"/>
    <w:rsid w:val="00C12987"/>
    <w:rsid w:val="00C12C93"/>
    <w:rsid w:val="00C12D18"/>
    <w:rsid w:val="00C12D6F"/>
    <w:rsid w:val="00C13106"/>
    <w:rsid w:val="00C13158"/>
    <w:rsid w:val="00C13378"/>
    <w:rsid w:val="00C13436"/>
    <w:rsid w:val="00C13510"/>
    <w:rsid w:val="00C13605"/>
    <w:rsid w:val="00C138FE"/>
    <w:rsid w:val="00C13904"/>
    <w:rsid w:val="00C13C62"/>
    <w:rsid w:val="00C13E23"/>
    <w:rsid w:val="00C1434C"/>
    <w:rsid w:val="00C144F1"/>
    <w:rsid w:val="00C1467D"/>
    <w:rsid w:val="00C14A19"/>
    <w:rsid w:val="00C14A85"/>
    <w:rsid w:val="00C14C5D"/>
    <w:rsid w:val="00C14D7E"/>
    <w:rsid w:val="00C14E09"/>
    <w:rsid w:val="00C14EC9"/>
    <w:rsid w:val="00C153B2"/>
    <w:rsid w:val="00C15617"/>
    <w:rsid w:val="00C15730"/>
    <w:rsid w:val="00C159ED"/>
    <w:rsid w:val="00C15BC3"/>
    <w:rsid w:val="00C15C8F"/>
    <w:rsid w:val="00C15DC7"/>
    <w:rsid w:val="00C15E03"/>
    <w:rsid w:val="00C15E3E"/>
    <w:rsid w:val="00C15E69"/>
    <w:rsid w:val="00C15F56"/>
    <w:rsid w:val="00C15FB3"/>
    <w:rsid w:val="00C16125"/>
    <w:rsid w:val="00C1613A"/>
    <w:rsid w:val="00C16291"/>
    <w:rsid w:val="00C162F2"/>
    <w:rsid w:val="00C1642E"/>
    <w:rsid w:val="00C164FE"/>
    <w:rsid w:val="00C16529"/>
    <w:rsid w:val="00C1656D"/>
    <w:rsid w:val="00C166A2"/>
    <w:rsid w:val="00C16702"/>
    <w:rsid w:val="00C16707"/>
    <w:rsid w:val="00C16916"/>
    <w:rsid w:val="00C16B20"/>
    <w:rsid w:val="00C16D6C"/>
    <w:rsid w:val="00C16F71"/>
    <w:rsid w:val="00C16F9A"/>
    <w:rsid w:val="00C1705A"/>
    <w:rsid w:val="00C1719C"/>
    <w:rsid w:val="00C171C3"/>
    <w:rsid w:val="00C17230"/>
    <w:rsid w:val="00C1748C"/>
    <w:rsid w:val="00C1756F"/>
    <w:rsid w:val="00C175EF"/>
    <w:rsid w:val="00C1760D"/>
    <w:rsid w:val="00C1763C"/>
    <w:rsid w:val="00C1764B"/>
    <w:rsid w:val="00C176FB"/>
    <w:rsid w:val="00C178C4"/>
    <w:rsid w:val="00C179F2"/>
    <w:rsid w:val="00C17AD0"/>
    <w:rsid w:val="00C17BAF"/>
    <w:rsid w:val="00C17D13"/>
    <w:rsid w:val="00C17D37"/>
    <w:rsid w:val="00C17DD8"/>
    <w:rsid w:val="00C17EF5"/>
    <w:rsid w:val="00C20079"/>
    <w:rsid w:val="00C20148"/>
    <w:rsid w:val="00C2019B"/>
    <w:rsid w:val="00C2042B"/>
    <w:rsid w:val="00C20453"/>
    <w:rsid w:val="00C208B6"/>
    <w:rsid w:val="00C20902"/>
    <w:rsid w:val="00C209E1"/>
    <w:rsid w:val="00C209F0"/>
    <w:rsid w:val="00C20B2D"/>
    <w:rsid w:val="00C20BE4"/>
    <w:rsid w:val="00C20D83"/>
    <w:rsid w:val="00C20EC1"/>
    <w:rsid w:val="00C211DE"/>
    <w:rsid w:val="00C211F0"/>
    <w:rsid w:val="00C212DF"/>
    <w:rsid w:val="00C214BA"/>
    <w:rsid w:val="00C2156D"/>
    <w:rsid w:val="00C217ED"/>
    <w:rsid w:val="00C21AC3"/>
    <w:rsid w:val="00C21B57"/>
    <w:rsid w:val="00C21B7E"/>
    <w:rsid w:val="00C21BDC"/>
    <w:rsid w:val="00C21D0A"/>
    <w:rsid w:val="00C21DEF"/>
    <w:rsid w:val="00C21DFD"/>
    <w:rsid w:val="00C22015"/>
    <w:rsid w:val="00C22033"/>
    <w:rsid w:val="00C22091"/>
    <w:rsid w:val="00C220C5"/>
    <w:rsid w:val="00C22172"/>
    <w:rsid w:val="00C22340"/>
    <w:rsid w:val="00C225FA"/>
    <w:rsid w:val="00C227D2"/>
    <w:rsid w:val="00C2298E"/>
    <w:rsid w:val="00C22A3D"/>
    <w:rsid w:val="00C22BC2"/>
    <w:rsid w:val="00C22CCB"/>
    <w:rsid w:val="00C22DE2"/>
    <w:rsid w:val="00C22F62"/>
    <w:rsid w:val="00C23012"/>
    <w:rsid w:val="00C23064"/>
    <w:rsid w:val="00C23170"/>
    <w:rsid w:val="00C231CA"/>
    <w:rsid w:val="00C23395"/>
    <w:rsid w:val="00C233D3"/>
    <w:rsid w:val="00C23552"/>
    <w:rsid w:val="00C23566"/>
    <w:rsid w:val="00C2363D"/>
    <w:rsid w:val="00C23752"/>
    <w:rsid w:val="00C237FC"/>
    <w:rsid w:val="00C238BE"/>
    <w:rsid w:val="00C23942"/>
    <w:rsid w:val="00C23952"/>
    <w:rsid w:val="00C2396B"/>
    <w:rsid w:val="00C23C90"/>
    <w:rsid w:val="00C23ED9"/>
    <w:rsid w:val="00C24175"/>
    <w:rsid w:val="00C24224"/>
    <w:rsid w:val="00C24364"/>
    <w:rsid w:val="00C24448"/>
    <w:rsid w:val="00C24626"/>
    <w:rsid w:val="00C246ED"/>
    <w:rsid w:val="00C247EC"/>
    <w:rsid w:val="00C24983"/>
    <w:rsid w:val="00C24ADB"/>
    <w:rsid w:val="00C24B11"/>
    <w:rsid w:val="00C24B82"/>
    <w:rsid w:val="00C24DA6"/>
    <w:rsid w:val="00C24E8E"/>
    <w:rsid w:val="00C24EA8"/>
    <w:rsid w:val="00C24F8F"/>
    <w:rsid w:val="00C24FB4"/>
    <w:rsid w:val="00C2504B"/>
    <w:rsid w:val="00C25197"/>
    <w:rsid w:val="00C253C3"/>
    <w:rsid w:val="00C25531"/>
    <w:rsid w:val="00C2553A"/>
    <w:rsid w:val="00C25890"/>
    <w:rsid w:val="00C25963"/>
    <w:rsid w:val="00C259CF"/>
    <w:rsid w:val="00C25AD2"/>
    <w:rsid w:val="00C25B74"/>
    <w:rsid w:val="00C25B7C"/>
    <w:rsid w:val="00C25C4B"/>
    <w:rsid w:val="00C25D4A"/>
    <w:rsid w:val="00C25E00"/>
    <w:rsid w:val="00C25F0E"/>
    <w:rsid w:val="00C25F0F"/>
    <w:rsid w:val="00C25FC5"/>
    <w:rsid w:val="00C26191"/>
    <w:rsid w:val="00C262E5"/>
    <w:rsid w:val="00C264B3"/>
    <w:rsid w:val="00C2651D"/>
    <w:rsid w:val="00C26834"/>
    <w:rsid w:val="00C26B0F"/>
    <w:rsid w:val="00C26DB6"/>
    <w:rsid w:val="00C26E50"/>
    <w:rsid w:val="00C2711D"/>
    <w:rsid w:val="00C27325"/>
    <w:rsid w:val="00C274B8"/>
    <w:rsid w:val="00C2786B"/>
    <w:rsid w:val="00C278B6"/>
    <w:rsid w:val="00C27932"/>
    <w:rsid w:val="00C27945"/>
    <w:rsid w:val="00C2798D"/>
    <w:rsid w:val="00C279D7"/>
    <w:rsid w:val="00C279DD"/>
    <w:rsid w:val="00C27AE1"/>
    <w:rsid w:val="00C27C25"/>
    <w:rsid w:val="00C27CBD"/>
    <w:rsid w:val="00C27DF5"/>
    <w:rsid w:val="00C27FC9"/>
    <w:rsid w:val="00C27FE6"/>
    <w:rsid w:val="00C30016"/>
    <w:rsid w:val="00C30047"/>
    <w:rsid w:val="00C301CC"/>
    <w:rsid w:val="00C3031C"/>
    <w:rsid w:val="00C30357"/>
    <w:rsid w:val="00C30365"/>
    <w:rsid w:val="00C303FD"/>
    <w:rsid w:val="00C307E8"/>
    <w:rsid w:val="00C30886"/>
    <w:rsid w:val="00C30A15"/>
    <w:rsid w:val="00C30A4C"/>
    <w:rsid w:val="00C30AFD"/>
    <w:rsid w:val="00C30B8C"/>
    <w:rsid w:val="00C30E19"/>
    <w:rsid w:val="00C30E83"/>
    <w:rsid w:val="00C3100B"/>
    <w:rsid w:val="00C3101C"/>
    <w:rsid w:val="00C311F5"/>
    <w:rsid w:val="00C312BE"/>
    <w:rsid w:val="00C314F4"/>
    <w:rsid w:val="00C31668"/>
    <w:rsid w:val="00C316C5"/>
    <w:rsid w:val="00C31843"/>
    <w:rsid w:val="00C318F7"/>
    <w:rsid w:val="00C31BE2"/>
    <w:rsid w:val="00C31DCF"/>
    <w:rsid w:val="00C31E29"/>
    <w:rsid w:val="00C31F68"/>
    <w:rsid w:val="00C32187"/>
    <w:rsid w:val="00C3222C"/>
    <w:rsid w:val="00C322BF"/>
    <w:rsid w:val="00C322EC"/>
    <w:rsid w:val="00C323B0"/>
    <w:rsid w:val="00C325C0"/>
    <w:rsid w:val="00C3273A"/>
    <w:rsid w:val="00C32793"/>
    <w:rsid w:val="00C32A33"/>
    <w:rsid w:val="00C32AAA"/>
    <w:rsid w:val="00C32B97"/>
    <w:rsid w:val="00C32BCC"/>
    <w:rsid w:val="00C32C85"/>
    <w:rsid w:val="00C32CEA"/>
    <w:rsid w:val="00C32DA0"/>
    <w:rsid w:val="00C32E0C"/>
    <w:rsid w:val="00C32F55"/>
    <w:rsid w:val="00C332E3"/>
    <w:rsid w:val="00C333A4"/>
    <w:rsid w:val="00C33526"/>
    <w:rsid w:val="00C33560"/>
    <w:rsid w:val="00C33723"/>
    <w:rsid w:val="00C33807"/>
    <w:rsid w:val="00C33A5C"/>
    <w:rsid w:val="00C33A9E"/>
    <w:rsid w:val="00C33ADF"/>
    <w:rsid w:val="00C33D91"/>
    <w:rsid w:val="00C33F47"/>
    <w:rsid w:val="00C33FBA"/>
    <w:rsid w:val="00C340F3"/>
    <w:rsid w:val="00C3414A"/>
    <w:rsid w:val="00C344F0"/>
    <w:rsid w:val="00C34576"/>
    <w:rsid w:val="00C345AA"/>
    <w:rsid w:val="00C3466F"/>
    <w:rsid w:val="00C34674"/>
    <w:rsid w:val="00C34800"/>
    <w:rsid w:val="00C348DF"/>
    <w:rsid w:val="00C34986"/>
    <w:rsid w:val="00C349C7"/>
    <w:rsid w:val="00C34A5C"/>
    <w:rsid w:val="00C34B46"/>
    <w:rsid w:val="00C34C86"/>
    <w:rsid w:val="00C34CBB"/>
    <w:rsid w:val="00C34E8D"/>
    <w:rsid w:val="00C34FC5"/>
    <w:rsid w:val="00C350C3"/>
    <w:rsid w:val="00C35164"/>
    <w:rsid w:val="00C35197"/>
    <w:rsid w:val="00C352F6"/>
    <w:rsid w:val="00C35329"/>
    <w:rsid w:val="00C3546F"/>
    <w:rsid w:val="00C35576"/>
    <w:rsid w:val="00C35796"/>
    <w:rsid w:val="00C35818"/>
    <w:rsid w:val="00C35887"/>
    <w:rsid w:val="00C358B1"/>
    <w:rsid w:val="00C3592E"/>
    <w:rsid w:val="00C359A7"/>
    <w:rsid w:val="00C35ECD"/>
    <w:rsid w:val="00C35F74"/>
    <w:rsid w:val="00C36835"/>
    <w:rsid w:val="00C368D6"/>
    <w:rsid w:val="00C369D5"/>
    <w:rsid w:val="00C36B7A"/>
    <w:rsid w:val="00C36C74"/>
    <w:rsid w:val="00C36DE0"/>
    <w:rsid w:val="00C36F6B"/>
    <w:rsid w:val="00C37173"/>
    <w:rsid w:val="00C371D8"/>
    <w:rsid w:val="00C371DB"/>
    <w:rsid w:val="00C37273"/>
    <w:rsid w:val="00C372AB"/>
    <w:rsid w:val="00C3733A"/>
    <w:rsid w:val="00C37430"/>
    <w:rsid w:val="00C375C3"/>
    <w:rsid w:val="00C379A0"/>
    <w:rsid w:val="00C37C0E"/>
    <w:rsid w:val="00C37E84"/>
    <w:rsid w:val="00C37E94"/>
    <w:rsid w:val="00C37EC0"/>
    <w:rsid w:val="00C37F94"/>
    <w:rsid w:val="00C4006B"/>
    <w:rsid w:val="00C40106"/>
    <w:rsid w:val="00C4017C"/>
    <w:rsid w:val="00C401C3"/>
    <w:rsid w:val="00C403BE"/>
    <w:rsid w:val="00C404EF"/>
    <w:rsid w:val="00C405A7"/>
    <w:rsid w:val="00C405DE"/>
    <w:rsid w:val="00C40640"/>
    <w:rsid w:val="00C408CA"/>
    <w:rsid w:val="00C40BA8"/>
    <w:rsid w:val="00C40BBC"/>
    <w:rsid w:val="00C40E11"/>
    <w:rsid w:val="00C40E95"/>
    <w:rsid w:val="00C41104"/>
    <w:rsid w:val="00C41181"/>
    <w:rsid w:val="00C411DB"/>
    <w:rsid w:val="00C41253"/>
    <w:rsid w:val="00C4131C"/>
    <w:rsid w:val="00C413F2"/>
    <w:rsid w:val="00C4145A"/>
    <w:rsid w:val="00C41483"/>
    <w:rsid w:val="00C41512"/>
    <w:rsid w:val="00C41539"/>
    <w:rsid w:val="00C417F7"/>
    <w:rsid w:val="00C41893"/>
    <w:rsid w:val="00C4195B"/>
    <w:rsid w:val="00C41AD1"/>
    <w:rsid w:val="00C41B0F"/>
    <w:rsid w:val="00C41B97"/>
    <w:rsid w:val="00C41C94"/>
    <w:rsid w:val="00C41FB8"/>
    <w:rsid w:val="00C4209D"/>
    <w:rsid w:val="00C420CD"/>
    <w:rsid w:val="00C4234C"/>
    <w:rsid w:val="00C4247E"/>
    <w:rsid w:val="00C42558"/>
    <w:rsid w:val="00C426AB"/>
    <w:rsid w:val="00C426B3"/>
    <w:rsid w:val="00C426D7"/>
    <w:rsid w:val="00C426E1"/>
    <w:rsid w:val="00C42851"/>
    <w:rsid w:val="00C42A61"/>
    <w:rsid w:val="00C42BDA"/>
    <w:rsid w:val="00C42CC2"/>
    <w:rsid w:val="00C42D14"/>
    <w:rsid w:val="00C42D94"/>
    <w:rsid w:val="00C42DF8"/>
    <w:rsid w:val="00C4310E"/>
    <w:rsid w:val="00C432CF"/>
    <w:rsid w:val="00C4341F"/>
    <w:rsid w:val="00C4347B"/>
    <w:rsid w:val="00C436E7"/>
    <w:rsid w:val="00C4384E"/>
    <w:rsid w:val="00C4395A"/>
    <w:rsid w:val="00C43AFF"/>
    <w:rsid w:val="00C43B65"/>
    <w:rsid w:val="00C43C0E"/>
    <w:rsid w:val="00C43C5B"/>
    <w:rsid w:val="00C43D86"/>
    <w:rsid w:val="00C43EC5"/>
    <w:rsid w:val="00C43F6C"/>
    <w:rsid w:val="00C440BF"/>
    <w:rsid w:val="00C4413F"/>
    <w:rsid w:val="00C442A3"/>
    <w:rsid w:val="00C4439E"/>
    <w:rsid w:val="00C443AC"/>
    <w:rsid w:val="00C44455"/>
    <w:rsid w:val="00C446D3"/>
    <w:rsid w:val="00C44786"/>
    <w:rsid w:val="00C448EE"/>
    <w:rsid w:val="00C449B1"/>
    <w:rsid w:val="00C449D2"/>
    <w:rsid w:val="00C44B03"/>
    <w:rsid w:val="00C44BED"/>
    <w:rsid w:val="00C44CC7"/>
    <w:rsid w:val="00C44E54"/>
    <w:rsid w:val="00C4507B"/>
    <w:rsid w:val="00C45152"/>
    <w:rsid w:val="00C452FB"/>
    <w:rsid w:val="00C45363"/>
    <w:rsid w:val="00C4543D"/>
    <w:rsid w:val="00C455F3"/>
    <w:rsid w:val="00C45610"/>
    <w:rsid w:val="00C457E2"/>
    <w:rsid w:val="00C4583D"/>
    <w:rsid w:val="00C458A8"/>
    <w:rsid w:val="00C458F4"/>
    <w:rsid w:val="00C45960"/>
    <w:rsid w:val="00C45B8E"/>
    <w:rsid w:val="00C45BD1"/>
    <w:rsid w:val="00C45C20"/>
    <w:rsid w:val="00C45C6B"/>
    <w:rsid w:val="00C45D19"/>
    <w:rsid w:val="00C45D1C"/>
    <w:rsid w:val="00C45D4C"/>
    <w:rsid w:val="00C45D54"/>
    <w:rsid w:val="00C45FEA"/>
    <w:rsid w:val="00C45FFD"/>
    <w:rsid w:val="00C46260"/>
    <w:rsid w:val="00C46423"/>
    <w:rsid w:val="00C464BA"/>
    <w:rsid w:val="00C464F9"/>
    <w:rsid w:val="00C4651A"/>
    <w:rsid w:val="00C465FA"/>
    <w:rsid w:val="00C466C2"/>
    <w:rsid w:val="00C466CE"/>
    <w:rsid w:val="00C46745"/>
    <w:rsid w:val="00C4692D"/>
    <w:rsid w:val="00C469C6"/>
    <w:rsid w:val="00C46C6D"/>
    <w:rsid w:val="00C46E31"/>
    <w:rsid w:val="00C46E78"/>
    <w:rsid w:val="00C470DD"/>
    <w:rsid w:val="00C471C3"/>
    <w:rsid w:val="00C4726B"/>
    <w:rsid w:val="00C47362"/>
    <w:rsid w:val="00C4739F"/>
    <w:rsid w:val="00C4750D"/>
    <w:rsid w:val="00C47531"/>
    <w:rsid w:val="00C4766F"/>
    <w:rsid w:val="00C4771E"/>
    <w:rsid w:val="00C47769"/>
    <w:rsid w:val="00C47BB5"/>
    <w:rsid w:val="00C47C05"/>
    <w:rsid w:val="00C47C59"/>
    <w:rsid w:val="00C47C68"/>
    <w:rsid w:val="00C47D65"/>
    <w:rsid w:val="00C47E55"/>
    <w:rsid w:val="00C500B5"/>
    <w:rsid w:val="00C5028C"/>
    <w:rsid w:val="00C502D7"/>
    <w:rsid w:val="00C50370"/>
    <w:rsid w:val="00C50435"/>
    <w:rsid w:val="00C504B4"/>
    <w:rsid w:val="00C505A4"/>
    <w:rsid w:val="00C50729"/>
    <w:rsid w:val="00C5074E"/>
    <w:rsid w:val="00C50760"/>
    <w:rsid w:val="00C5078E"/>
    <w:rsid w:val="00C50854"/>
    <w:rsid w:val="00C508D9"/>
    <w:rsid w:val="00C5099F"/>
    <w:rsid w:val="00C50B14"/>
    <w:rsid w:val="00C50B24"/>
    <w:rsid w:val="00C50B3B"/>
    <w:rsid w:val="00C50BF3"/>
    <w:rsid w:val="00C50C40"/>
    <w:rsid w:val="00C50EE0"/>
    <w:rsid w:val="00C50F10"/>
    <w:rsid w:val="00C510AE"/>
    <w:rsid w:val="00C51259"/>
    <w:rsid w:val="00C51424"/>
    <w:rsid w:val="00C51482"/>
    <w:rsid w:val="00C514D1"/>
    <w:rsid w:val="00C5155F"/>
    <w:rsid w:val="00C515D2"/>
    <w:rsid w:val="00C517B0"/>
    <w:rsid w:val="00C519CB"/>
    <w:rsid w:val="00C519FE"/>
    <w:rsid w:val="00C51A2F"/>
    <w:rsid w:val="00C51A56"/>
    <w:rsid w:val="00C51ACF"/>
    <w:rsid w:val="00C51B40"/>
    <w:rsid w:val="00C51CBB"/>
    <w:rsid w:val="00C51DC9"/>
    <w:rsid w:val="00C51F55"/>
    <w:rsid w:val="00C52007"/>
    <w:rsid w:val="00C520B5"/>
    <w:rsid w:val="00C52506"/>
    <w:rsid w:val="00C52618"/>
    <w:rsid w:val="00C52637"/>
    <w:rsid w:val="00C52680"/>
    <w:rsid w:val="00C52B6C"/>
    <w:rsid w:val="00C52C72"/>
    <w:rsid w:val="00C52CB0"/>
    <w:rsid w:val="00C52DEF"/>
    <w:rsid w:val="00C52F56"/>
    <w:rsid w:val="00C52F6B"/>
    <w:rsid w:val="00C52F79"/>
    <w:rsid w:val="00C531E1"/>
    <w:rsid w:val="00C5328E"/>
    <w:rsid w:val="00C5353D"/>
    <w:rsid w:val="00C535A8"/>
    <w:rsid w:val="00C538EB"/>
    <w:rsid w:val="00C53A69"/>
    <w:rsid w:val="00C53BB8"/>
    <w:rsid w:val="00C53BC3"/>
    <w:rsid w:val="00C53CAF"/>
    <w:rsid w:val="00C53DD7"/>
    <w:rsid w:val="00C53E03"/>
    <w:rsid w:val="00C53E65"/>
    <w:rsid w:val="00C53E69"/>
    <w:rsid w:val="00C53F89"/>
    <w:rsid w:val="00C53FE4"/>
    <w:rsid w:val="00C5407B"/>
    <w:rsid w:val="00C540B8"/>
    <w:rsid w:val="00C540DE"/>
    <w:rsid w:val="00C54427"/>
    <w:rsid w:val="00C545F2"/>
    <w:rsid w:val="00C5466B"/>
    <w:rsid w:val="00C546AA"/>
    <w:rsid w:val="00C549C2"/>
    <w:rsid w:val="00C54AA1"/>
    <w:rsid w:val="00C54AE4"/>
    <w:rsid w:val="00C54B21"/>
    <w:rsid w:val="00C54BAE"/>
    <w:rsid w:val="00C54C62"/>
    <w:rsid w:val="00C54E49"/>
    <w:rsid w:val="00C55112"/>
    <w:rsid w:val="00C55451"/>
    <w:rsid w:val="00C55795"/>
    <w:rsid w:val="00C557A4"/>
    <w:rsid w:val="00C557AB"/>
    <w:rsid w:val="00C559A6"/>
    <w:rsid w:val="00C559A9"/>
    <w:rsid w:val="00C55BA6"/>
    <w:rsid w:val="00C55F24"/>
    <w:rsid w:val="00C55FA5"/>
    <w:rsid w:val="00C56135"/>
    <w:rsid w:val="00C562AA"/>
    <w:rsid w:val="00C566E0"/>
    <w:rsid w:val="00C56A95"/>
    <w:rsid w:val="00C56AE2"/>
    <w:rsid w:val="00C56BF4"/>
    <w:rsid w:val="00C56BF9"/>
    <w:rsid w:val="00C56C69"/>
    <w:rsid w:val="00C56DC3"/>
    <w:rsid w:val="00C56F32"/>
    <w:rsid w:val="00C56FB0"/>
    <w:rsid w:val="00C5706F"/>
    <w:rsid w:val="00C57548"/>
    <w:rsid w:val="00C575E1"/>
    <w:rsid w:val="00C5761A"/>
    <w:rsid w:val="00C576FC"/>
    <w:rsid w:val="00C57702"/>
    <w:rsid w:val="00C5773B"/>
    <w:rsid w:val="00C5779C"/>
    <w:rsid w:val="00C57A21"/>
    <w:rsid w:val="00C57B59"/>
    <w:rsid w:val="00C57B5D"/>
    <w:rsid w:val="00C57C92"/>
    <w:rsid w:val="00C57FAA"/>
    <w:rsid w:val="00C60040"/>
    <w:rsid w:val="00C60050"/>
    <w:rsid w:val="00C600CE"/>
    <w:rsid w:val="00C6010D"/>
    <w:rsid w:val="00C60295"/>
    <w:rsid w:val="00C602F1"/>
    <w:rsid w:val="00C60506"/>
    <w:rsid w:val="00C60A97"/>
    <w:rsid w:val="00C60AE4"/>
    <w:rsid w:val="00C60B08"/>
    <w:rsid w:val="00C60B23"/>
    <w:rsid w:val="00C60C73"/>
    <w:rsid w:val="00C60CBB"/>
    <w:rsid w:val="00C60D15"/>
    <w:rsid w:val="00C60E2F"/>
    <w:rsid w:val="00C60F74"/>
    <w:rsid w:val="00C610C7"/>
    <w:rsid w:val="00C61173"/>
    <w:rsid w:val="00C612FC"/>
    <w:rsid w:val="00C61302"/>
    <w:rsid w:val="00C61353"/>
    <w:rsid w:val="00C61386"/>
    <w:rsid w:val="00C613AE"/>
    <w:rsid w:val="00C61471"/>
    <w:rsid w:val="00C61997"/>
    <w:rsid w:val="00C619E6"/>
    <w:rsid w:val="00C61A5E"/>
    <w:rsid w:val="00C61BCE"/>
    <w:rsid w:val="00C61D56"/>
    <w:rsid w:val="00C61D99"/>
    <w:rsid w:val="00C61E64"/>
    <w:rsid w:val="00C61F3D"/>
    <w:rsid w:val="00C62103"/>
    <w:rsid w:val="00C6219A"/>
    <w:rsid w:val="00C6236E"/>
    <w:rsid w:val="00C62666"/>
    <w:rsid w:val="00C62897"/>
    <w:rsid w:val="00C6293D"/>
    <w:rsid w:val="00C629AC"/>
    <w:rsid w:val="00C62A14"/>
    <w:rsid w:val="00C62C84"/>
    <w:rsid w:val="00C63139"/>
    <w:rsid w:val="00C63143"/>
    <w:rsid w:val="00C631C9"/>
    <w:rsid w:val="00C63303"/>
    <w:rsid w:val="00C63427"/>
    <w:rsid w:val="00C6352A"/>
    <w:rsid w:val="00C63897"/>
    <w:rsid w:val="00C63AB6"/>
    <w:rsid w:val="00C63B01"/>
    <w:rsid w:val="00C63CC5"/>
    <w:rsid w:val="00C63F4E"/>
    <w:rsid w:val="00C64026"/>
    <w:rsid w:val="00C6404A"/>
    <w:rsid w:val="00C64357"/>
    <w:rsid w:val="00C643DB"/>
    <w:rsid w:val="00C64429"/>
    <w:rsid w:val="00C644B7"/>
    <w:rsid w:val="00C644F2"/>
    <w:rsid w:val="00C645B0"/>
    <w:rsid w:val="00C6474B"/>
    <w:rsid w:val="00C6477E"/>
    <w:rsid w:val="00C64783"/>
    <w:rsid w:val="00C64836"/>
    <w:rsid w:val="00C648EB"/>
    <w:rsid w:val="00C6499D"/>
    <w:rsid w:val="00C64AA7"/>
    <w:rsid w:val="00C64BA8"/>
    <w:rsid w:val="00C64E86"/>
    <w:rsid w:val="00C64F8E"/>
    <w:rsid w:val="00C6505C"/>
    <w:rsid w:val="00C6518A"/>
    <w:rsid w:val="00C65194"/>
    <w:rsid w:val="00C651B6"/>
    <w:rsid w:val="00C65349"/>
    <w:rsid w:val="00C65641"/>
    <w:rsid w:val="00C656B6"/>
    <w:rsid w:val="00C6575E"/>
    <w:rsid w:val="00C657BE"/>
    <w:rsid w:val="00C65800"/>
    <w:rsid w:val="00C6592D"/>
    <w:rsid w:val="00C65A44"/>
    <w:rsid w:val="00C65B6F"/>
    <w:rsid w:val="00C65BB4"/>
    <w:rsid w:val="00C65BEF"/>
    <w:rsid w:val="00C65C10"/>
    <w:rsid w:val="00C65C80"/>
    <w:rsid w:val="00C65EC0"/>
    <w:rsid w:val="00C65F18"/>
    <w:rsid w:val="00C65FF4"/>
    <w:rsid w:val="00C66080"/>
    <w:rsid w:val="00C660F5"/>
    <w:rsid w:val="00C66118"/>
    <w:rsid w:val="00C662CA"/>
    <w:rsid w:val="00C662CE"/>
    <w:rsid w:val="00C662E3"/>
    <w:rsid w:val="00C66472"/>
    <w:rsid w:val="00C664F2"/>
    <w:rsid w:val="00C66551"/>
    <w:rsid w:val="00C665EC"/>
    <w:rsid w:val="00C666DA"/>
    <w:rsid w:val="00C66776"/>
    <w:rsid w:val="00C667A4"/>
    <w:rsid w:val="00C668FB"/>
    <w:rsid w:val="00C6696A"/>
    <w:rsid w:val="00C66A1D"/>
    <w:rsid w:val="00C66E08"/>
    <w:rsid w:val="00C66E79"/>
    <w:rsid w:val="00C67082"/>
    <w:rsid w:val="00C67096"/>
    <w:rsid w:val="00C670C1"/>
    <w:rsid w:val="00C67115"/>
    <w:rsid w:val="00C676FC"/>
    <w:rsid w:val="00C67A12"/>
    <w:rsid w:val="00C67A18"/>
    <w:rsid w:val="00C67A97"/>
    <w:rsid w:val="00C67B43"/>
    <w:rsid w:val="00C67EBE"/>
    <w:rsid w:val="00C67FB9"/>
    <w:rsid w:val="00C7007F"/>
    <w:rsid w:val="00C700E6"/>
    <w:rsid w:val="00C703C6"/>
    <w:rsid w:val="00C70444"/>
    <w:rsid w:val="00C705F5"/>
    <w:rsid w:val="00C707A6"/>
    <w:rsid w:val="00C707FF"/>
    <w:rsid w:val="00C70803"/>
    <w:rsid w:val="00C7098D"/>
    <w:rsid w:val="00C70C26"/>
    <w:rsid w:val="00C70CEA"/>
    <w:rsid w:val="00C70D32"/>
    <w:rsid w:val="00C70DF9"/>
    <w:rsid w:val="00C70F4B"/>
    <w:rsid w:val="00C7103C"/>
    <w:rsid w:val="00C710A1"/>
    <w:rsid w:val="00C71306"/>
    <w:rsid w:val="00C715B0"/>
    <w:rsid w:val="00C71649"/>
    <w:rsid w:val="00C717F6"/>
    <w:rsid w:val="00C71A83"/>
    <w:rsid w:val="00C71B2A"/>
    <w:rsid w:val="00C71C7E"/>
    <w:rsid w:val="00C71CF3"/>
    <w:rsid w:val="00C71E0C"/>
    <w:rsid w:val="00C71E69"/>
    <w:rsid w:val="00C721F9"/>
    <w:rsid w:val="00C722DB"/>
    <w:rsid w:val="00C7271D"/>
    <w:rsid w:val="00C72823"/>
    <w:rsid w:val="00C728A9"/>
    <w:rsid w:val="00C728EB"/>
    <w:rsid w:val="00C728ED"/>
    <w:rsid w:val="00C72900"/>
    <w:rsid w:val="00C72903"/>
    <w:rsid w:val="00C729F4"/>
    <w:rsid w:val="00C72A03"/>
    <w:rsid w:val="00C72CA8"/>
    <w:rsid w:val="00C72F39"/>
    <w:rsid w:val="00C72F6F"/>
    <w:rsid w:val="00C730E0"/>
    <w:rsid w:val="00C730F0"/>
    <w:rsid w:val="00C7314B"/>
    <w:rsid w:val="00C731CC"/>
    <w:rsid w:val="00C7327C"/>
    <w:rsid w:val="00C73387"/>
    <w:rsid w:val="00C73399"/>
    <w:rsid w:val="00C734C4"/>
    <w:rsid w:val="00C7363E"/>
    <w:rsid w:val="00C7368E"/>
    <w:rsid w:val="00C73899"/>
    <w:rsid w:val="00C739A3"/>
    <w:rsid w:val="00C73A93"/>
    <w:rsid w:val="00C73ABE"/>
    <w:rsid w:val="00C73B84"/>
    <w:rsid w:val="00C73C06"/>
    <w:rsid w:val="00C73CEA"/>
    <w:rsid w:val="00C73E51"/>
    <w:rsid w:val="00C73EFF"/>
    <w:rsid w:val="00C740C8"/>
    <w:rsid w:val="00C74114"/>
    <w:rsid w:val="00C74171"/>
    <w:rsid w:val="00C743CC"/>
    <w:rsid w:val="00C743EA"/>
    <w:rsid w:val="00C745E9"/>
    <w:rsid w:val="00C745EE"/>
    <w:rsid w:val="00C746AF"/>
    <w:rsid w:val="00C74761"/>
    <w:rsid w:val="00C747D5"/>
    <w:rsid w:val="00C74963"/>
    <w:rsid w:val="00C74A0B"/>
    <w:rsid w:val="00C74AB2"/>
    <w:rsid w:val="00C74B35"/>
    <w:rsid w:val="00C74BA8"/>
    <w:rsid w:val="00C74FEF"/>
    <w:rsid w:val="00C751C5"/>
    <w:rsid w:val="00C752A8"/>
    <w:rsid w:val="00C754C0"/>
    <w:rsid w:val="00C755C8"/>
    <w:rsid w:val="00C7568D"/>
    <w:rsid w:val="00C75704"/>
    <w:rsid w:val="00C7581B"/>
    <w:rsid w:val="00C758AC"/>
    <w:rsid w:val="00C75A43"/>
    <w:rsid w:val="00C75C04"/>
    <w:rsid w:val="00C75C1C"/>
    <w:rsid w:val="00C76084"/>
    <w:rsid w:val="00C7609F"/>
    <w:rsid w:val="00C761F2"/>
    <w:rsid w:val="00C762F8"/>
    <w:rsid w:val="00C764F2"/>
    <w:rsid w:val="00C7655A"/>
    <w:rsid w:val="00C76A8E"/>
    <w:rsid w:val="00C76B69"/>
    <w:rsid w:val="00C76BDE"/>
    <w:rsid w:val="00C76C07"/>
    <w:rsid w:val="00C76D2D"/>
    <w:rsid w:val="00C76EED"/>
    <w:rsid w:val="00C76F52"/>
    <w:rsid w:val="00C771BE"/>
    <w:rsid w:val="00C77267"/>
    <w:rsid w:val="00C77385"/>
    <w:rsid w:val="00C77409"/>
    <w:rsid w:val="00C774D1"/>
    <w:rsid w:val="00C777B8"/>
    <w:rsid w:val="00C777D8"/>
    <w:rsid w:val="00C777EC"/>
    <w:rsid w:val="00C7783E"/>
    <w:rsid w:val="00C779C6"/>
    <w:rsid w:val="00C779E9"/>
    <w:rsid w:val="00C77C19"/>
    <w:rsid w:val="00C77C54"/>
    <w:rsid w:val="00C77D22"/>
    <w:rsid w:val="00C77F3C"/>
    <w:rsid w:val="00C801D9"/>
    <w:rsid w:val="00C80376"/>
    <w:rsid w:val="00C80668"/>
    <w:rsid w:val="00C80997"/>
    <w:rsid w:val="00C809A5"/>
    <w:rsid w:val="00C809BD"/>
    <w:rsid w:val="00C80BF8"/>
    <w:rsid w:val="00C80E54"/>
    <w:rsid w:val="00C80EC1"/>
    <w:rsid w:val="00C80EE0"/>
    <w:rsid w:val="00C80F51"/>
    <w:rsid w:val="00C80FFA"/>
    <w:rsid w:val="00C8101D"/>
    <w:rsid w:val="00C8122A"/>
    <w:rsid w:val="00C81283"/>
    <w:rsid w:val="00C812B6"/>
    <w:rsid w:val="00C8144C"/>
    <w:rsid w:val="00C814CF"/>
    <w:rsid w:val="00C814DB"/>
    <w:rsid w:val="00C8164D"/>
    <w:rsid w:val="00C816AF"/>
    <w:rsid w:val="00C8191A"/>
    <w:rsid w:val="00C819AD"/>
    <w:rsid w:val="00C81B7B"/>
    <w:rsid w:val="00C81EA9"/>
    <w:rsid w:val="00C81FA5"/>
    <w:rsid w:val="00C81FD7"/>
    <w:rsid w:val="00C81FD8"/>
    <w:rsid w:val="00C81FE8"/>
    <w:rsid w:val="00C82032"/>
    <w:rsid w:val="00C820AE"/>
    <w:rsid w:val="00C82131"/>
    <w:rsid w:val="00C82176"/>
    <w:rsid w:val="00C821AC"/>
    <w:rsid w:val="00C825DC"/>
    <w:rsid w:val="00C825FE"/>
    <w:rsid w:val="00C8270D"/>
    <w:rsid w:val="00C828D6"/>
    <w:rsid w:val="00C82B5D"/>
    <w:rsid w:val="00C82CCD"/>
    <w:rsid w:val="00C82DC6"/>
    <w:rsid w:val="00C82F00"/>
    <w:rsid w:val="00C82F9D"/>
    <w:rsid w:val="00C82FEA"/>
    <w:rsid w:val="00C8320F"/>
    <w:rsid w:val="00C832A1"/>
    <w:rsid w:val="00C832C9"/>
    <w:rsid w:val="00C83315"/>
    <w:rsid w:val="00C83393"/>
    <w:rsid w:val="00C833C1"/>
    <w:rsid w:val="00C834FF"/>
    <w:rsid w:val="00C8374B"/>
    <w:rsid w:val="00C83770"/>
    <w:rsid w:val="00C838FC"/>
    <w:rsid w:val="00C8390E"/>
    <w:rsid w:val="00C83919"/>
    <w:rsid w:val="00C8393A"/>
    <w:rsid w:val="00C83BB1"/>
    <w:rsid w:val="00C83C5E"/>
    <w:rsid w:val="00C83CF1"/>
    <w:rsid w:val="00C83D3B"/>
    <w:rsid w:val="00C83D9B"/>
    <w:rsid w:val="00C83DBB"/>
    <w:rsid w:val="00C83E55"/>
    <w:rsid w:val="00C83FB3"/>
    <w:rsid w:val="00C8422E"/>
    <w:rsid w:val="00C8428B"/>
    <w:rsid w:val="00C84447"/>
    <w:rsid w:val="00C8455F"/>
    <w:rsid w:val="00C845CA"/>
    <w:rsid w:val="00C8467F"/>
    <w:rsid w:val="00C84694"/>
    <w:rsid w:val="00C84695"/>
    <w:rsid w:val="00C846A2"/>
    <w:rsid w:val="00C8477D"/>
    <w:rsid w:val="00C84818"/>
    <w:rsid w:val="00C8499C"/>
    <w:rsid w:val="00C84B38"/>
    <w:rsid w:val="00C84DC2"/>
    <w:rsid w:val="00C84ECD"/>
    <w:rsid w:val="00C85115"/>
    <w:rsid w:val="00C8512E"/>
    <w:rsid w:val="00C854C2"/>
    <w:rsid w:val="00C856D6"/>
    <w:rsid w:val="00C857AC"/>
    <w:rsid w:val="00C85896"/>
    <w:rsid w:val="00C859B1"/>
    <w:rsid w:val="00C85B4F"/>
    <w:rsid w:val="00C85BBD"/>
    <w:rsid w:val="00C85CC5"/>
    <w:rsid w:val="00C85DA6"/>
    <w:rsid w:val="00C85FD6"/>
    <w:rsid w:val="00C86578"/>
    <w:rsid w:val="00C867F8"/>
    <w:rsid w:val="00C8682E"/>
    <w:rsid w:val="00C86919"/>
    <w:rsid w:val="00C86CDF"/>
    <w:rsid w:val="00C86D74"/>
    <w:rsid w:val="00C86E0F"/>
    <w:rsid w:val="00C87252"/>
    <w:rsid w:val="00C872E9"/>
    <w:rsid w:val="00C8769E"/>
    <w:rsid w:val="00C878AC"/>
    <w:rsid w:val="00C87BB7"/>
    <w:rsid w:val="00C87EA5"/>
    <w:rsid w:val="00C87EB8"/>
    <w:rsid w:val="00C87FD0"/>
    <w:rsid w:val="00C90125"/>
    <w:rsid w:val="00C90247"/>
    <w:rsid w:val="00C902E5"/>
    <w:rsid w:val="00C903B3"/>
    <w:rsid w:val="00C90524"/>
    <w:rsid w:val="00C909FB"/>
    <w:rsid w:val="00C90A0C"/>
    <w:rsid w:val="00C90AB8"/>
    <w:rsid w:val="00C90C2D"/>
    <w:rsid w:val="00C90DCE"/>
    <w:rsid w:val="00C910F6"/>
    <w:rsid w:val="00C9110B"/>
    <w:rsid w:val="00C9117C"/>
    <w:rsid w:val="00C914C9"/>
    <w:rsid w:val="00C917FF"/>
    <w:rsid w:val="00C918EA"/>
    <w:rsid w:val="00C91980"/>
    <w:rsid w:val="00C919BE"/>
    <w:rsid w:val="00C91A83"/>
    <w:rsid w:val="00C91C45"/>
    <w:rsid w:val="00C91C76"/>
    <w:rsid w:val="00C91E8E"/>
    <w:rsid w:val="00C91F11"/>
    <w:rsid w:val="00C91F2F"/>
    <w:rsid w:val="00C91F45"/>
    <w:rsid w:val="00C91F98"/>
    <w:rsid w:val="00C921DE"/>
    <w:rsid w:val="00C922FF"/>
    <w:rsid w:val="00C924C2"/>
    <w:rsid w:val="00C9254E"/>
    <w:rsid w:val="00C92683"/>
    <w:rsid w:val="00C9272A"/>
    <w:rsid w:val="00C927E9"/>
    <w:rsid w:val="00C92974"/>
    <w:rsid w:val="00C92986"/>
    <w:rsid w:val="00C929B2"/>
    <w:rsid w:val="00C92D13"/>
    <w:rsid w:val="00C92D64"/>
    <w:rsid w:val="00C92D76"/>
    <w:rsid w:val="00C92DD0"/>
    <w:rsid w:val="00C92F71"/>
    <w:rsid w:val="00C93059"/>
    <w:rsid w:val="00C930E6"/>
    <w:rsid w:val="00C931E8"/>
    <w:rsid w:val="00C931E9"/>
    <w:rsid w:val="00C932C6"/>
    <w:rsid w:val="00C933D9"/>
    <w:rsid w:val="00C93497"/>
    <w:rsid w:val="00C934FC"/>
    <w:rsid w:val="00C9358B"/>
    <w:rsid w:val="00C936BC"/>
    <w:rsid w:val="00C9384E"/>
    <w:rsid w:val="00C93985"/>
    <w:rsid w:val="00C93BE7"/>
    <w:rsid w:val="00C93C3D"/>
    <w:rsid w:val="00C93D35"/>
    <w:rsid w:val="00C93DFE"/>
    <w:rsid w:val="00C93FE7"/>
    <w:rsid w:val="00C9406D"/>
    <w:rsid w:val="00C9409F"/>
    <w:rsid w:val="00C94168"/>
    <w:rsid w:val="00C942C9"/>
    <w:rsid w:val="00C94486"/>
    <w:rsid w:val="00C944E0"/>
    <w:rsid w:val="00C944F9"/>
    <w:rsid w:val="00C9454B"/>
    <w:rsid w:val="00C945B4"/>
    <w:rsid w:val="00C945CA"/>
    <w:rsid w:val="00C94678"/>
    <w:rsid w:val="00C94854"/>
    <w:rsid w:val="00C94936"/>
    <w:rsid w:val="00C9495D"/>
    <w:rsid w:val="00C94A4C"/>
    <w:rsid w:val="00C94C0C"/>
    <w:rsid w:val="00C94CE8"/>
    <w:rsid w:val="00C94DA0"/>
    <w:rsid w:val="00C94F6B"/>
    <w:rsid w:val="00C94FF6"/>
    <w:rsid w:val="00C95757"/>
    <w:rsid w:val="00C95A05"/>
    <w:rsid w:val="00C95AD0"/>
    <w:rsid w:val="00C95AF3"/>
    <w:rsid w:val="00C95CD6"/>
    <w:rsid w:val="00C95E16"/>
    <w:rsid w:val="00C95E4F"/>
    <w:rsid w:val="00C95EEA"/>
    <w:rsid w:val="00C96147"/>
    <w:rsid w:val="00C961BD"/>
    <w:rsid w:val="00C961C1"/>
    <w:rsid w:val="00C966E1"/>
    <w:rsid w:val="00C9682D"/>
    <w:rsid w:val="00C96964"/>
    <w:rsid w:val="00C96BBF"/>
    <w:rsid w:val="00C96BF9"/>
    <w:rsid w:val="00C96E46"/>
    <w:rsid w:val="00C96FCD"/>
    <w:rsid w:val="00C970A1"/>
    <w:rsid w:val="00C9723E"/>
    <w:rsid w:val="00C9740C"/>
    <w:rsid w:val="00C975C8"/>
    <w:rsid w:val="00C9770B"/>
    <w:rsid w:val="00C9780A"/>
    <w:rsid w:val="00C9784E"/>
    <w:rsid w:val="00C97973"/>
    <w:rsid w:val="00C97AEF"/>
    <w:rsid w:val="00C97B64"/>
    <w:rsid w:val="00C97D2A"/>
    <w:rsid w:val="00C97FD4"/>
    <w:rsid w:val="00CA009B"/>
    <w:rsid w:val="00CA00FC"/>
    <w:rsid w:val="00CA0125"/>
    <w:rsid w:val="00CA0341"/>
    <w:rsid w:val="00CA0358"/>
    <w:rsid w:val="00CA03FE"/>
    <w:rsid w:val="00CA0451"/>
    <w:rsid w:val="00CA049F"/>
    <w:rsid w:val="00CA054B"/>
    <w:rsid w:val="00CA06A9"/>
    <w:rsid w:val="00CA0787"/>
    <w:rsid w:val="00CA08DD"/>
    <w:rsid w:val="00CA0926"/>
    <w:rsid w:val="00CA0983"/>
    <w:rsid w:val="00CA09A9"/>
    <w:rsid w:val="00CA0BD1"/>
    <w:rsid w:val="00CA0C31"/>
    <w:rsid w:val="00CA0C63"/>
    <w:rsid w:val="00CA0D8C"/>
    <w:rsid w:val="00CA0D95"/>
    <w:rsid w:val="00CA0EA3"/>
    <w:rsid w:val="00CA0FB3"/>
    <w:rsid w:val="00CA0FD5"/>
    <w:rsid w:val="00CA12FA"/>
    <w:rsid w:val="00CA1482"/>
    <w:rsid w:val="00CA14D6"/>
    <w:rsid w:val="00CA19B5"/>
    <w:rsid w:val="00CA19ED"/>
    <w:rsid w:val="00CA1A65"/>
    <w:rsid w:val="00CA1A95"/>
    <w:rsid w:val="00CA1CF0"/>
    <w:rsid w:val="00CA1D9D"/>
    <w:rsid w:val="00CA1ED8"/>
    <w:rsid w:val="00CA1EDF"/>
    <w:rsid w:val="00CA1F32"/>
    <w:rsid w:val="00CA2079"/>
    <w:rsid w:val="00CA21FB"/>
    <w:rsid w:val="00CA2283"/>
    <w:rsid w:val="00CA246C"/>
    <w:rsid w:val="00CA25BC"/>
    <w:rsid w:val="00CA261D"/>
    <w:rsid w:val="00CA2756"/>
    <w:rsid w:val="00CA28DB"/>
    <w:rsid w:val="00CA2B02"/>
    <w:rsid w:val="00CA2E10"/>
    <w:rsid w:val="00CA3062"/>
    <w:rsid w:val="00CA319F"/>
    <w:rsid w:val="00CA31AF"/>
    <w:rsid w:val="00CA330F"/>
    <w:rsid w:val="00CA336D"/>
    <w:rsid w:val="00CA33F6"/>
    <w:rsid w:val="00CA3474"/>
    <w:rsid w:val="00CA348D"/>
    <w:rsid w:val="00CA34B6"/>
    <w:rsid w:val="00CA34CA"/>
    <w:rsid w:val="00CA3518"/>
    <w:rsid w:val="00CA359E"/>
    <w:rsid w:val="00CA3640"/>
    <w:rsid w:val="00CA36E3"/>
    <w:rsid w:val="00CA36EF"/>
    <w:rsid w:val="00CA3787"/>
    <w:rsid w:val="00CA37E0"/>
    <w:rsid w:val="00CA38CB"/>
    <w:rsid w:val="00CA39B8"/>
    <w:rsid w:val="00CA3D81"/>
    <w:rsid w:val="00CA3E5E"/>
    <w:rsid w:val="00CA3EF9"/>
    <w:rsid w:val="00CA403E"/>
    <w:rsid w:val="00CA40AF"/>
    <w:rsid w:val="00CA4618"/>
    <w:rsid w:val="00CA4634"/>
    <w:rsid w:val="00CA4688"/>
    <w:rsid w:val="00CA46ED"/>
    <w:rsid w:val="00CA4800"/>
    <w:rsid w:val="00CA4952"/>
    <w:rsid w:val="00CA4A4E"/>
    <w:rsid w:val="00CA4B97"/>
    <w:rsid w:val="00CA4CAA"/>
    <w:rsid w:val="00CA4DCE"/>
    <w:rsid w:val="00CA503C"/>
    <w:rsid w:val="00CA52CE"/>
    <w:rsid w:val="00CA5315"/>
    <w:rsid w:val="00CA5487"/>
    <w:rsid w:val="00CA54CB"/>
    <w:rsid w:val="00CA54F1"/>
    <w:rsid w:val="00CA5746"/>
    <w:rsid w:val="00CA59DC"/>
    <w:rsid w:val="00CA59EA"/>
    <w:rsid w:val="00CA5A6F"/>
    <w:rsid w:val="00CA5C4A"/>
    <w:rsid w:val="00CA6042"/>
    <w:rsid w:val="00CA6077"/>
    <w:rsid w:val="00CA609A"/>
    <w:rsid w:val="00CA60B0"/>
    <w:rsid w:val="00CA61D8"/>
    <w:rsid w:val="00CA6210"/>
    <w:rsid w:val="00CA62A5"/>
    <w:rsid w:val="00CA62C9"/>
    <w:rsid w:val="00CA6310"/>
    <w:rsid w:val="00CA6430"/>
    <w:rsid w:val="00CA65BE"/>
    <w:rsid w:val="00CA6728"/>
    <w:rsid w:val="00CA69EE"/>
    <w:rsid w:val="00CA6A0A"/>
    <w:rsid w:val="00CA6A44"/>
    <w:rsid w:val="00CA6BB2"/>
    <w:rsid w:val="00CA6EBA"/>
    <w:rsid w:val="00CA6F9A"/>
    <w:rsid w:val="00CA71B1"/>
    <w:rsid w:val="00CA71BA"/>
    <w:rsid w:val="00CA756B"/>
    <w:rsid w:val="00CA75B0"/>
    <w:rsid w:val="00CA78A0"/>
    <w:rsid w:val="00CA7C9F"/>
    <w:rsid w:val="00CA7D87"/>
    <w:rsid w:val="00CA7ECC"/>
    <w:rsid w:val="00CA7EE4"/>
    <w:rsid w:val="00CA7F91"/>
    <w:rsid w:val="00CB008D"/>
    <w:rsid w:val="00CB02A6"/>
    <w:rsid w:val="00CB02BB"/>
    <w:rsid w:val="00CB02F3"/>
    <w:rsid w:val="00CB030B"/>
    <w:rsid w:val="00CB03A6"/>
    <w:rsid w:val="00CB0611"/>
    <w:rsid w:val="00CB069D"/>
    <w:rsid w:val="00CB07B6"/>
    <w:rsid w:val="00CB0879"/>
    <w:rsid w:val="00CB0B76"/>
    <w:rsid w:val="00CB0D48"/>
    <w:rsid w:val="00CB0D7F"/>
    <w:rsid w:val="00CB0D81"/>
    <w:rsid w:val="00CB0E65"/>
    <w:rsid w:val="00CB0ECF"/>
    <w:rsid w:val="00CB108D"/>
    <w:rsid w:val="00CB1102"/>
    <w:rsid w:val="00CB12BF"/>
    <w:rsid w:val="00CB14DF"/>
    <w:rsid w:val="00CB15F7"/>
    <w:rsid w:val="00CB1912"/>
    <w:rsid w:val="00CB19EE"/>
    <w:rsid w:val="00CB1B39"/>
    <w:rsid w:val="00CB1BE8"/>
    <w:rsid w:val="00CB1D0E"/>
    <w:rsid w:val="00CB1DBF"/>
    <w:rsid w:val="00CB1E0E"/>
    <w:rsid w:val="00CB2016"/>
    <w:rsid w:val="00CB201C"/>
    <w:rsid w:val="00CB2086"/>
    <w:rsid w:val="00CB2135"/>
    <w:rsid w:val="00CB216C"/>
    <w:rsid w:val="00CB21A7"/>
    <w:rsid w:val="00CB23D0"/>
    <w:rsid w:val="00CB242F"/>
    <w:rsid w:val="00CB24A0"/>
    <w:rsid w:val="00CB24E0"/>
    <w:rsid w:val="00CB27C6"/>
    <w:rsid w:val="00CB27DC"/>
    <w:rsid w:val="00CB28C6"/>
    <w:rsid w:val="00CB29CE"/>
    <w:rsid w:val="00CB2CBB"/>
    <w:rsid w:val="00CB3016"/>
    <w:rsid w:val="00CB319E"/>
    <w:rsid w:val="00CB321C"/>
    <w:rsid w:val="00CB3428"/>
    <w:rsid w:val="00CB35C7"/>
    <w:rsid w:val="00CB366F"/>
    <w:rsid w:val="00CB3784"/>
    <w:rsid w:val="00CB382E"/>
    <w:rsid w:val="00CB3B1E"/>
    <w:rsid w:val="00CB3C4D"/>
    <w:rsid w:val="00CB3DB7"/>
    <w:rsid w:val="00CB3E0D"/>
    <w:rsid w:val="00CB3FBD"/>
    <w:rsid w:val="00CB407F"/>
    <w:rsid w:val="00CB417F"/>
    <w:rsid w:val="00CB41A2"/>
    <w:rsid w:val="00CB41FB"/>
    <w:rsid w:val="00CB45EA"/>
    <w:rsid w:val="00CB4922"/>
    <w:rsid w:val="00CB4ABF"/>
    <w:rsid w:val="00CB4C81"/>
    <w:rsid w:val="00CB4DBC"/>
    <w:rsid w:val="00CB4F33"/>
    <w:rsid w:val="00CB5334"/>
    <w:rsid w:val="00CB5376"/>
    <w:rsid w:val="00CB5435"/>
    <w:rsid w:val="00CB54E5"/>
    <w:rsid w:val="00CB555C"/>
    <w:rsid w:val="00CB575A"/>
    <w:rsid w:val="00CB58AA"/>
    <w:rsid w:val="00CB5A6C"/>
    <w:rsid w:val="00CB5A91"/>
    <w:rsid w:val="00CB5B06"/>
    <w:rsid w:val="00CB5BB2"/>
    <w:rsid w:val="00CB5D8F"/>
    <w:rsid w:val="00CB5F89"/>
    <w:rsid w:val="00CB607A"/>
    <w:rsid w:val="00CB61FC"/>
    <w:rsid w:val="00CB623C"/>
    <w:rsid w:val="00CB6274"/>
    <w:rsid w:val="00CB64C2"/>
    <w:rsid w:val="00CB659C"/>
    <w:rsid w:val="00CB6602"/>
    <w:rsid w:val="00CB6690"/>
    <w:rsid w:val="00CB67F2"/>
    <w:rsid w:val="00CB6850"/>
    <w:rsid w:val="00CB6860"/>
    <w:rsid w:val="00CB6A2A"/>
    <w:rsid w:val="00CB6B11"/>
    <w:rsid w:val="00CB6DC4"/>
    <w:rsid w:val="00CB6E74"/>
    <w:rsid w:val="00CB6ED1"/>
    <w:rsid w:val="00CB6FA1"/>
    <w:rsid w:val="00CB6FF1"/>
    <w:rsid w:val="00CB702C"/>
    <w:rsid w:val="00CB708B"/>
    <w:rsid w:val="00CB7303"/>
    <w:rsid w:val="00CB7394"/>
    <w:rsid w:val="00CB73C6"/>
    <w:rsid w:val="00CB742D"/>
    <w:rsid w:val="00CB7644"/>
    <w:rsid w:val="00CB76BA"/>
    <w:rsid w:val="00CB7789"/>
    <w:rsid w:val="00CB797A"/>
    <w:rsid w:val="00CB7ACC"/>
    <w:rsid w:val="00CB7B3A"/>
    <w:rsid w:val="00CB7C79"/>
    <w:rsid w:val="00CB7C9A"/>
    <w:rsid w:val="00CB7CF7"/>
    <w:rsid w:val="00CB7D25"/>
    <w:rsid w:val="00CB7E96"/>
    <w:rsid w:val="00CB7EFE"/>
    <w:rsid w:val="00CB7FB8"/>
    <w:rsid w:val="00CC049A"/>
    <w:rsid w:val="00CC04A2"/>
    <w:rsid w:val="00CC0518"/>
    <w:rsid w:val="00CC0660"/>
    <w:rsid w:val="00CC06BD"/>
    <w:rsid w:val="00CC0704"/>
    <w:rsid w:val="00CC0B0B"/>
    <w:rsid w:val="00CC0B1F"/>
    <w:rsid w:val="00CC0D7B"/>
    <w:rsid w:val="00CC0D7C"/>
    <w:rsid w:val="00CC10D3"/>
    <w:rsid w:val="00CC11ED"/>
    <w:rsid w:val="00CC120D"/>
    <w:rsid w:val="00CC1318"/>
    <w:rsid w:val="00CC1475"/>
    <w:rsid w:val="00CC14D7"/>
    <w:rsid w:val="00CC157D"/>
    <w:rsid w:val="00CC165B"/>
    <w:rsid w:val="00CC16AF"/>
    <w:rsid w:val="00CC16DA"/>
    <w:rsid w:val="00CC1709"/>
    <w:rsid w:val="00CC1A0D"/>
    <w:rsid w:val="00CC1B5D"/>
    <w:rsid w:val="00CC1C57"/>
    <w:rsid w:val="00CC1CDC"/>
    <w:rsid w:val="00CC1D4D"/>
    <w:rsid w:val="00CC1E05"/>
    <w:rsid w:val="00CC1FCC"/>
    <w:rsid w:val="00CC21FA"/>
    <w:rsid w:val="00CC2267"/>
    <w:rsid w:val="00CC22C1"/>
    <w:rsid w:val="00CC23A4"/>
    <w:rsid w:val="00CC2409"/>
    <w:rsid w:val="00CC26E9"/>
    <w:rsid w:val="00CC28D6"/>
    <w:rsid w:val="00CC28EE"/>
    <w:rsid w:val="00CC2929"/>
    <w:rsid w:val="00CC2982"/>
    <w:rsid w:val="00CC29C2"/>
    <w:rsid w:val="00CC29E0"/>
    <w:rsid w:val="00CC29EA"/>
    <w:rsid w:val="00CC2A88"/>
    <w:rsid w:val="00CC2AD6"/>
    <w:rsid w:val="00CC2C06"/>
    <w:rsid w:val="00CC2C39"/>
    <w:rsid w:val="00CC2C54"/>
    <w:rsid w:val="00CC2D70"/>
    <w:rsid w:val="00CC2DAD"/>
    <w:rsid w:val="00CC2E8A"/>
    <w:rsid w:val="00CC2EB8"/>
    <w:rsid w:val="00CC31C5"/>
    <w:rsid w:val="00CC3203"/>
    <w:rsid w:val="00CC3667"/>
    <w:rsid w:val="00CC369E"/>
    <w:rsid w:val="00CC3803"/>
    <w:rsid w:val="00CC39BB"/>
    <w:rsid w:val="00CC3A3A"/>
    <w:rsid w:val="00CC3AB9"/>
    <w:rsid w:val="00CC3C48"/>
    <w:rsid w:val="00CC3E74"/>
    <w:rsid w:val="00CC3EDD"/>
    <w:rsid w:val="00CC4025"/>
    <w:rsid w:val="00CC4125"/>
    <w:rsid w:val="00CC4169"/>
    <w:rsid w:val="00CC41DA"/>
    <w:rsid w:val="00CC43BD"/>
    <w:rsid w:val="00CC4439"/>
    <w:rsid w:val="00CC45FA"/>
    <w:rsid w:val="00CC4814"/>
    <w:rsid w:val="00CC4870"/>
    <w:rsid w:val="00CC4B31"/>
    <w:rsid w:val="00CC4BC3"/>
    <w:rsid w:val="00CC4D67"/>
    <w:rsid w:val="00CC5022"/>
    <w:rsid w:val="00CC505E"/>
    <w:rsid w:val="00CC512B"/>
    <w:rsid w:val="00CC5133"/>
    <w:rsid w:val="00CC5175"/>
    <w:rsid w:val="00CC528C"/>
    <w:rsid w:val="00CC529F"/>
    <w:rsid w:val="00CC52C8"/>
    <w:rsid w:val="00CC52FF"/>
    <w:rsid w:val="00CC53DF"/>
    <w:rsid w:val="00CC53F7"/>
    <w:rsid w:val="00CC5587"/>
    <w:rsid w:val="00CC55CE"/>
    <w:rsid w:val="00CC5853"/>
    <w:rsid w:val="00CC58AD"/>
    <w:rsid w:val="00CC5AA8"/>
    <w:rsid w:val="00CC5AF7"/>
    <w:rsid w:val="00CC5F95"/>
    <w:rsid w:val="00CC5FF4"/>
    <w:rsid w:val="00CC60EE"/>
    <w:rsid w:val="00CC6700"/>
    <w:rsid w:val="00CC67CC"/>
    <w:rsid w:val="00CC68BE"/>
    <w:rsid w:val="00CC68C8"/>
    <w:rsid w:val="00CC695B"/>
    <w:rsid w:val="00CC69E9"/>
    <w:rsid w:val="00CC6AF9"/>
    <w:rsid w:val="00CC6BF4"/>
    <w:rsid w:val="00CC6C30"/>
    <w:rsid w:val="00CC6C40"/>
    <w:rsid w:val="00CC6D02"/>
    <w:rsid w:val="00CC6D05"/>
    <w:rsid w:val="00CC6E01"/>
    <w:rsid w:val="00CC7079"/>
    <w:rsid w:val="00CC7130"/>
    <w:rsid w:val="00CC714A"/>
    <w:rsid w:val="00CC7536"/>
    <w:rsid w:val="00CC76B2"/>
    <w:rsid w:val="00CC7733"/>
    <w:rsid w:val="00CC78F3"/>
    <w:rsid w:val="00CC792C"/>
    <w:rsid w:val="00CC7984"/>
    <w:rsid w:val="00CC79DE"/>
    <w:rsid w:val="00CC7A0F"/>
    <w:rsid w:val="00CC7A98"/>
    <w:rsid w:val="00CC7B13"/>
    <w:rsid w:val="00CC7C47"/>
    <w:rsid w:val="00CC7EE2"/>
    <w:rsid w:val="00CD0199"/>
    <w:rsid w:val="00CD04A3"/>
    <w:rsid w:val="00CD057A"/>
    <w:rsid w:val="00CD05F6"/>
    <w:rsid w:val="00CD07E0"/>
    <w:rsid w:val="00CD0ACC"/>
    <w:rsid w:val="00CD0B1F"/>
    <w:rsid w:val="00CD0C4A"/>
    <w:rsid w:val="00CD0E5E"/>
    <w:rsid w:val="00CD0E91"/>
    <w:rsid w:val="00CD0F2A"/>
    <w:rsid w:val="00CD114D"/>
    <w:rsid w:val="00CD11FE"/>
    <w:rsid w:val="00CD129A"/>
    <w:rsid w:val="00CD1356"/>
    <w:rsid w:val="00CD1388"/>
    <w:rsid w:val="00CD13B9"/>
    <w:rsid w:val="00CD1564"/>
    <w:rsid w:val="00CD16D3"/>
    <w:rsid w:val="00CD1805"/>
    <w:rsid w:val="00CD1865"/>
    <w:rsid w:val="00CD1A0F"/>
    <w:rsid w:val="00CD1AEE"/>
    <w:rsid w:val="00CD1BB0"/>
    <w:rsid w:val="00CD1C98"/>
    <w:rsid w:val="00CD21B0"/>
    <w:rsid w:val="00CD2257"/>
    <w:rsid w:val="00CD23CA"/>
    <w:rsid w:val="00CD25A1"/>
    <w:rsid w:val="00CD27C2"/>
    <w:rsid w:val="00CD29AF"/>
    <w:rsid w:val="00CD2A2D"/>
    <w:rsid w:val="00CD2AA4"/>
    <w:rsid w:val="00CD2AEF"/>
    <w:rsid w:val="00CD2AF4"/>
    <w:rsid w:val="00CD2C75"/>
    <w:rsid w:val="00CD2C7D"/>
    <w:rsid w:val="00CD2E81"/>
    <w:rsid w:val="00CD306F"/>
    <w:rsid w:val="00CD3096"/>
    <w:rsid w:val="00CD32EA"/>
    <w:rsid w:val="00CD331C"/>
    <w:rsid w:val="00CD333D"/>
    <w:rsid w:val="00CD3608"/>
    <w:rsid w:val="00CD3663"/>
    <w:rsid w:val="00CD3812"/>
    <w:rsid w:val="00CD388A"/>
    <w:rsid w:val="00CD3AB3"/>
    <w:rsid w:val="00CD3D08"/>
    <w:rsid w:val="00CD3E7B"/>
    <w:rsid w:val="00CD3EB0"/>
    <w:rsid w:val="00CD3F84"/>
    <w:rsid w:val="00CD3FBC"/>
    <w:rsid w:val="00CD4231"/>
    <w:rsid w:val="00CD42D0"/>
    <w:rsid w:val="00CD43B8"/>
    <w:rsid w:val="00CD43C4"/>
    <w:rsid w:val="00CD443C"/>
    <w:rsid w:val="00CD466F"/>
    <w:rsid w:val="00CD46A1"/>
    <w:rsid w:val="00CD4735"/>
    <w:rsid w:val="00CD486A"/>
    <w:rsid w:val="00CD4963"/>
    <w:rsid w:val="00CD4AD8"/>
    <w:rsid w:val="00CD4ADD"/>
    <w:rsid w:val="00CD4B5A"/>
    <w:rsid w:val="00CD4C26"/>
    <w:rsid w:val="00CD4D20"/>
    <w:rsid w:val="00CD4E96"/>
    <w:rsid w:val="00CD4F2A"/>
    <w:rsid w:val="00CD5060"/>
    <w:rsid w:val="00CD51CE"/>
    <w:rsid w:val="00CD5315"/>
    <w:rsid w:val="00CD54B9"/>
    <w:rsid w:val="00CD566C"/>
    <w:rsid w:val="00CD5765"/>
    <w:rsid w:val="00CD57F3"/>
    <w:rsid w:val="00CD582F"/>
    <w:rsid w:val="00CD5977"/>
    <w:rsid w:val="00CD59E6"/>
    <w:rsid w:val="00CD5ADE"/>
    <w:rsid w:val="00CD5B00"/>
    <w:rsid w:val="00CD5E90"/>
    <w:rsid w:val="00CD5FB4"/>
    <w:rsid w:val="00CD60E3"/>
    <w:rsid w:val="00CD6216"/>
    <w:rsid w:val="00CD62C5"/>
    <w:rsid w:val="00CD637C"/>
    <w:rsid w:val="00CD63BD"/>
    <w:rsid w:val="00CD6452"/>
    <w:rsid w:val="00CD6456"/>
    <w:rsid w:val="00CD6760"/>
    <w:rsid w:val="00CD685E"/>
    <w:rsid w:val="00CD68D9"/>
    <w:rsid w:val="00CD6900"/>
    <w:rsid w:val="00CD69EA"/>
    <w:rsid w:val="00CD6AD6"/>
    <w:rsid w:val="00CD6D10"/>
    <w:rsid w:val="00CD6D14"/>
    <w:rsid w:val="00CD6DF2"/>
    <w:rsid w:val="00CD7163"/>
    <w:rsid w:val="00CD7259"/>
    <w:rsid w:val="00CD73DA"/>
    <w:rsid w:val="00CD73FA"/>
    <w:rsid w:val="00CD7479"/>
    <w:rsid w:val="00CD747A"/>
    <w:rsid w:val="00CD7743"/>
    <w:rsid w:val="00CD78D5"/>
    <w:rsid w:val="00CD7E56"/>
    <w:rsid w:val="00CD7EF8"/>
    <w:rsid w:val="00CE04B8"/>
    <w:rsid w:val="00CE04F3"/>
    <w:rsid w:val="00CE062E"/>
    <w:rsid w:val="00CE0670"/>
    <w:rsid w:val="00CE0774"/>
    <w:rsid w:val="00CE07C0"/>
    <w:rsid w:val="00CE07E7"/>
    <w:rsid w:val="00CE0812"/>
    <w:rsid w:val="00CE0A5E"/>
    <w:rsid w:val="00CE0C2A"/>
    <w:rsid w:val="00CE0C4B"/>
    <w:rsid w:val="00CE0E77"/>
    <w:rsid w:val="00CE0EE6"/>
    <w:rsid w:val="00CE0FDC"/>
    <w:rsid w:val="00CE10E3"/>
    <w:rsid w:val="00CE125B"/>
    <w:rsid w:val="00CE12D4"/>
    <w:rsid w:val="00CE138C"/>
    <w:rsid w:val="00CE13BB"/>
    <w:rsid w:val="00CE14B4"/>
    <w:rsid w:val="00CE14FB"/>
    <w:rsid w:val="00CE1613"/>
    <w:rsid w:val="00CE1741"/>
    <w:rsid w:val="00CE19C8"/>
    <w:rsid w:val="00CE1B8A"/>
    <w:rsid w:val="00CE1CEF"/>
    <w:rsid w:val="00CE1D84"/>
    <w:rsid w:val="00CE1DA9"/>
    <w:rsid w:val="00CE1E92"/>
    <w:rsid w:val="00CE1FCB"/>
    <w:rsid w:val="00CE2260"/>
    <w:rsid w:val="00CE2294"/>
    <w:rsid w:val="00CE23A3"/>
    <w:rsid w:val="00CE242E"/>
    <w:rsid w:val="00CE244C"/>
    <w:rsid w:val="00CE252C"/>
    <w:rsid w:val="00CE27A0"/>
    <w:rsid w:val="00CE2962"/>
    <w:rsid w:val="00CE297A"/>
    <w:rsid w:val="00CE2998"/>
    <w:rsid w:val="00CE2A3C"/>
    <w:rsid w:val="00CE2BB3"/>
    <w:rsid w:val="00CE2C48"/>
    <w:rsid w:val="00CE2FA6"/>
    <w:rsid w:val="00CE322B"/>
    <w:rsid w:val="00CE32AA"/>
    <w:rsid w:val="00CE342F"/>
    <w:rsid w:val="00CE3474"/>
    <w:rsid w:val="00CE34AE"/>
    <w:rsid w:val="00CE370D"/>
    <w:rsid w:val="00CE3794"/>
    <w:rsid w:val="00CE37A1"/>
    <w:rsid w:val="00CE37E7"/>
    <w:rsid w:val="00CE3885"/>
    <w:rsid w:val="00CE3949"/>
    <w:rsid w:val="00CE3AA8"/>
    <w:rsid w:val="00CE3B4C"/>
    <w:rsid w:val="00CE3D45"/>
    <w:rsid w:val="00CE3E55"/>
    <w:rsid w:val="00CE3FB7"/>
    <w:rsid w:val="00CE406F"/>
    <w:rsid w:val="00CE40FF"/>
    <w:rsid w:val="00CE41CA"/>
    <w:rsid w:val="00CE41D2"/>
    <w:rsid w:val="00CE422A"/>
    <w:rsid w:val="00CE4385"/>
    <w:rsid w:val="00CE43CB"/>
    <w:rsid w:val="00CE4547"/>
    <w:rsid w:val="00CE4668"/>
    <w:rsid w:val="00CE481B"/>
    <w:rsid w:val="00CE4A63"/>
    <w:rsid w:val="00CE4ABD"/>
    <w:rsid w:val="00CE4ADC"/>
    <w:rsid w:val="00CE4B71"/>
    <w:rsid w:val="00CE4CBB"/>
    <w:rsid w:val="00CE4E18"/>
    <w:rsid w:val="00CE4FCB"/>
    <w:rsid w:val="00CE4FDD"/>
    <w:rsid w:val="00CE5046"/>
    <w:rsid w:val="00CE51E6"/>
    <w:rsid w:val="00CE5319"/>
    <w:rsid w:val="00CE54D1"/>
    <w:rsid w:val="00CE5574"/>
    <w:rsid w:val="00CE58AF"/>
    <w:rsid w:val="00CE5AFF"/>
    <w:rsid w:val="00CE5B6F"/>
    <w:rsid w:val="00CE5BBF"/>
    <w:rsid w:val="00CE5C31"/>
    <w:rsid w:val="00CE5ED1"/>
    <w:rsid w:val="00CE6075"/>
    <w:rsid w:val="00CE6216"/>
    <w:rsid w:val="00CE6253"/>
    <w:rsid w:val="00CE6363"/>
    <w:rsid w:val="00CE639F"/>
    <w:rsid w:val="00CE64A3"/>
    <w:rsid w:val="00CE660C"/>
    <w:rsid w:val="00CE664F"/>
    <w:rsid w:val="00CE6675"/>
    <w:rsid w:val="00CE67B1"/>
    <w:rsid w:val="00CE68B3"/>
    <w:rsid w:val="00CE6A85"/>
    <w:rsid w:val="00CE6B6C"/>
    <w:rsid w:val="00CE6CB4"/>
    <w:rsid w:val="00CE6CC0"/>
    <w:rsid w:val="00CE6D10"/>
    <w:rsid w:val="00CE7344"/>
    <w:rsid w:val="00CE73E2"/>
    <w:rsid w:val="00CE7409"/>
    <w:rsid w:val="00CE765C"/>
    <w:rsid w:val="00CE76CE"/>
    <w:rsid w:val="00CE76F0"/>
    <w:rsid w:val="00CE7E1B"/>
    <w:rsid w:val="00CE7EC0"/>
    <w:rsid w:val="00CE7FC3"/>
    <w:rsid w:val="00CE7FED"/>
    <w:rsid w:val="00CF0478"/>
    <w:rsid w:val="00CF049E"/>
    <w:rsid w:val="00CF0653"/>
    <w:rsid w:val="00CF067F"/>
    <w:rsid w:val="00CF0773"/>
    <w:rsid w:val="00CF0872"/>
    <w:rsid w:val="00CF0EC3"/>
    <w:rsid w:val="00CF1105"/>
    <w:rsid w:val="00CF114E"/>
    <w:rsid w:val="00CF1242"/>
    <w:rsid w:val="00CF128D"/>
    <w:rsid w:val="00CF13F8"/>
    <w:rsid w:val="00CF1529"/>
    <w:rsid w:val="00CF1567"/>
    <w:rsid w:val="00CF15BE"/>
    <w:rsid w:val="00CF1707"/>
    <w:rsid w:val="00CF1758"/>
    <w:rsid w:val="00CF1766"/>
    <w:rsid w:val="00CF1972"/>
    <w:rsid w:val="00CF1B5D"/>
    <w:rsid w:val="00CF1C15"/>
    <w:rsid w:val="00CF1C84"/>
    <w:rsid w:val="00CF1D2B"/>
    <w:rsid w:val="00CF1E64"/>
    <w:rsid w:val="00CF1F11"/>
    <w:rsid w:val="00CF218F"/>
    <w:rsid w:val="00CF226A"/>
    <w:rsid w:val="00CF22DE"/>
    <w:rsid w:val="00CF22F1"/>
    <w:rsid w:val="00CF23DE"/>
    <w:rsid w:val="00CF23F7"/>
    <w:rsid w:val="00CF2449"/>
    <w:rsid w:val="00CF2506"/>
    <w:rsid w:val="00CF25E7"/>
    <w:rsid w:val="00CF25E9"/>
    <w:rsid w:val="00CF267C"/>
    <w:rsid w:val="00CF2973"/>
    <w:rsid w:val="00CF2A29"/>
    <w:rsid w:val="00CF2AFA"/>
    <w:rsid w:val="00CF2BFE"/>
    <w:rsid w:val="00CF2DD2"/>
    <w:rsid w:val="00CF2DFA"/>
    <w:rsid w:val="00CF3128"/>
    <w:rsid w:val="00CF3221"/>
    <w:rsid w:val="00CF3222"/>
    <w:rsid w:val="00CF32B0"/>
    <w:rsid w:val="00CF331D"/>
    <w:rsid w:val="00CF346A"/>
    <w:rsid w:val="00CF34AC"/>
    <w:rsid w:val="00CF34C7"/>
    <w:rsid w:val="00CF34D0"/>
    <w:rsid w:val="00CF34ED"/>
    <w:rsid w:val="00CF37FF"/>
    <w:rsid w:val="00CF39AA"/>
    <w:rsid w:val="00CF3D96"/>
    <w:rsid w:val="00CF3E1B"/>
    <w:rsid w:val="00CF3FD2"/>
    <w:rsid w:val="00CF3FF9"/>
    <w:rsid w:val="00CF4294"/>
    <w:rsid w:val="00CF4340"/>
    <w:rsid w:val="00CF43E4"/>
    <w:rsid w:val="00CF440B"/>
    <w:rsid w:val="00CF44D8"/>
    <w:rsid w:val="00CF4508"/>
    <w:rsid w:val="00CF45DE"/>
    <w:rsid w:val="00CF4667"/>
    <w:rsid w:val="00CF4A16"/>
    <w:rsid w:val="00CF4BC5"/>
    <w:rsid w:val="00CF4C89"/>
    <w:rsid w:val="00CF4CC0"/>
    <w:rsid w:val="00CF4D04"/>
    <w:rsid w:val="00CF4D0B"/>
    <w:rsid w:val="00CF4D2B"/>
    <w:rsid w:val="00CF4F31"/>
    <w:rsid w:val="00CF515F"/>
    <w:rsid w:val="00CF519F"/>
    <w:rsid w:val="00CF51E2"/>
    <w:rsid w:val="00CF5255"/>
    <w:rsid w:val="00CF53C7"/>
    <w:rsid w:val="00CF562B"/>
    <w:rsid w:val="00CF5719"/>
    <w:rsid w:val="00CF5724"/>
    <w:rsid w:val="00CF583E"/>
    <w:rsid w:val="00CF58C7"/>
    <w:rsid w:val="00CF5A1B"/>
    <w:rsid w:val="00CF5A6E"/>
    <w:rsid w:val="00CF5AAC"/>
    <w:rsid w:val="00CF5ABB"/>
    <w:rsid w:val="00CF5D25"/>
    <w:rsid w:val="00CF5D6A"/>
    <w:rsid w:val="00CF5E1C"/>
    <w:rsid w:val="00CF6073"/>
    <w:rsid w:val="00CF619E"/>
    <w:rsid w:val="00CF61AB"/>
    <w:rsid w:val="00CF6237"/>
    <w:rsid w:val="00CF652F"/>
    <w:rsid w:val="00CF65E8"/>
    <w:rsid w:val="00CF6728"/>
    <w:rsid w:val="00CF699F"/>
    <w:rsid w:val="00CF6A08"/>
    <w:rsid w:val="00CF6D72"/>
    <w:rsid w:val="00CF6F15"/>
    <w:rsid w:val="00CF6F7D"/>
    <w:rsid w:val="00CF7087"/>
    <w:rsid w:val="00CF70E5"/>
    <w:rsid w:val="00CF7120"/>
    <w:rsid w:val="00CF714D"/>
    <w:rsid w:val="00CF7183"/>
    <w:rsid w:val="00CF7529"/>
    <w:rsid w:val="00CF765B"/>
    <w:rsid w:val="00CF7772"/>
    <w:rsid w:val="00CF7818"/>
    <w:rsid w:val="00CF78B0"/>
    <w:rsid w:val="00CF7B8F"/>
    <w:rsid w:val="00CF7E34"/>
    <w:rsid w:val="00CF7E9C"/>
    <w:rsid w:val="00CF7EA0"/>
    <w:rsid w:val="00CF7FC5"/>
    <w:rsid w:val="00D003AD"/>
    <w:rsid w:val="00D005C5"/>
    <w:rsid w:val="00D005F7"/>
    <w:rsid w:val="00D00671"/>
    <w:rsid w:val="00D00700"/>
    <w:rsid w:val="00D0073C"/>
    <w:rsid w:val="00D0089E"/>
    <w:rsid w:val="00D00919"/>
    <w:rsid w:val="00D009D2"/>
    <w:rsid w:val="00D00AD7"/>
    <w:rsid w:val="00D00AF3"/>
    <w:rsid w:val="00D00AFE"/>
    <w:rsid w:val="00D00C25"/>
    <w:rsid w:val="00D00CA9"/>
    <w:rsid w:val="00D00CD5"/>
    <w:rsid w:val="00D00CDA"/>
    <w:rsid w:val="00D00F3A"/>
    <w:rsid w:val="00D00F41"/>
    <w:rsid w:val="00D0119E"/>
    <w:rsid w:val="00D012F9"/>
    <w:rsid w:val="00D0132C"/>
    <w:rsid w:val="00D0143E"/>
    <w:rsid w:val="00D016A3"/>
    <w:rsid w:val="00D016FD"/>
    <w:rsid w:val="00D01790"/>
    <w:rsid w:val="00D018B0"/>
    <w:rsid w:val="00D01A05"/>
    <w:rsid w:val="00D01A72"/>
    <w:rsid w:val="00D01A8F"/>
    <w:rsid w:val="00D01B25"/>
    <w:rsid w:val="00D01B85"/>
    <w:rsid w:val="00D01E72"/>
    <w:rsid w:val="00D02278"/>
    <w:rsid w:val="00D024FF"/>
    <w:rsid w:val="00D02891"/>
    <w:rsid w:val="00D02A02"/>
    <w:rsid w:val="00D02A0C"/>
    <w:rsid w:val="00D02A5F"/>
    <w:rsid w:val="00D02AB3"/>
    <w:rsid w:val="00D02BA6"/>
    <w:rsid w:val="00D02C61"/>
    <w:rsid w:val="00D02E60"/>
    <w:rsid w:val="00D02E9C"/>
    <w:rsid w:val="00D03034"/>
    <w:rsid w:val="00D03111"/>
    <w:rsid w:val="00D034DC"/>
    <w:rsid w:val="00D03630"/>
    <w:rsid w:val="00D03654"/>
    <w:rsid w:val="00D03850"/>
    <w:rsid w:val="00D03D49"/>
    <w:rsid w:val="00D0412D"/>
    <w:rsid w:val="00D0421B"/>
    <w:rsid w:val="00D04468"/>
    <w:rsid w:val="00D04538"/>
    <w:rsid w:val="00D0469E"/>
    <w:rsid w:val="00D04793"/>
    <w:rsid w:val="00D048F4"/>
    <w:rsid w:val="00D04F5D"/>
    <w:rsid w:val="00D04F99"/>
    <w:rsid w:val="00D05031"/>
    <w:rsid w:val="00D050F1"/>
    <w:rsid w:val="00D050FD"/>
    <w:rsid w:val="00D051F5"/>
    <w:rsid w:val="00D05299"/>
    <w:rsid w:val="00D052D1"/>
    <w:rsid w:val="00D053EB"/>
    <w:rsid w:val="00D05574"/>
    <w:rsid w:val="00D058E4"/>
    <w:rsid w:val="00D05933"/>
    <w:rsid w:val="00D059EC"/>
    <w:rsid w:val="00D05AE9"/>
    <w:rsid w:val="00D05B18"/>
    <w:rsid w:val="00D05C8D"/>
    <w:rsid w:val="00D05E6B"/>
    <w:rsid w:val="00D05F3E"/>
    <w:rsid w:val="00D05F41"/>
    <w:rsid w:val="00D05F48"/>
    <w:rsid w:val="00D06029"/>
    <w:rsid w:val="00D06092"/>
    <w:rsid w:val="00D060EC"/>
    <w:rsid w:val="00D0639F"/>
    <w:rsid w:val="00D063AE"/>
    <w:rsid w:val="00D0666E"/>
    <w:rsid w:val="00D066C0"/>
    <w:rsid w:val="00D067F5"/>
    <w:rsid w:val="00D0698C"/>
    <w:rsid w:val="00D06C23"/>
    <w:rsid w:val="00D06DB7"/>
    <w:rsid w:val="00D06E61"/>
    <w:rsid w:val="00D06FA4"/>
    <w:rsid w:val="00D06FB4"/>
    <w:rsid w:val="00D07046"/>
    <w:rsid w:val="00D0709E"/>
    <w:rsid w:val="00D0710B"/>
    <w:rsid w:val="00D073F6"/>
    <w:rsid w:val="00D0747D"/>
    <w:rsid w:val="00D07883"/>
    <w:rsid w:val="00D078F1"/>
    <w:rsid w:val="00D07A26"/>
    <w:rsid w:val="00D07C0A"/>
    <w:rsid w:val="00D07CBA"/>
    <w:rsid w:val="00D07CE4"/>
    <w:rsid w:val="00D07D3C"/>
    <w:rsid w:val="00D07F96"/>
    <w:rsid w:val="00D101C5"/>
    <w:rsid w:val="00D10380"/>
    <w:rsid w:val="00D1046E"/>
    <w:rsid w:val="00D10569"/>
    <w:rsid w:val="00D105A7"/>
    <w:rsid w:val="00D106A7"/>
    <w:rsid w:val="00D10723"/>
    <w:rsid w:val="00D1085A"/>
    <w:rsid w:val="00D1089D"/>
    <w:rsid w:val="00D10925"/>
    <w:rsid w:val="00D10B5F"/>
    <w:rsid w:val="00D10BCB"/>
    <w:rsid w:val="00D10BD0"/>
    <w:rsid w:val="00D10C3D"/>
    <w:rsid w:val="00D10DF1"/>
    <w:rsid w:val="00D11080"/>
    <w:rsid w:val="00D110C8"/>
    <w:rsid w:val="00D110CF"/>
    <w:rsid w:val="00D110E1"/>
    <w:rsid w:val="00D11516"/>
    <w:rsid w:val="00D117C0"/>
    <w:rsid w:val="00D11952"/>
    <w:rsid w:val="00D1195D"/>
    <w:rsid w:val="00D11A73"/>
    <w:rsid w:val="00D11B0B"/>
    <w:rsid w:val="00D11B90"/>
    <w:rsid w:val="00D11BB1"/>
    <w:rsid w:val="00D11D52"/>
    <w:rsid w:val="00D11DC1"/>
    <w:rsid w:val="00D11F51"/>
    <w:rsid w:val="00D122FE"/>
    <w:rsid w:val="00D12381"/>
    <w:rsid w:val="00D123C1"/>
    <w:rsid w:val="00D123FE"/>
    <w:rsid w:val="00D12530"/>
    <w:rsid w:val="00D1255D"/>
    <w:rsid w:val="00D12666"/>
    <w:rsid w:val="00D126AA"/>
    <w:rsid w:val="00D126E2"/>
    <w:rsid w:val="00D128C2"/>
    <w:rsid w:val="00D129C6"/>
    <w:rsid w:val="00D12C40"/>
    <w:rsid w:val="00D12F3B"/>
    <w:rsid w:val="00D12F4E"/>
    <w:rsid w:val="00D1301D"/>
    <w:rsid w:val="00D13047"/>
    <w:rsid w:val="00D131C9"/>
    <w:rsid w:val="00D132B2"/>
    <w:rsid w:val="00D1370B"/>
    <w:rsid w:val="00D1377D"/>
    <w:rsid w:val="00D1391D"/>
    <w:rsid w:val="00D13B92"/>
    <w:rsid w:val="00D13BFD"/>
    <w:rsid w:val="00D13C06"/>
    <w:rsid w:val="00D13CF5"/>
    <w:rsid w:val="00D13D64"/>
    <w:rsid w:val="00D13E4D"/>
    <w:rsid w:val="00D13E4F"/>
    <w:rsid w:val="00D13E81"/>
    <w:rsid w:val="00D13EF5"/>
    <w:rsid w:val="00D13F1E"/>
    <w:rsid w:val="00D142B6"/>
    <w:rsid w:val="00D1430B"/>
    <w:rsid w:val="00D14607"/>
    <w:rsid w:val="00D1460D"/>
    <w:rsid w:val="00D14707"/>
    <w:rsid w:val="00D14A2E"/>
    <w:rsid w:val="00D14A55"/>
    <w:rsid w:val="00D14A8D"/>
    <w:rsid w:val="00D14AD3"/>
    <w:rsid w:val="00D14B8F"/>
    <w:rsid w:val="00D14CC1"/>
    <w:rsid w:val="00D14CCF"/>
    <w:rsid w:val="00D14CF8"/>
    <w:rsid w:val="00D14D73"/>
    <w:rsid w:val="00D14D9A"/>
    <w:rsid w:val="00D14EC1"/>
    <w:rsid w:val="00D14F4E"/>
    <w:rsid w:val="00D1511B"/>
    <w:rsid w:val="00D152B9"/>
    <w:rsid w:val="00D1530C"/>
    <w:rsid w:val="00D153AB"/>
    <w:rsid w:val="00D15482"/>
    <w:rsid w:val="00D154C1"/>
    <w:rsid w:val="00D15728"/>
    <w:rsid w:val="00D15A18"/>
    <w:rsid w:val="00D15B8D"/>
    <w:rsid w:val="00D15CD0"/>
    <w:rsid w:val="00D15F0B"/>
    <w:rsid w:val="00D1604C"/>
    <w:rsid w:val="00D160F1"/>
    <w:rsid w:val="00D162A4"/>
    <w:rsid w:val="00D16391"/>
    <w:rsid w:val="00D16404"/>
    <w:rsid w:val="00D16559"/>
    <w:rsid w:val="00D16624"/>
    <w:rsid w:val="00D1670B"/>
    <w:rsid w:val="00D1673A"/>
    <w:rsid w:val="00D16902"/>
    <w:rsid w:val="00D169B1"/>
    <w:rsid w:val="00D16BB2"/>
    <w:rsid w:val="00D16C3F"/>
    <w:rsid w:val="00D17029"/>
    <w:rsid w:val="00D17107"/>
    <w:rsid w:val="00D17304"/>
    <w:rsid w:val="00D17352"/>
    <w:rsid w:val="00D17451"/>
    <w:rsid w:val="00D174A7"/>
    <w:rsid w:val="00D1756F"/>
    <w:rsid w:val="00D175AB"/>
    <w:rsid w:val="00D1779B"/>
    <w:rsid w:val="00D178B1"/>
    <w:rsid w:val="00D17A16"/>
    <w:rsid w:val="00D17C34"/>
    <w:rsid w:val="00D17C37"/>
    <w:rsid w:val="00D17DBB"/>
    <w:rsid w:val="00D17E4B"/>
    <w:rsid w:val="00D17E67"/>
    <w:rsid w:val="00D17E73"/>
    <w:rsid w:val="00D2009B"/>
    <w:rsid w:val="00D20170"/>
    <w:rsid w:val="00D204CB"/>
    <w:rsid w:val="00D204F3"/>
    <w:rsid w:val="00D20651"/>
    <w:rsid w:val="00D206E5"/>
    <w:rsid w:val="00D207A7"/>
    <w:rsid w:val="00D208F6"/>
    <w:rsid w:val="00D20ABB"/>
    <w:rsid w:val="00D20BE3"/>
    <w:rsid w:val="00D20C2A"/>
    <w:rsid w:val="00D20C2B"/>
    <w:rsid w:val="00D20E0F"/>
    <w:rsid w:val="00D20E1A"/>
    <w:rsid w:val="00D20F83"/>
    <w:rsid w:val="00D212E0"/>
    <w:rsid w:val="00D213CB"/>
    <w:rsid w:val="00D21727"/>
    <w:rsid w:val="00D21753"/>
    <w:rsid w:val="00D21755"/>
    <w:rsid w:val="00D21824"/>
    <w:rsid w:val="00D2187A"/>
    <w:rsid w:val="00D218E2"/>
    <w:rsid w:val="00D218EA"/>
    <w:rsid w:val="00D218F5"/>
    <w:rsid w:val="00D21A70"/>
    <w:rsid w:val="00D21BA2"/>
    <w:rsid w:val="00D21FE4"/>
    <w:rsid w:val="00D220F9"/>
    <w:rsid w:val="00D22179"/>
    <w:rsid w:val="00D22216"/>
    <w:rsid w:val="00D2245F"/>
    <w:rsid w:val="00D22610"/>
    <w:rsid w:val="00D2280B"/>
    <w:rsid w:val="00D2281C"/>
    <w:rsid w:val="00D228F2"/>
    <w:rsid w:val="00D22AD3"/>
    <w:rsid w:val="00D230B1"/>
    <w:rsid w:val="00D230EE"/>
    <w:rsid w:val="00D23253"/>
    <w:rsid w:val="00D23381"/>
    <w:rsid w:val="00D2365E"/>
    <w:rsid w:val="00D2370B"/>
    <w:rsid w:val="00D23735"/>
    <w:rsid w:val="00D2378E"/>
    <w:rsid w:val="00D23A2D"/>
    <w:rsid w:val="00D23AD5"/>
    <w:rsid w:val="00D23C6C"/>
    <w:rsid w:val="00D23DA6"/>
    <w:rsid w:val="00D23E5D"/>
    <w:rsid w:val="00D2405F"/>
    <w:rsid w:val="00D241D8"/>
    <w:rsid w:val="00D2432A"/>
    <w:rsid w:val="00D243C7"/>
    <w:rsid w:val="00D246EE"/>
    <w:rsid w:val="00D24C0D"/>
    <w:rsid w:val="00D24C1F"/>
    <w:rsid w:val="00D24C2C"/>
    <w:rsid w:val="00D24F9B"/>
    <w:rsid w:val="00D25123"/>
    <w:rsid w:val="00D25126"/>
    <w:rsid w:val="00D25157"/>
    <w:rsid w:val="00D2518E"/>
    <w:rsid w:val="00D255FC"/>
    <w:rsid w:val="00D25638"/>
    <w:rsid w:val="00D2566A"/>
    <w:rsid w:val="00D2579E"/>
    <w:rsid w:val="00D25869"/>
    <w:rsid w:val="00D258CD"/>
    <w:rsid w:val="00D258DD"/>
    <w:rsid w:val="00D25B07"/>
    <w:rsid w:val="00D25F99"/>
    <w:rsid w:val="00D25FFA"/>
    <w:rsid w:val="00D26136"/>
    <w:rsid w:val="00D2617B"/>
    <w:rsid w:val="00D2619B"/>
    <w:rsid w:val="00D2620B"/>
    <w:rsid w:val="00D26210"/>
    <w:rsid w:val="00D262D3"/>
    <w:rsid w:val="00D263D5"/>
    <w:rsid w:val="00D264F4"/>
    <w:rsid w:val="00D26511"/>
    <w:rsid w:val="00D265B9"/>
    <w:rsid w:val="00D26C41"/>
    <w:rsid w:val="00D26C58"/>
    <w:rsid w:val="00D26C6E"/>
    <w:rsid w:val="00D26D16"/>
    <w:rsid w:val="00D26E46"/>
    <w:rsid w:val="00D26FC3"/>
    <w:rsid w:val="00D26FFA"/>
    <w:rsid w:val="00D2709A"/>
    <w:rsid w:val="00D270EA"/>
    <w:rsid w:val="00D2719D"/>
    <w:rsid w:val="00D2721D"/>
    <w:rsid w:val="00D27246"/>
    <w:rsid w:val="00D272A5"/>
    <w:rsid w:val="00D272DB"/>
    <w:rsid w:val="00D272DC"/>
    <w:rsid w:val="00D27351"/>
    <w:rsid w:val="00D277F6"/>
    <w:rsid w:val="00D27803"/>
    <w:rsid w:val="00D27F16"/>
    <w:rsid w:val="00D27F1B"/>
    <w:rsid w:val="00D30103"/>
    <w:rsid w:val="00D3018D"/>
    <w:rsid w:val="00D301FD"/>
    <w:rsid w:val="00D30220"/>
    <w:rsid w:val="00D30472"/>
    <w:rsid w:val="00D3082E"/>
    <w:rsid w:val="00D309D3"/>
    <w:rsid w:val="00D30AC1"/>
    <w:rsid w:val="00D30C71"/>
    <w:rsid w:val="00D30CC1"/>
    <w:rsid w:val="00D30CD8"/>
    <w:rsid w:val="00D31193"/>
    <w:rsid w:val="00D312A7"/>
    <w:rsid w:val="00D312D2"/>
    <w:rsid w:val="00D31357"/>
    <w:rsid w:val="00D3142C"/>
    <w:rsid w:val="00D31456"/>
    <w:rsid w:val="00D31551"/>
    <w:rsid w:val="00D31688"/>
    <w:rsid w:val="00D316B1"/>
    <w:rsid w:val="00D316B6"/>
    <w:rsid w:val="00D316E6"/>
    <w:rsid w:val="00D317AD"/>
    <w:rsid w:val="00D3199E"/>
    <w:rsid w:val="00D31A5E"/>
    <w:rsid w:val="00D31B47"/>
    <w:rsid w:val="00D31BA7"/>
    <w:rsid w:val="00D31C8B"/>
    <w:rsid w:val="00D31CA4"/>
    <w:rsid w:val="00D31D1A"/>
    <w:rsid w:val="00D31DBE"/>
    <w:rsid w:val="00D31E68"/>
    <w:rsid w:val="00D31FE9"/>
    <w:rsid w:val="00D3229D"/>
    <w:rsid w:val="00D326E8"/>
    <w:rsid w:val="00D32774"/>
    <w:rsid w:val="00D3279B"/>
    <w:rsid w:val="00D32900"/>
    <w:rsid w:val="00D32A08"/>
    <w:rsid w:val="00D32A7F"/>
    <w:rsid w:val="00D32BD1"/>
    <w:rsid w:val="00D32BF9"/>
    <w:rsid w:val="00D32CA9"/>
    <w:rsid w:val="00D32CBE"/>
    <w:rsid w:val="00D32D10"/>
    <w:rsid w:val="00D32D8A"/>
    <w:rsid w:val="00D32DC7"/>
    <w:rsid w:val="00D32E58"/>
    <w:rsid w:val="00D32FF7"/>
    <w:rsid w:val="00D3305B"/>
    <w:rsid w:val="00D33142"/>
    <w:rsid w:val="00D334C7"/>
    <w:rsid w:val="00D334D6"/>
    <w:rsid w:val="00D33776"/>
    <w:rsid w:val="00D33966"/>
    <w:rsid w:val="00D33B59"/>
    <w:rsid w:val="00D33BFA"/>
    <w:rsid w:val="00D33D4B"/>
    <w:rsid w:val="00D33D66"/>
    <w:rsid w:val="00D33EAA"/>
    <w:rsid w:val="00D34181"/>
    <w:rsid w:val="00D34340"/>
    <w:rsid w:val="00D3457A"/>
    <w:rsid w:val="00D347E2"/>
    <w:rsid w:val="00D34802"/>
    <w:rsid w:val="00D348AA"/>
    <w:rsid w:val="00D348F2"/>
    <w:rsid w:val="00D348FF"/>
    <w:rsid w:val="00D34A5F"/>
    <w:rsid w:val="00D34C5C"/>
    <w:rsid w:val="00D34D50"/>
    <w:rsid w:val="00D350FD"/>
    <w:rsid w:val="00D351F5"/>
    <w:rsid w:val="00D35312"/>
    <w:rsid w:val="00D35390"/>
    <w:rsid w:val="00D355FD"/>
    <w:rsid w:val="00D35664"/>
    <w:rsid w:val="00D35D1E"/>
    <w:rsid w:val="00D35DBF"/>
    <w:rsid w:val="00D35EE2"/>
    <w:rsid w:val="00D36015"/>
    <w:rsid w:val="00D36093"/>
    <w:rsid w:val="00D36127"/>
    <w:rsid w:val="00D3617A"/>
    <w:rsid w:val="00D362E4"/>
    <w:rsid w:val="00D36331"/>
    <w:rsid w:val="00D3659E"/>
    <w:rsid w:val="00D367BB"/>
    <w:rsid w:val="00D368D4"/>
    <w:rsid w:val="00D36951"/>
    <w:rsid w:val="00D3696C"/>
    <w:rsid w:val="00D36C32"/>
    <w:rsid w:val="00D36DE3"/>
    <w:rsid w:val="00D36FA1"/>
    <w:rsid w:val="00D37206"/>
    <w:rsid w:val="00D372B5"/>
    <w:rsid w:val="00D37311"/>
    <w:rsid w:val="00D374D7"/>
    <w:rsid w:val="00D37500"/>
    <w:rsid w:val="00D3754B"/>
    <w:rsid w:val="00D37683"/>
    <w:rsid w:val="00D37885"/>
    <w:rsid w:val="00D3788D"/>
    <w:rsid w:val="00D37C07"/>
    <w:rsid w:val="00D37D0C"/>
    <w:rsid w:val="00D37F75"/>
    <w:rsid w:val="00D400DF"/>
    <w:rsid w:val="00D40206"/>
    <w:rsid w:val="00D4081D"/>
    <w:rsid w:val="00D408FD"/>
    <w:rsid w:val="00D40BDF"/>
    <w:rsid w:val="00D40F17"/>
    <w:rsid w:val="00D40FA3"/>
    <w:rsid w:val="00D4117C"/>
    <w:rsid w:val="00D41281"/>
    <w:rsid w:val="00D412CD"/>
    <w:rsid w:val="00D4153B"/>
    <w:rsid w:val="00D416A9"/>
    <w:rsid w:val="00D416C4"/>
    <w:rsid w:val="00D41842"/>
    <w:rsid w:val="00D4186E"/>
    <w:rsid w:val="00D41CD7"/>
    <w:rsid w:val="00D41D24"/>
    <w:rsid w:val="00D41DA9"/>
    <w:rsid w:val="00D421ED"/>
    <w:rsid w:val="00D42322"/>
    <w:rsid w:val="00D4247B"/>
    <w:rsid w:val="00D425BD"/>
    <w:rsid w:val="00D42A43"/>
    <w:rsid w:val="00D42A4C"/>
    <w:rsid w:val="00D42ABD"/>
    <w:rsid w:val="00D42AD6"/>
    <w:rsid w:val="00D42B8F"/>
    <w:rsid w:val="00D42BCB"/>
    <w:rsid w:val="00D42C01"/>
    <w:rsid w:val="00D42D05"/>
    <w:rsid w:val="00D42DEF"/>
    <w:rsid w:val="00D42E7D"/>
    <w:rsid w:val="00D42FA9"/>
    <w:rsid w:val="00D43194"/>
    <w:rsid w:val="00D433F6"/>
    <w:rsid w:val="00D43426"/>
    <w:rsid w:val="00D43569"/>
    <w:rsid w:val="00D4364F"/>
    <w:rsid w:val="00D4367D"/>
    <w:rsid w:val="00D43729"/>
    <w:rsid w:val="00D437BF"/>
    <w:rsid w:val="00D4391D"/>
    <w:rsid w:val="00D43958"/>
    <w:rsid w:val="00D43A19"/>
    <w:rsid w:val="00D43A88"/>
    <w:rsid w:val="00D43AB7"/>
    <w:rsid w:val="00D43CF4"/>
    <w:rsid w:val="00D43D56"/>
    <w:rsid w:val="00D43E70"/>
    <w:rsid w:val="00D43F5F"/>
    <w:rsid w:val="00D440F3"/>
    <w:rsid w:val="00D4450E"/>
    <w:rsid w:val="00D446BA"/>
    <w:rsid w:val="00D44708"/>
    <w:rsid w:val="00D44720"/>
    <w:rsid w:val="00D44772"/>
    <w:rsid w:val="00D447A4"/>
    <w:rsid w:val="00D447AD"/>
    <w:rsid w:val="00D44821"/>
    <w:rsid w:val="00D44825"/>
    <w:rsid w:val="00D448CD"/>
    <w:rsid w:val="00D448F8"/>
    <w:rsid w:val="00D4499B"/>
    <w:rsid w:val="00D449E4"/>
    <w:rsid w:val="00D44C67"/>
    <w:rsid w:val="00D44CA1"/>
    <w:rsid w:val="00D44E4D"/>
    <w:rsid w:val="00D450AF"/>
    <w:rsid w:val="00D450DA"/>
    <w:rsid w:val="00D45287"/>
    <w:rsid w:val="00D45353"/>
    <w:rsid w:val="00D453D6"/>
    <w:rsid w:val="00D4560E"/>
    <w:rsid w:val="00D4569F"/>
    <w:rsid w:val="00D457A1"/>
    <w:rsid w:val="00D457E5"/>
    <w:rsid w:val="00D457E6"/>
    <w:rsid w:val="00D45A60"/>
    <w:rsid w:val="00D45C39"/>
    <w:rsid w:val="00D45C5E"/>
    <w:rsid w:val="00D45C64"/>
    <w:rsid w:val="00D45FB5"/>
    <w:rsid w:val="00D4610C"/>
    <w:rsid w:val="00D461C2"/>
    <w:rsid w:val="00D462B4"/>
    <w:rsid w:val="00D463F7"/>
    <w:rsid w:val="00D4651C"/>
    <w:rsid w:val="00D46639"/>
    <w:rsid w:val="00D466D2"/>
    <w:rsid w:val="00D4684D"/>
    <w:rsid w:val="00D46AEA"/>
    <w:rsid w:val="00D46B62"/>
    <w:rsid w:val="00D46BCB"/>
    <w:rsid w:val="00D46D20"/>
    <w:rsid w:val="00D46DB7"/>
    <w:rsid w:val="00D46DF2"/>
    <w:rsid w:val="00D47228"/>
    <w:rsid w:val="00D472B5"/>
    <w:rsid w:val="00D473FA"/>
    <w:rsid w:val="00D4756D"/>
    <w:rsid w:val="00D47571"/>
    <w:rsid w:val="00D475B1"/>
    <w:rsid w:val="00D47701"/>
    <w:rsid w:val="00D477F2"/>
    <w:rsid w:val="00D478D7"/>
    <w:rsid w:val="00D4795D"/>
    <w:rsid w:val="00D47A02"/>
    <w:rsid w:val="00D47A0B"/>
    <w:rsid w:val="00D47AAE"/>
    <w:rsid w:val="00D47D17"/>
    <w:rsid w:val="00D47E69"/>
    <w:rsid w:val="00D47EB9"/>
    <w:rsid w:val="00D47F49"/>
    <w:rsid w:val="00D47F76"/>
    <w:rsid w:val="00D50065"/>
    <w:rsid w:val="00D502EF"/>
    <w:rsid w:val="00D50368"/>
    <w:rsid w:val="00D503E7"/>
    <w:rsid w:val="00D503EA"/>
    <w:rsid w:val="00D50451"/>
    <w:rsid w:val="00D50616"/>
    <w:rsid w:val="00D506C1"/>
    <w:rsid w:val="00D50784"/>
    <w:rsid w:val="00D507BE"/>
    <w:rsid w:val="00D509FE"/>
    <w:rsid w:val="00D50AF1"/>
    <w:rsid w:val="00D50B82"/>
    <w:rsid w:val="00D50B9A"/>
    <w:rsid w:val="00D50CF3"/>
    <w:rsid w:val="00D50DF9"/>
    <w:rsid w:val="00D50E5A"/>
    <w:rsid w:val="00D50E8A"/>
    <w:rsid w:val="00D50FEC"/>
    <w:rsid w:val="00D51113"/>
    <w:rsid w:val="00D512E5"/>
    <w:rsid w:val="00D51415"/>
    <w:rsid w:val="00D514AC"/>
    <w:rsid w:val="00D514E1"/>
    <w:rsid w:val="00D51524"/>
    <w:rsid w:val="00D515A3"/>
    <w:rsid w:val="00D51625"/>
    <w:rsid w:val="00D516CA"/>
    <w:rsid w:val="00D517C0"/>
    <w:rsid w:val="00D517EE"/>
    <w:rsid w:val="00D51C78"/>
    <w:rsid w:val="00D51D29"/>
    <w:rsid w:val="00D51E09"/>
    <w:rsid w:val="00D51F0D"/>
    <w:rsid w:val="00D5202A"/>
    <w:rsid w:val="00D520A4"/>
    <w:rsid w:val="00D52114"/>
    <w:rsid w:val="00D52121"/>
    <w:rsid w:val="00D5219C"/>
    <w:rsid w:val="00D52217"/>
    <w:rsid w:val="00D52245"/>
    <w:rsid w:val="00D525D1"/>
    <w:rsid w:val="00D5265E"/>
    <w:rsid w:val="00D526CF"/>
    <w:rsid w:val="00D52715"/>
    <w:rsid w:val="00D5275A"/>
    <w:rsid w:val="00D5281D"/>
    <w:rsid w:val="00D5287F"/>
    <w:rsid w:val="00D52957"/>
    <w:rsid w:val="00D52C97"/>
    <w:rsid w:val="00D52CFA"/>
    <w:rsid w:val="00D52E07"/>
    <w:rsid w:val="00D52F71"/>
    <w:rsid w:val="00D53026"/>
    <w:rsid w:val="00D5304E"/>
    <w:rsid w:val="00D5310C"/>
    <w:rsid w:val="00D5327F"/>
    <w:rsid w:val="00D532CC"/>
    <w:rsid w:val="00D533B6"/>
    <w:rsid w:val="00D5367F"/>
    <w:rsid w:val="00D537E4"/>
    <w:rsid w:val="00D539F8"/>
    <w:rsid w:val="00D53A2C"/>
    <w:rsid w:val="00D53A85"/>
    <w:rsid w:val="00D53AB9"/>
    <w:rsid w:val="00D53AE1"/>
    <w:rsid w:val="00D53B95"/>
    <w:rsid w:val="00D53C32"/>
    <w:rsid w:val="00D53C52"/>
    <w:rsid w:val="00D53C66"/>
    <w:rsid w:val="00D53D16"/>
    <w:rsid w:val="00D53D27"/>
    <w:rsid w:val="00D53D66"/>
    <w:rsid w:val="00D53D70"/>
    <w:rsid w:val="00D53D95"/>
    <w:rsid w:val="00D53E60"/>
    <w:rsid w:val="00D53F28"/>
    <w:rsid w:val="00D541FB"/>
    <w:rsid w:val="00D54277"/>
    <w:rsid w:val="00D5428D"/>
    <w:rsid w:val="00D542BE"/>
    <w:rsid w:val="00D5435A"/>
    <w:rsid w:val="00D544BF"/>
    <w:rsid w:val="00D54577"/>
    <w:rsid w:val="00D54825"/>
    <w:rsid w:val="00D54B87"/>
    <w:rsid w:val="00D54C4D"/>
    <w:rsid w:val="00D54F6D"/>
    <w:rsid w:val="00D551D7"/>
    <w:rsid w:val="00D5521F"/>
    <w:rsid w:val="00D55602"/>
    <w:rsid w:val="00D5571C"/>
    <w:rsid w:val="00D5581D"/>
    <w:rsid w:val="00D55A77"/>
    <w:rsid w:val="00D55AB6"/>
    <w:rsid w:val="00D55C50"/>
    <w:rsid w:val="00D55C5D"/>
    <w:rsid w:val="00D55C94"/>
    <w:rsid w:val="00D56093"/>
    <w:rsid w:val="00D561A0"/>
    <w:rsid w:val="00D563D7"/>
    <w:rsid w:val="00D563ED"/>
    <w:rsid w:val="00D565B0"/>
    <w:rsid w:val="00D56919"/>
    <w:rsid w:val="00D56947"/>
    <w:rsid w:val="00D56957"/>
    <w:rsid w:val="00D56B7A"/>
    <w:rsid w:val="00D56C24"/>
    <w:rsid w:val="00D56EF6"/>
    <w:rsid w:val="00D56F71"/>
    <w:rsid w:val="00D5701B"/>
    <w:rsid w:val="00D571B0"/>
    <w:rsid w:val="00D572B7"/>
    <w:rsid w:val="00D57327"/>
    <w:rsid w:val="00D5743F"/>
    <w:rsid w:val="00D57547"/>
    <w:rsid w:val="00D575F5"/>
    <w:rsid w:val="00D5762D"/>
    <w:rsid w:val="00D57956"/>
    <w:rsid w:val="00D579CE"/>
    <w:rsid w:val="00D57A35"/>
    <w:rsid w:val="00D57A71"/>
    <w:rsid w:val="00D57BA4"/>
    <w:rsid w:val="00D57D0E"/>
    <w:rsid w:val="00D57D2F"/>
    <w:rsid w:val="00D57ED2"/>
    <w:rsid w:val="00D57EEF"/>
    <w:rsid w:val="00D57F3B"/>
    <w:rsid w:val="00D60005"/>
    <w:rsid w:val="00D60036"/>
    <w:rsid w:val="00D6020C"/>
    <w:rsid w:val="00D60226"/>
    <w:rsid w:val="00D603D3"/>
    <w:rsid w:val="00D606D8"/>
    <w:rsid w:val="00D606DE"/>
    <w:rsid w:val="00D606F4"/>
    <w:rsid w:val="00D60950"/>
    <w:rsid w:val="00D609F2"/>
    <w:rsid w:val="00D60A9D"/>
    <w:rsid w:val="00D60ADF"/>
    <w:rsid w:val="00D60CBD"/>
    <w:rsid w:val="00D60DD6"/>
    <w:rsid w:val="00D60E1D"/>
    <w:rsid w:val="00D60EA2"/>
    <w:rsid w:val="00D61153"/>
    <w:rsid w:val="00D6125D"/>
    <w:rsid w:val="00D6126A"/>
    <w:rsid w:val="00D6143F"/>
    <w:rsid w:val="00D614AE"/>
    <w:rsid w:val="00D61535"/>
    <w:rsid w:val="00D61561"/>
    <w:rsid w:val="00D61640"/>
    <w:rsid w:val="00D616B7"/>
    <w:rsid w:val="00D616E1"/>
    <w:rsid w:val="00D61773"/>
    <w:rsid w:val="00D61909"/>
    <w:rsid w:val="00D619E7"/>
    <w:rsid w:val="00D61AC0"/>
    <w:rsid w:val="00D61C94"/>
    <w:rsid w:val="00D61D25"/>
    <w:rsid w:val="00D61D7C"/>
    <w:rsid w:val="00D61E53"/>
    <w:rsid w:val="00D61F74"/>
    <w:rsid w:val="00D61F90"/>
    <w:rsid w:val="00D61FFA"/>
    <w:rsid w:val="00D620CA"/>
    <w:rsid w:val="00D62110"/>
    <w:rsid w:val="00D62231"/>
    <w:rsid w:val="00D62507"/>
    <w:rsid w:val="00D6270F"/>
    <w:rsid w:val="00D62966"/>
    <w:rsid w:val="00D62BA2"/>
    <w:rsid w:val="00D62C3C"/>
    <w:rsid w:val="00D62C6A"/>
    <w:rsid w:val="00D62E6C"/>
    <w:rsid w:val="00D62F2A"/>
    <w:rsid w:val="00D6328E"/>
    <w:rsid w:val="00D63527"/>
    <w:rsid w:val="00D63755"/>
    <w:rsid w:val="00D6389B"/>
    <w:rsid w:val="00D63A29"/>
    <w:rsid w:val="00D63A97"/>
    <w:rsid w:val="00D63AC3"/>
    <w:rsid w:val="00D63C5B"/>
    <w:rsid w:val="00D63DA0"/>
    <w:rsid w:val="00D63DE7"/>
    <w:rsid w:val="00D63EE8"/>
    <w:rsid w:val="00D6406D"/>
    <w:rsid w:val="00D640B9"/>
    <w:rsid w:val="00D6414E"/>
    <w:rsid w:val="00D64186"/>
    <w:rsid w:val="00D643A8"/>
    <w:rsid w:val="00D644A6"/>
    <w:rsid w:val="00D64552"/>
    <w:rsid w:val="00D645A9"/>
    <w:rsid w:val="00D647E9"/>
    <w:rsid w:val="00D6498F"/>
    <w:rsid w:val="00D649D2"/>
    <w:rsid w:val="00D64AF9"/>
    <w:rsid w:val="00D64B93"/>
    <w:rsid w:val="00D64C34"/>
    <w:rsid w:val="00D64DE5"/>
    <w:rsid w:val="00D64E06"/>
    <w:rsid w:val="00D64E14"/>
    <w:rsid w:val="00D65017"/>
    <w:rsid w:val="00D6515D"/>
    <w:rsid w:val="00D65194"/>
    <w:rsid w:val="00D6519E"/>
    <w:rsid w:val="00D6536E"/>
    <w:rsid w:val="00D6558F"/>
    <w:rsid w:val="00D655A6"/>
    <w:rsid w:val="00D65675"/>
    <w:rsid w:val="00D65753"/>
    <w:rsid w:val="00D65AEB"/>
    <w:rsid w:val="00D65DF2"/>
    <w:rsid w:val="00D65E21"/>
    <w:rsid w:val="00D65EAA"/>
    <w:rsid w:val="00D65F98"/>
    <w:rsid w:val="00D660B7"/>
    <w:rsid w:val="00D662CD"/>
    <w:rsid w:val="00D66559"/>
    <w:rsid w:val="00D665A4"/>
    <w:rsid w:val="00D6666A"/>
    <w:rsid w:val="00D66956"/>
    <w:rsid w:val="00D66965"/>
    <w:rsid w:val="00D66A1A"/>
    <w:rsid w:val="00D66BFF"/>
    <w:rsid w:val="00D66C0C"/>
    <w:rsid w:val="00D66C82"/>
    <w:rsid w:val="00D66CEE"/>
    <w:rsid w:val="00D66D98"/>
    <w:rsid w:val="00D66E0C"/>
    <w:rsid w:val="00D66E35"/>
    <w:rsid w:val="00D66E84"/>
    <w:rsid w:val="00D6702F"/>
    <w:rsid w:val="00D670E1"/>
    <w:rsid w:val="00D67175"/>
    <w:rsid w:val="00D671A5"/>
    <w:rsid w:val="00D67614"/>
    <w:rsid w:val="00D67638"/>
    <w:rsid w:val="00D67A4A"/>
    <w:rsid w:val="00D67BBE"/>
    <w:rsid w:val="00D67C1A"/>
    <w:rsid w:val="00D67D87"/>
    <w:rsid w:val="00D67F1F"/>
    <w:rsid w:val="00D67F62"/>
    <w:rsid w:val="00D70016"/>
    <w:rsid w:val="00D701F1"/>
    <w:rsid w:val="00D701FC"/>
    <w:rsid w:val="00D702A3"/>
    <w:rsid w:val="00D702E4"/>
    <w:rsid w:val="00D703F6"/>
    <w:rsid w:val="00D70619"/>
    <w:rsid w:val="00D70756"/>
    <w:rsid w:val="00D70764"/>
    <w:rsid w:val="00D7078C"/>
    <w:rsid w:val="00D707CF"/>
    <w:rsid w:val="00D70B8A"/>
    <w:rsid w:val="00D70B9B"/>
    <w:rsid w:val="00D70C6D"/>
    <w:rsid w:val="00D70D1B"/>
    <w:rsid w:val="00D70E7B"/>
    <w:rsid w:val="00D70EC1"/>
    <w:rsid w:val="00D70F4F"/>
    <w:rsid w:val="00D70FD8"/>
    <w:rsid w:val="00D70FDA"/>
    <w:rsid w:val="00D7100E"/>
    <w:rsid w:val="00D7104B"/>
    <w:rsid w:val="00D711D6"/>
    <w:rsid w:val="00D712CB"/>
    <w:rsid w:val="00D7131F"/>
    <w:rsid w:val="00D7153A"/>
    <w:rsid w:val="00D71560"/>
    <w:rsid w:val="00D717AC"/>
    <w:rsid w:val="00D71882"/>
    <w:rsid w:val="00D718DC"/>
    <w:rsid w:val="00D71AB9"/>
    <w:rsid w:val="00D71AF0"/>
    <w:rsid w:val="00D71B0F"/>
    <w:rsid w:val="00D71B8C"/>
    <w:rsid w:val="00D71C68"/>
    <w:rsid w:val="00D71CFA"/>
    <w:rsid w:val="00D71DF3"/>
    <w:rsid w:val="00D71E12"/>
    <w:rsid w:val="00D71F5A"/>
    <w:rsid w:val="00D71F6F"/>
    <w:rsid w:val="00D71FA0"/>
    <w:rsid w:val="00D720A5"/>
    <w:rsid w:val="00D720B2"/>
    <w:rsid w:val="00D721E6"/>
    <w:rsid w:val="00D722E7"/>
    <w:rsid w:val="00D722F3"/>
    <w:rsid w:val="00D7234E"/>
    <w:rsid w:val="00D723DC"/>
    <w:rsid w:val="00D72491"/>
    <w:rsid w:val="00D7249B"/>
    <w:rsid w:val="00D72512"/>
    <w:rsid w:val="00D725A2"/>
    <w:rsid w:val="00D727EA"/>
    <w:rsid w:val="00D72874"/>
    <w:rsid w:val="00D728DE"/>
    <w:rsid w:val="00D7297E"/>
    <w:rsid w:val="00D72A49"/>
    <w:rsid w:val="00D72B59"/>
    <w:rsid w:val="00D72D37"/>
    <w:rsid w:val="00D7315D"/>
    <w:rsid w:val="00D73285"/>
    <w:rsid w:val="00D7335F"/>
    <w:rsid w:val="00D733A5"/>
    <w:rsid w:val="00D73557"/>
    <w:rsid w:val="00D73898"/>
    <w:rsid w:val="00D738EB"/>
    <w:rsid w:val="00D7394C"/>
    <w:rsid w:val="00D73A33"/>
    <w:rsid w:val="00D73A35"/>
    <w:rsid w:val="00D73C40"/>
    <w:rsid w:val="00D73CDC"/>
    <w:rsid w:val="00D73F4A"/>
    <w:rsid w:val="00D73FE0"/>
    <w:rsid w:val="00D74019"/>
    <w:rsid w:val="00D7428A"/>
    <w:rsid w:val="00D7439A"/>
    <w:rsid w:val="00D74409"/>
    <w:rsid w:val="00D7467F"/>
    <w:rsid w:val="00D74848"/>
    <w:rsid w:val="00D74CDF"/>
    <w:rsid w:val="00D74DA9"/>
    <w:rsid w:val="00D74E12"/>
    <w:rsid w:val="00D74E15"/>
    <w:rsid w:val="00D74F3C"/>
    <w:rsid w:val="00D74F56"/>
    <w:rsid w:val="00D751FC"/>
    <w:rsid w:val="00D753E4"/>
    <w:rsid w:val="00D7548E"/>
    <w:rsid w:val="00D756B4"/>
    <w:rsid w:val="00D7571F"/>
    <w:rsid w:val="00D758A6"/>
    <w:rsid w:val="00D75A17"/>
    <w:rsid w:val="00D75A3A"/>
    <w:rsid w:val="00D75AD3"/>
    <w:rsid w:val="00D75C74"/>
    <w:rsid w:val="00D75D75"/>
    <w:rsid w:val="00D75DA9"/>
    <w:rsid w:val="00D75E02"/>
    <w:rsid w:val="00D75E15"/>
    <w:rsid w:val="00D75E1C"/>
    <w:rsid w:val="00D75F1A"/>
    <w:rsid w:val="00D76021"/>
    <w:rsid w:val="00D762BE"/>
    <w:rsid w:val="00D7672B"/>
    <w:rsid w:val="00D7673B"/>
    <w:rsid w:val="00D76A45"/>
    <w:rsid w:val="00D76A4D"/>
    <w:rsid w:val="00D76A82"/>
    <w:rsid w:val="00D76BB8"/>
    <w:rsid w:val="00D76E2F"/>
    <w:rsid w:val="00D76E7C"/>
    <w:rsid w:val="00D76E8D"/>
    <w:rsid w:val="00D76FCF"/>
    <w:rsid w:val="00D7704C"/>
    <w:rsid w:val="00D771DF"/>
    <w:rsid w:val="00D7735D"/>
    <w:rsid w:val="00D77434"/>
    <w:rsid w:val="00D77466"/>
    <w:rsid w:val="00D77499"/>
    <w:rsid w:val="00D77518"/>
    <w:rsid w:val="00D7759F"/>
    <w:rsid w:val="00D775C2"/>
    <w:rsid w:val="00D77849"/>
    <w:rsid w:val="00D778F2"/>
    <w:rsid w:val="00D779D6"/>
    <w:rsid w:val="00D779DE"/>
    <w:rsid w:val="00D77BF6"/>
    <w:rsid w:val="00D77C57"/>
    <w:rsid w:val="00D77F27"/>
    <w:rsid w:val="00D80048"/>
    <w:rsid w:val="00D8004C"/>
    <w:rsid w:val="00D8007A"/>
    <w:rsid w:val="00D803F9"/>
    <w:rsid w:val="00D803FE"/>
    <w:rsid w:val="00D80409"/>
    <w:rsid w:val="00D805D2"/>
    <w:rsid w:val="00D806CC"/>
    <w:rsid w:val="00D8081E"/>
    <w:rsid w:val="00D80964"/>
    <w:rsid w:val="00D8098F"/>
    <w:rsid w:val="00D809CD"/>
    <w:rsid w:val="00D80DB5"/>
    <w:rsid w:val="00D810A8"/>
    <w:rsid w:val="00D811DD"/>
    <w:rsid w:val="00D8124B"/>
    <w:rsid w:val="00D8126C"/>
    <w:rsid w:val="00D81324"/>
    <w:rsid w:val="00D814C2"/>
    <w:rsid w:val="00D8166D"/>
    <w:rsid w:val="00D81724"/>
    <w:rsid w:val="00D8175F"/>
    <w:rsid w:val="00D81940"/>
    <w:rsid w:val="00D81975"/>
    <w:rsid w:val="00D81988"/>
    <w:rsid w:val="00D81B92"/>
    <w:rsid w:val="00D81D78"/>
    <w:rsid w:val="00D81E5F"/>
    <w:rsid w:val="00D81E9E"/>
    <w:rsid w:val="00D81EB3"/>
    <w:rsid w:val="00D82033"/>
    <w:rsid w:val="00D82091"/>
    <w:rsid w:val="00D823F0"/>
    <w:rsid w:val="00D82552"/>
    <w:rsid w:val="00D825E5"/>
    <w:rsid w:val="00D8279E"/>
    <w:rsid w:val="00D827F0"/>
    <w:rsid w:val="00D8282D"/>
    <w:rsid w:val="00D829FE"/>
    <w:rsid w:val="00D82CD3"/>
    <w:rsid w:val="00D82D48"/>
    <w:rsid w:val="00D82D5D"/>
    <w:rsid w:val="00D82DD9"/>
    <w:rsid w:val="00D82E71"/>
    <w:rsid w:val="00D83004"/>
    <w:rsid w:val="00D83054"/>
    <w:rsid w:val="00D831E1"/>
    <w:rsid w:val="00D83288"/>
    <w:rsid w:val="00D8331A"/>
    <w:rsid w:val="00D835BE"/>
    <w:rsid w:val="00D8367F"/>
    <w:rsid w:val="00D838BE"/>
    <w:rsid w:val="00D8392A"/>
    <w:rsid w:val="00D83A27"/>
    <w:rsid w:val="00D83B15"/>
    <w:rsid w:val="00D83C36"/>
    <w:rsid w:val="00D83C6C"/>
    <w:rsid w:val="00D8427A"/>
    <w:rsid w:val="00D842CA"/>
    <w:rsid w:val="00D843A0"/>
    <w:rsid w:val="00D8444B"/>
    <w:rsid w:val="00D84635"/>
    <w:rsid w:val="00D8468F"/>
    <w:rsid w:val="00D84716"/>
    <w:rsid w:val="00D84824"/>
    <w:rsid w:val="00D849BF"/>
    <w:rsid w:val="00D84C28"/>
    <w:rsid w:val="00D84CCE"/>
    <w:rsid w:val="00D84E12"/>
    <w:rsid w:val="00D84FF6"/>
    <w:rsid w:val="00D8503B"/>
    <w:rsid w:val="00D8505D"/>
    <w:rsid w:val="00D850E7"/>
    <w:rsid w:val="00D8511C"/>
    <w:rsid w:val="00D85373"/>
    <w:rsid w:val="00D854D0"/>
    <w:rsid w:val="00D856D7"/>
    <w:rsid w:val="00D85712"/>
    <w:rsid w:val="00D857D9"/>
    <w:rsid w:val="00D859BA"/>
    <w:rsid w:val="00D85B00"/>
    <w:rsid w:val="00D85BB4"/>
    <w:rsid w:val="00D85D2E"/>
    <w:rsid w:val="00D85E7A"/>
    <w:rsid w:val="00D862A7"/>
    <w:rsid w:val="00D862B5"/>
    <w:rsid w:val="00D862E3"/>
    <w:rsid w:val="00D862FC"/>
    <w:rsid w:val="00D865C5"/>
    <w:rsid w:val="00D8678F"/>
    <w:rsid w:val="00D867AE"/>
    <w:rsid w:val="00D868AE"/>
    <w:rsid w:val="00D86A4C"/>
    <w:rsid w:val="00D86C0D"/>
    <w:rsid w:val="00D86C6A"/>
    <w:rsid w:val="00D86DBD"/>
    <w:rsid w:val="00D86DF4"/>
    <w:rsid w:val="00D86E55"/>
    <w:rsid w:val="00D86F66"/>
    <w:rsid w:val="00D86FB3"/>
    <w:rsid w:val="00D870DC"/>
    <w:rsid w:val="00D872A4"/>
    <w:rsid w:val="00D87329"/>
    <w:rsid w:val="00D87383"/>
    <w:rsid w:val="00D874DC"/>
    <w:rsid w:val="00D87757"/>
    <w:rsid w:val="00D87EFD"/>
    <w:rsid w:val="00D90175"/>
    <w:rsid w:val="00D903F0"/>
    <w:rsid w:val="00D905C8"/>
    <w:rsid w:val="00D90687"/>
    <w:rsid w:val="00D90784"/>
    <w:rsid w:val="00D90AE9"/>
    <w:rsid w:val="00D90CFD"/>
    <w:rsid w:val="00D90E0E"/>
    <w:rsid w:val="00D90F03"/>
    <w:rsid w:val="00D910BB"/>
    <w:rsid w:val="00D910E6"/>
    <w:rsid w:val="00D913A9"/>
    <w:rsid w:val="00D913C2"/>
    <w:rsid w:val="00D91535"/>
    <w:rsid w:val="00D91636"/>
    <w:rsid w:val="00D917D8"/>
    <w:rsid w:val="00D918D7"/>
    <w:rsid w:val="00D91F0F"/>
    <w:rsid w:val="00D920E4"/>
    <w:rsid w:val="00D921C1"/>
    <w:rsid w:val="00D9235E"/>
    <w:rsid w:val="00D923A8"/>
    <w:rsid w:val="00D92487"/>
    <w:rsid w:val="00D9286B"/>
    <w:rsid w:val="00D928C1"/>
    <w:rsid w:val="00D9296D"/>
    <w:rsid w:val="00D929C0"/>
    <w:rsid w:val="00D92CC9"/>
    <w:rsid w:val="00D92D51"/>
    <w:rsid w:val="00D92E94"/>
    <w:rsid w:val="00D9341F"/>
    <w:rsid w:val="00D934B6"/>
    <w:rsid w:val="00D93682"/>
    <w:rsid w:val="00D936BC"/>
    <w:rsid w:val="00D93916"/>
    <w:rsid w:val="00D9398C"/>
    <w:rsid w:val="00D939E4"/>
    <w:rsid w:val="00D93C08"/>
    <w:rsid w:val="00D93CA4"/>
    <w:rsid w:val="00D93F14"/>
    <w:rsid w:val="00D93F36"/>
    <w:rsid w:val="00D93F9E"/>
    <w:rsid w:val="00D9401A"/>
    <w:rsid w:val="00D9406C"/>
    <w:rsid w:val="00D941B7"/>
    <w:rsid w:val="00D942A2"/>
    <w:rsid w:val="00D94841"/>
    <w:rsid w:val="00D9496B"/>
    <w:rsid w:val="00D94B4D"/>
    <w:rsid w:val="00D94C69"/>
    <w:rsid w:val="00D94DDE"/>
    <w:rsid w:val="00D94EB1"/>
    <w:rsid w:val="00D951C5"/>
    <w:rsid w:val="00D95531"/>
    <w:rsid w:val="00D95577"/>
    <w:rsid w:val="00D95AA8"/>
    <w:rsid w:val="00D95CDA"/>
    <w:rsid w:val="00D95D86"/>
    <w:rsid w:val="00D95E27"/>
    <w:rsid w:val="00D95F1A"/>
    <w:rsid w:val="00D95F35"/>
    <w:rsid w:val="00D95F65"/>
    <w:rsid w:val="00D96005"/>
    <w:rsid w:val="00D9603D"/>
    <w:rsid w:val="00D9623E"/>
    <w:rsid w:val="00D962E4"/>
    <w:rsid w:val="00D962EC"/>
    <w:rsid w:val="00D962F7"/>
    <w:rsid w:val="00D963F9"/>
    <w:rsid w:val="00D9644B"/>
    <w:rsid w:val="00D965A4"/>
    <w:rsid w:val="00D965AE"/>
    <w:rsid w:val="00D96633"/>
    <w:rsid w:val="00D9668E"/>
    <w:rsid w:val="00D96777"/>
    <w:rsid w:val="00D96931"/>
    <w:rsid w:val="00D96A82"/>
    <w:rsid w:val="00D96C57"/>
    <w:rsid w:val="00D96CFF"/>
    <w:rsid w:val="00D96DA0"/>
    <w:rsid w:val="00D96FC9"/>
    <w:rsid w:val="00D9715C"/>
    <w:rsid w:val="00D97653"/>
    <w:rsid w:val="00D976CD"/>
    <w:rsid w:val="00D97886"/>
    <w:rsid w:val="00D978E3"/>
    <w:rsid w:val="00D97A07"/>
    <w:rsid w:val="00D97AC1"/>
    <w:rsid w:val="00D97B28"/>
    <w:rsid w:val="00D97C24"/>
    <w:rsid w:val="00D97C28"/>
    <w:rsid w:val="00D97C42"/>
    <w:rsid w:val="00D97CDE"/>
    <w:rsid w:val="00D97CF3"/>
    <w:rsid w:val="00D97DE1"/>
    <w:rsid w:val="00D97FFA"/>
    <w:rsid w:val="00DA003C"/>
    <w:rsid w:val="00DA00A1"/>
    <w:rsid w:val="00DA01C5"/>
    <w:rsid w:val="00DA02BE"/>
    <w:rsid w:val="00DA031E"/>
    <w:rsid w:val="00DA06A9"/>
    <w:rsid w:val="00DA07CC"/>
    <w:rsid w:val="00DA07E6"/>
    <w:rsid w:val="00DA0855"/>
    <w:rsid w:val="00DA0897"/>
    <w:rsid w:val="00DA0B4F"/>
    <w:rsid w:val="00DA0BE4"/>
    <w:rsid w:val="00DA0CC1"/>
    <w:rsid w:val="00DA0E36"/>
    <w:rsid w:val="00DA0F36"/>
    <w:rsid w:val="00DA0F4C"/>
    <w:rsid w:val="00DA0FD3"/>
    <w:rsid w:val="00DA1093"/>
    <w:rsid w:val="00DA116C"/>
    <w:rsid w:val="00DA1201"/>
    <w:rsid w:val="00DA12CD"/>
    <w:rsid w:val="00DA13C6"/>
    <w:rsid w:val="00DA1412"/>
    <w:rsid w:val="00DA1823"/>
    <w:rsid w:val="00DA195E"/>
    <w:rsid w:val="00DA19A8"/>
    <w:rsid w:val="00DA1B84"/>
    <w:rsid w:val="00DA1DA4"/>
    <w:rsid w:val="00DA1EF7"/>
    <w:rsid w:val="00DA205A"/>
    <w:rsid w:val="00DA20CE"/>
    <w:rsid w:val="00DA2399"/>
    <w:rsid w:val="00DA2796"/>
    <w:rsid w:val="00DA2886"/>
    <w:rsid w:val="00DA289C"/>
    <w:rsid w:val="00DA28E9"/>
    <w:rsid w:val="00DA2995"/>
    <w:rsid w:val="00DA2A65"/>
    <w:rsid w:val="00DA2A72"/>
    <w:rsid w:val="00DA2C10"/>
    <w:rsid w:val="00DA2CEA"/>
    <w:rsid w:val="00DA2DFA"/>
    <w:rsid w:val="00DA2FC1"/>
    <w:rsid w:val="00DA3162"/>
    <w:rsid w:val="00DA31DD"/>
    <w:rsid w:val="00DA336D"/>
    <w:rsid w:val="00DA3372"/>
    <w:rsid w:val="00DA33AB"/>
    <w:rsid w:val="00DA3487"/>
    <w:rsid w:val="00DA35EF"/>
    <w:rsid w:val="00DA3640"/>
    <w:rsid w:val="00DA36A2"/>
    <w:rsid w:val="00DA36E6"/>
    <w:rsid w:val="00DA37C7"/>
    <w:rsid w:val="00DA388E"/>
    <w:rsid w:val="00DA3955"/>
    <w:rsid w:val="00DA3A87"/>
    <w:rsid w:val="00DA3B36"/>
    <w:rsid w:val="00DA3B6E"/>
    <w:rsid w:val="00DA3B8F"/>
    <w:rsid w:val="00DA3BE2"/>
    <w:rsid w:val="00DA3EB9"/>
    <w:rsid w:val="00DA401D"/>
    <w:rsid w:val="00DA406D"/>
    <w:rsid w:val="00DA4299"/>
    <w:rsid w:val="00DA4452"/>
    <w:rsid w:val="00DA4767"/>
    <w:rsid w:val="00DA486E"/>
    <w:rsid w:val="00DA48A9"/>
    <w:rsid w:val="00DA4972"/>
    <w:rsid w:val="00DA49FA"/>
    <w:rsid w:val="00DA4A46"/>
    <w:rsid w:val="00DA4D97"/>
    <w:rsid w:val="00DA5010"/>
    <w:rsid w:val="00DA50E2"/>
    <w:rsid w:val="00DA51C9"/>
    <w:rsid w:val="00DA532B"/>
    <w:rsid w:val="00DA5503"/>
    <w:rsid w:val="00DA56FD"/>
    <w:rsid w:val="00DA58EF"/>
    <w:rsid w:val="00DA59D5"/>
    <w:rsid w:val="00DA59FF"/>
    <w:rsid w:val="00DA5EF3"/>
    <w:rsid w:val="00DA6112"/>
    <w:rsid w:val="00DA63D4"/>
    <w:rsid w:val="00DA6445"/>
    <w:rsid w:val="00DA6464"/>
    <w:rsid w:val="00DA6491"/>
    <w:rsid w:val="00DA64DE"/>
    <w:rsid w:val="00DA652B"/>
    <w:rsid w:val="00DA6633"/>
    <w:rsid w:val="00DA6636"/>
    <w:rsid w:val="00DA67D1"/>
    <w:rsid w:val="00DA67DC"/>
    <w:rsid w:val="00DA6A73"/>
    <w:rsid w:val="00DA6CC9"/>
    <w:rsid w:val="00DA6D33"/>
    <w:rsid w:val="00DA6D95"/>
    <w:rsid w:val="00DA6DAE"/>
    <w:rsid w:val="00DA6E2E"/>
    <w:rsid w:val="00DA6E3A"/>
    <w:rsid w:val="00DA6F0B"/>
    <w:rsid w:val="00DA736E"/>
    <w:rsid w:val="00DA74E2"/>
    <w:rsid w:val="00DA775E"/>
    <w:rsid w:val="00DA7884"/>
    <w:rsid w:val="00DA7B97"/>
    <w:rsid w:val="00DA7C07"/>
    <w:rsid w:val="00DA7CB1"/>
    <w:rsid w:val="00DA7CC4"/>
    <w:rsid w:val="00DA7E87"/>
    <w:rsid w:val="00DB0074"/>
    <w:rsid w:val="00DB00EA"/>
    <w:rsid w:val="00DB019F"/>
    <w:rsid w:val="00DB039F"/>
    <w:rsid w:val="00DB03DB"/>
    <w:rsid w:val="00DB05F1"/>
    <w:rsid w:val="00DB0714"/>
    <w:rsid w:val="00DB0C0A"/>
    <w:rsid w:val="00DB0D5D"/>
    <w:rsid w:val="00DB10F8"/>
    <w:rsid w:val="00DB10F9"/>
    <w:rsid w:val="00DB113B"/>
    <w:rsid w:val="00DB12F0"/>
    <w:rsid w:val="00DB1354"/>
    <w:rsid w:val="00DB14B4"/>
    <w:rsid w:val="00DB157F"/>
    <w:rsid w:val="00DB15AB"/>
    <w:rsid w:val="00DB15FD"/>
    <w:rsid w:val="00DB17F1"/>
    <w:rsid w:val="00DB1811"/>
    <w:rsid w:val="00DB193F"/>
    <w:rsid w:val="00DB1AD4"/>
    <w:rsid w:val="00DB1EEF"/>
    <w:rsid w:val="00DB1F02"/>
    <w:rsid w:val="00DB1FEE"/>
    <w:rsid w:val="00DB233F"/>
    <w:rsid w:val="00DB23A2"/>
    <w:rsid w:val="00DB258C"/>
    <w:rsid w:val="00DB27EC"/>
    <w:rsid w:val="00DB2A83"/>
    <w:rsid w:val="00DB2B9D"/>
    <w:rsid w:val="00DB2BF3"/>
    <w:rsid w:val="00DB2D84"/>
    <w:rsid w:val="00DB2E04"/>
    <w:rsid w:val="00DB2EB6"/>
    <w:rsid w:val="00DB31AC"/>
    <w:rsid w:val="00DB338F"/>
    <w:rsid w:val="00DB3490"/>
    <w:rsid w:val="00DB34F2"/>
    <w:rsid w:val="00DB34FE"/>
    <w:rsid w:val="00DB3502"/>
    <w:rsid w:val="00DB36D6"/>
    <w:rsid w:val="00DB384B"/>
    <w:rsid w:val="00DB3C2A"/>
    <w:rsid w:val="00DB3D1B"/>
    <w:rsid w:val="00DB3F1C"/>
    <w:rsid w:val="00DB3F90"/>
    <w:rsid w:val="00DB412C"/>
    <w:rsid w:val="00DB429E"/>
    <w:rsid w:val="00DB4377"/>
    <w:rsid w:val="00DB441B"/>
    <w:rsid w:val="00DB448F"/>
    <w:rsid w:val="00DB4696"/>
    <w:rsid w:val="00DB48CE"/>
    <w:rsid w:val="00DB48FE"/>
    <w:rsid w:val="00DB4934"/>
    <w:rsid w:val="00DB4970"/>
    <w:rsid w:val="00DB4A6E"/>
    <w:rsid w:val="00DB4B19"/>
    <w:rsid w:val="00DB4B22"/>
    <w:rsid w:val="00DB4CAF"/>
    <w:rsid w:val="00DB4ECF"/>
    <w:rsid w:val="00DB505E"/>
    <w:rsid w:val="00DB5191"/>
    <w:rsid w:val="00DB546B"/>
    <w:rsid w:val="00DB5482"/>
    <w:rsid w:val="00DB56B6"/>
    <w:rsid w:val="00DB579E"/>
    <w:rsid w:val="00DB57ED"/>
    <w:rsid w:val="00DB58A0"/>
    <w:rsid w:val="00DB5A7A"/>
    <w:rsid w:val="00DB5B30"/>
    <w:rsid w:val="00DB5C12"/>
    <w:rsid w:val="00DB5CA5"/>
    <w:rsid w:val="00DB5CCA"/>
    <w:rsid w:val="00DB5E84"/>
    <w:rsid w:val="00DB62F7"/>
    <w:rsid w:val="00DB630B"/>
    <w:rsid w:val="00DB6446"/>
    <w:rsid w:val="00DB6501"/>
    <w:rsid w:val="00DB6525"/>
    <w:rsid w:val="00DB6526"/>
    <w:rsid w:val="00DB6533"/>
    <w:rsid w:val="00DB65E9"/>
    <w:rsid w:val="00DB663D"/>
    <w:rsid w:val="00DB6796"/>
    <w:rsid w:val="00DB68E1"/>
    <w:rsid w:val="00DB6A95"/>
    <w:rsid w:val="00DB6AF5"/>
    <w:rsid w:val="00DB6BC2"/>
    <w:rsid w:val="00DB6BE8"/>
    <w:rsid w:val="00DB6C4E"/>
    <w:rsid w:val="00DB6C9B"/>
    <w:rsid w:val="00DB6E78"/>
    <w:rsid w:val="00DB6F26"/>
    <w:rsid w:val="00DB70E8"/>
    <w:rsid w:val="00DB728C"/>
    <w:rsid w:val="00DB734C"/>
    <w:rsid w:val="00DB7831"/>
    <w:rsid w:val="00DB7A8D"/>
    <w:rsid w:val="00DB7ACF"/>
    <w:rsid w:val="00DB7B57"/>
    <w:rsid w:val="00DB7D9B"/>
    <w:rsid w:val="00DB7F5B"/>
    <w:rsid w:val="00DC015D"/>
    <w:rsid w:val="00DC01D9"/>
    <w:rsid w:val="00DC02E2"/>
    <w:rsid w:val="00DC04E9"/>
    <w:rsid w:val="00DC0618"/>
    <w:rsid w:val="00DC08C4"/>
    <w:rsid w:val="00DC08CC"/>
    <w:rsid w:val="00DC09B8"/>
    <w:rsid w:val="00DC09D3"/>
    <w:rsid w:val="00DC0A51"/>
    <w:rsid w:val="00DC0A54"/>
    <w:rsid w:val="00DC0ABB"/>
    <w:rsid w:val="00DC0B41"/>
    <w:rsid w:val="00DC0ED6"/>
    <w:rsid w:val="00DC0FDA"/>
    <w:rsid w:val="00DC107B"/>
    <w:rsid w:val="00DC127A"/>
    <w:rsid w:val="00DC160F"/>
    <w:rsid w:val="00DC16A8"/>
    <w:rsid w:val="00DC1882"/>
    <w:rsid w:val="00DC1950"/>
    <w:rsid w:val="00DC1A1A"/>
    <w:rsid w:val="00DC1A23"/>
    <w:rsid w:val="00DC1CEC"/>
    <w:rsid w:val="00DC1D25"/>
    <w:rsid w:val="00DC1D3B"/>
    <w:rsid w:val="00DC1D44"/>
    <w:rsid w:val="00DC1E7F"/>
    <w:rsid w:val="00DC1FF4"/>
    <w:rsid w:val="00DC2061"/>
    <w:rsid w:val="00DC20E5"/>
    <w:rsid w:val="00DC2234"/>
    <w:rsid w:val="00DC23DC"/>
    <w:rsid w:val="00DC24C2"/>
    <w:rsid w:val="00DC2522"/>
    <w:rsid w:val="00DC2887"/>
    <w:rsid w:val="00DC28CE"/>
    <w:rsid w:val="00DC293F"/>
    <w:rsid w:val="00DC2B9B"/>
    <w:rsid w:val="00DC2C30"/>
    <w:rsid w:val="00DC2C87"/>
    <w:rsid w:val="00DC303D"/>
    <w:rsid w:val="00DC311E"/>
    <w:rsid w:val="00DC32A2"/>
    <w:rsid w:val="00DC32C8"/>
    <w:rsid w:val="00DC337F"/>
    <w:rsid w:val="00DC33F8"/>
    <w:rsid w:val="00DC34FB"/>
    <w:rsid w:val="00DC35E5"/>
    <w:rsid w:val="00DC379C"/>
    <w:rsid w:val="00DC3B86"/>
    <w:rsid w:val="00DC3B8F"/>
    <w:rsid w:val="00DC3C0E"/>
    <w:rsid w:val="00DC3D32"/>
    <w:rsid w:val="00DC40C0"/>
    <w:rsid w:val="00DC42E9"/>
    <w:rsid w:val="00DC4533"/>
    <w:rsid w:val="00DC4743"/>
    <w:rsid w:val="00DC4A7E"/>
    <w:rsid w:val="00DC4B57"/>
    <w:rsid w:val="00DC4BC7"/>
    <w:rsid w:val="00DC50AC"/>
    <w:rsid w:val="00DC53C6"/>
    <w:rsid w:val="00DC552F"/>
    <w:rsid w:val="00DC5557"/>
    <w:rsid w:val="00DC55EA"/>
    <w:rsid w:val="00DC5694"/>
    <w:rsid w:val="00DC59F1"/>
    <w:rsid w:val="00DC5AB2"/>
    <w:rsid w:val="00DC5FBF"/>
    <w:rsid w:val="00DC6278"/>
    <w:rsid w:val="00DC643E"/>
    <w:rsid w:val="00DC6538"/>
    <w:rsid w:val="00DC657C"/>
    <w:rsid w:val="00DC680F"/>
    <w:rsid w:val="00DC68BE"/>
    <w:rsid w:val="00DC6AD2"/>
    <w:rsid w:val="00DC6BC6"/>
    <w:rsid w:val="00DC6BEE"/>
    <w:rsid w:val="00DC6DF5"/>
    <w:rsid w:val="00DC6F9A"/>
    <w:rsid w:val="00DC6FDA"/>
    <w:rsid w:val="00DC7194"/>
    <w:rsid w:val="00DC7268"/>
    <w:rsid w:val="00DC735D"/>
    <w:rsid w:val="00DC7363"/>
    <w:rsid w:val="00DC7464"/>
    <w:rsid w:val="00DC7542"/>
    <w:rsid w:val="00DC76D3"/>
    <w:rsid w:val="00DC77C2"/>
    <w:rsid w:val="00DC7893"/>
    <w:rsid w:val="00DC78BC"/>
    <w:rsid w:val="00DC78EB"/>
    <w:rsid w:val="00DC7959"/>
    <w:rsid w:val="00DC7A70"/>
    <w:rsid w:val="00DC7E0F"/>
    <w:rsid w:val="00DD00A9"/>
    <w:rsid w:val="00DD01FB"/>
    <w:rsid w:val="00DD0326"/>
    <w:rsid w:val="00DD032A"/>
    <w:rsid w:val="00DD0370"/>
    <w:rsid w:val="00DD073C"/>
    <w:rsid w:val="00DD0795"/>
    <w:rsid w:val="00DD08DD"/>
    <w:rsid w:val="00DD0966"/>
    <w:rsid w:val="00DD0A60"/>
    <w:rsid w:val="00DD0A63"/>
    <w:rsid w:val="00DD0AEA"/>
    <w:rsid w:val="00DD0BD2"/>
    <w:rsid w:val="00DD0D5F"/>
    <w:rsid w:val="00DD10BC"/>
    <w:rsid w:val="00DD115F"/>
    <w:rsid w:val="00DD1211"/>
    <w:rsid w:val="00DD124E"/>
    <w:rsid w:val="00DD127F"/>
    <w:rsid w:val="00DD12B2"/>
    <w:rsid w:val="00DD13A2"/>
    <w:rsid w:val="00DD14B6"/>
    <w:rsid w:val="00DD160B"/>
    <w:rsid w:val="00DD168B"/>
    <w:rsid w:val="00DD1818"/>
    <w:rsid w:val="00DD182B"/>
    <w:rsid w:val="00DD1957"/>
    <w:rsid w:val="00DD19AC"/>
    <w:rsid w:val="00DD1A53"/>
    <w:rsid w:val="00DD1CCF"/>
    <w:rsid w:val="00DD1CDA"/>
    <w:rsid w:val="00DD1ED0"/>
    <w:rsid w:val="00DD1F98"/>
    <w:rsid w:val="00DD201C"/>
    <w:rsid w:val="00DD2211"/>
    <w:rsid w:val="00DD23DB"/>
    <w:rsid w:val="00DD23FB"/>
    <w:rsid w:val="00DD2656"/>
    <w:rsid w:val="00DD26D3"/>
    <w:rsid w:val="00DD2701"/>
    <w:rsid w:val="00DD2976"/>
    <w:rsid w:val="00DD2EEF"/>
    <w:rsid w:val="00DD3084"/>
    <w:rsid w:val="00DD331D"/>
    <w:rsid w:val="00DD33CB"/>
    <w:rsid w:val="00DD3713"/>
    <w:rsid w:val="00DD3B29"/>
    <w:rsid w:val="00DD3B3D"/>
    <w:rsid w:val="00DD3B55"/>
    <w:rsid w:val="00DD3B95"/>
    <w:rsid w:val="00DD3BAA"/>
    <w:rsid w:val="00DD3C72"/>
    <w:rsid w:val="00DD3E7E"/>
    <w:rsid w:val="00DD4240"/>
    <w:rsid w:val="00DD463B"/>
    <w:rsid w:val="00DD47D5"/>
    <w:rsid w:val="00DD4856"/>
    <w:rsid w:val="00DD4861"/>
    <w:rsid w:val="00DD48B6"/>
    <w:rsid w:val="00DD4A84"/>
    <w:rsid w:val="00DD4BEB"/>
    <w:rsid w:val="00DD4DB3"/>
    <w:rsid w:val="00DD4E2D"/>
    <w:rsid w:val="00DD4F99"/>
    <w:rsid w:val="00DD5079"/>
    <w:rsid w:val="00DD50C5"/>
    <w:rsid w:val="00DD50E2"/>
    <w:rsid w:val="00DD5245"/>
    <w:rsid w:val="00DD5357"/>
    <w:rsid w:val="00DD5511"/>
    <w:rsid w:val="00DD559A"/>
    <w:rsid w:val="00DD56DB"/>
    <w:rsid w:val="00DD596F"/>
    <w:rsid w:val="00DD5D97"/>
    <w:rsid w:val="00DD6012"/>
    <w:rsid w:val="00DD60CF"/>
    <w:rsid w:val="00DD615D"/>
    <w:rsid w:val="00DD61B4"/>
    <w:rsid w:val="00DD61B5"/>
    <w:rsid w:val="00DD6685"/>
    <w:rsid w:val="00DD66CB"/>
    <w:rsid w:val="00DD6BBE"/>
    <w:rsid w:val="00DD6D72"/>
    <w:rsid w:val="00DD6DE2"/>
    <w:rsid w:val="00DD6E60"/>
    <w:rsid w:val="00DD6F3E"/>
    <w:rsid w:val="00DD7214"/>
    <w:rsid w:val="00DD735A"/>
    <w:rsid w:val="00DD75F3"/>
    <w:rsid w:val="00DD79D0"/>
    <w:rsid w:val="00DD7B20"/>
    <w:rsid w:val="00DD7D0A"/>
    <w:rsid w:val="00DD7D67"/>
    <w:rsid w:val="00DE01BD"/>
    <w:rsid w:val="00DE03D5"/>
    <w:rsid w:val="00DE03E4"/>
    <w:rsid w:val="00DE03EA"/>
    <w:rsid w:val="00DE04C8"/>
    <w:rsid w:val="00DE05A0"/>
    <w:rsid w:val="00DE0634"/>
    <w:rsid w:val="00DE0739"/>
    <w:rsid w:val="00DE0854"/>
    <w:rsid w:val="00DE090B"/>
    <w:rsid w:val="00DE0A08"/>
    <w:rsid w:val="00DE0BFA"/>
    <w:rsid w:val="00DE0FD9"/>
    <w:rsid w:val="00DE1041"/>
    <w:rsid w:val="00DE1298"/>
    <w:rsid w:val="00DE1327"/>
    <w:rsid w:val="00DE1809"/>
    <w:rsid w:val="00DE185E"/>
    <w:rsid w:val="00DE193E"/>
    <w:rsid w:val="00DE199B"/>
    <w:rsid w:val="00DE1B18"/>
    <w:rsid w:val="00DE1CAA"/>
    <w:rsid w:val="00DE1E10"/>
    <w:rsid w:val="00DE1FEC"/>
    <w:rsid w:val="00DE21C6"/>
    <w:rsid w:val="00DE2494"/>
    <w:rsid w:val="00DE2850"/>
    <w:rsid w:val="00DE2954"/>
    <w:rsid w:val="00DE2A07"/>
    <w:rsid w:val="00DE2B94"/>
    <w:rsid w:val="00DE2C6D"/>
    <w:rsid w:val="00DE2FD4"/>
    <w:rsid w:val="00DE3135"/>
    <w:rsid w:val="00DE341B"/>
    <w:rsid w:val="00DE35BD"/>
    <w:rsid w:val="00DE3842"/>
    <w:rsid w:val="00DE395C"/>
    <w:rsid w:val="00DE3A65"/>
    <w:rsid w:val="00DE3A78"/>
    <w:rsid w:val="00DE3C9F"/>
    <w:rsid w:val="00DE3D8D"/>
    <w:rsid w:val="00DE3E2C"/>
    <w:rsid w:val="00DE3FFA"/>
    <w:rsid w:val="00DE41C4"/>
    <w:rsid w:val="00DE4247"/>
    <w:rsid w:val="00DE4398"/>
    <w:rsid w:val="00DE43F5"/>
    <w:rsid w:val="00DE46B6"/>
    <w:rsid w:val="00DE47B8"/>
    <w:rsid w:val="00DE4869"/>
    <w:rsid w:val="00DE4B0B"/>
    <w:rsid w:val="00DE4C4E"/>
    <w:rsid w:val="00DE4C59"/>
    <w:rsid w:val="00DE4C72"/>
    <w:rsid w:val="00DE4D59"/>
    <w:rsid w:val="00DE4E13"/>
    <w:rsid w:val="00DE4EAB"/>
    <w:rsid w:val="00DE508A"/>
    <w:rsid w:val="00DE56BE"/>
    <w:rsid w:val="00DE57ED"/>
    <w:rsid w:val="00DE5995"/>
    <w:rsid w:val="00DE59E4"/>
    <w:rsid w:val="00DE5AC5"/>
    <w:rsid w:val="00DE5EC6"/>
    <w:rsid w:val="00DE602C"/>
    <w:rsid w:val="00DE6083"/>
    <w:rsid w:val="00DE61C3"/>
    <w:rsid w:val="00DE62DB"/>
    <w:rsid w:val="00DE6350"/>
    <w:rsid w:val="00DE6414"/>
    <w:rsid w:val="00DE6505"/>
    <w:rsid w:val="00DE684F"/>
    <w:rsid w:val="00DE6B77"/>
    <w:rsid w:val="00DE6CAF"/>
    <w:rsid w:val="00DE6D08"/>
    <w:rsid w:val="00DE709D"/>
    <w:rsid w:val="00DE7114"/>
    <w:rsid w:val="00DE731D"/>
    <w:rsid w:val="00DE7603"/>
    <w:rsid w:val="00DE7692"/>
    <w:rsid w:val="00DE7974"/>
    <w:rsid w:val="00DE7BB4"/>
    <w:rsid w:val="00DE7C01"/>
    <w:rsid w:val="00DE7D2F"/>
    <w:rsid w:val="00DE7D9A"/>
    <w:rsid w:val="00DE7E36"/>
    <w:rsid w:val="00DE7E3D"/>
    <w:rsid w:val="00DF0016"/>
    <w:rsid w:val="00DF003A"/>
    <w:rsid w:val="00DF00AF"/>
    <w:rsid w:val="00DF01F5"/>
    <w:rsid w:val="00DF032A"/>
    <w:rsid w:val="00DF03A7"/>
    <w:rsid w:val="00DF03EE"/>
    <w:rsid w:val="00DF06B4"/>
    <w:rsid w:val="00DF0744"/>
    <w:rsid w:val="00DF07C5"/>
    <w:rsid w:val="00DF0844"/>
    <w:rsid w:val="00DF091A"/>
    <w:rsid w:val="00DF0B36"/>
    <w:rsid w:val="00DF0B7E"/>
    <w:rsid w:val="00DF0B7F"/>
    <w:rsid w:val="00DF0BB5"/>
    <w:rsid w:val="00DF0C64"/>
    <w:rsid w:val="00DF0CC2"/>
    <w:rsid w:val="00DF0CCA"/>
    <w:rsid w:val="00DF0D03"/>
    <w:rsid w:val="00DF0F49"/>
    <w:rsid w:val="00DF0F75"/>
    <w:rsid w:val="00DF134A"/>
    <w:rsid w:val="00DF15E9"/>
    <w:rsid w:val="00DF170C"/>
    <w:rsid w:val="00DF179D"/>
    <w:rsid w:val="00DF17FB"/>
    <w:rsid w:val="00DF18C5"/>
    <w:rsid w:val="00DF19B1"/>
    <w:rsid w:val="00DF19EB"/>
    <w:rsid w:val="00DF1A68"/>
    <w:rsid w:val="00DF1AF5"/>
    <w:rsid w:val="00DF1B01"/>
    <w:rsid w:val="00DF1B28"/>
    <w:rsid w:val="00DF1C8B"/>
    <w:rsid w:val="00DF1CC8"/>
    <w:rsid w:val="00DF1D8F"/>
    <w:rsid w:val="00DF1EC0"/>
    <w:rsid w:val="00DF204A"/>
    <w:rsid w:val="00DF2253"/>
    <w:rsid w:val="00DF2333"/>
    <w:rsid w:val="00DF245E"/>
    <w:rsid w:val="00DF24A8"/>
    <w:rsid w:val="00DF25B6"/>
    <w:rsid w:val="00DF2629"/>
    <w:rsid w:val="00DF27E9"/>
    <w:rsid w:val="00DF2A31"/>
    <w:rsid w:val="00DF2AF8"/>
    <w:rsid w:val="00DF2CB4"/>
    <w:rsid w:val="00DF2F20"/>
    <w:rsid w:val="00DF308B"/>
    <w:rsid w:val="00DF3137"/>
    <w:rsid w:val="00DF3258"/>
    <w:rsid w:val="00DF33B1"/>
    <w:rsid w:val="00DF3447"/>
    <w:rsid w:val="00DF35C7"/>
    <w:rsid w:val="00DF367F"/>
    <w:rsid w:val="00DF3706"/>
    <w:rsid w:val="00DF3BA8"/>
    <w:rsid w:val="00DF3C47"/>
    <w:rsid w:val="00DF3C63"/>
    <w:rsid w:val="00DF3DB2"/>
    <w:rsid w:val="00DF3E1A"/>
    <w:rsid w:val="00DF3E5E"/>
    <w:rsid w:val="00DF3EA4"/>
    <w:rsid w:val="00DF4105"/>
    <w:rsid w:val="00DF4269"/>
    <w:rsid w:val="00DF43D3"/>
    <w:rsid w:val="00DF43EF"/>
    <w:rsid w:val="00DF4469"/>
    <w:rsid w:val="00DF455B"/>
    <w:rsid w:val="00DF45E8"/>
    <w:rsid w:val="00DF46D3"/>
    <w:rsid w:val="00DF47D4"/>
    <w:rsid w:val="00DF4873"/>
    <w:rsid w:val="00DF4B43"/>
    <w:rsid w:val="00DF4CC4"/>
    <w:rsid w:val="00DF4D71"/>
    <w:rsid w:val="00DF4DB1"/>
    <w:rsid w:val="00DF4ECE"/>
    <w:rsid w:val="00DF4F46"/>
    <w:rsid w:val="00DF50B4"/>
    <w:rsid w:val="00DF50F8"/>
    <w:rsid w:val="00DF5100"/>
    <w:rsid w:val="00DF53D1"/>
    <w:rsid w:val="00DF545D"/>
    <w:rsid w:val="00DF552C"/>
    <w:rsid w:val="00DF55C8"/>
    <w:rsid w:val="00DF5769"/>
    <w:rsid w:val="00DF58A7"/>
    <w:rsid w:val="00DF5A98"/>
    <w:rsid w:val="00DF5D3C"/>
    <w:rsid w:val="00DF5F8E"/>
    <w:rsid w:val="00DF6107"/>
    <w:rsid w:val="00DF610D"/>
    <w:rsid w:val="00DF61BC"/>
    <w:rsid w:val="00DF6547"/>
    <w:rsid w:val="00DF664D"/>
    <w:rsid w:val="00DF695A"/>
    <w:rsid w:val="00DF6A5A"/>
    <w:rsid w:val="00DF6A69"/>
    <w:rsid w:val="00DF6C93"/>
    <w:rsid w:val="00DF6F9A"/>
    <w:rsid w:val="00DF70BC"/>
    <w:rsid w:val="00DF70F0"/>
    <w:rsid w:val="00DF7261"/>
    <w:rsid w:val="00DF73B5"/>
    <w:rsid w:val="00DF74AF"/>
    <w:rsid w:val="00DF7718"/>
    <w:rsid w:val="00DF777B"/>
    <w:rsid w:val="00DF77C5"/>
    <w:rsid w:val="00DF77DB"/>
    <w:rsid w:val="00DF780F"/>
    <w:rsid w:val="00DF78AE"/>
    <w:rsid w:val="00DF7A12"/>
    <w:rsid w:val="00DF7A54"/>
    <w:rsid w:val="00DF7CA9"/>
    <w:rsid w:val="00E002C7"/>
    <w:rsid w:val="00E0035B"/>
    <w:rsid w:val="00E0056B"/>
    <w:rsid w:val="00E005B8"/>
    <w:rsid w:val="00E005C9"/>
    <w:rsid w:val="00E006C6"/>
    <w:rsid w:val="00E007DE"/>
    <w:rsid w:val="00E00941"/>
    <w:rsid w:val="00E0099D"/>
    <w:rsid w:val="00E00A18"/>
    <w:rsid w:val="00E00A42"/>
    <w:rsid w:val="00E00D69"/>
    <w:rsid w:val="00E00D7B"/>
    <w:rsid w:val="00E00E14"/>
    <w:rsid w:val="00E00E96"/>
    <w:rsid w:val="00E01039"/>
    <w:rsid w:val="00E01051"/>
    <w:rsid w:val="00E01053"/>
    <w:rsid w:val="00E01060"/>
    <w:rsid w:val="00E010F3"/>
    <w:rsid w:val="00E01105"/>
    <w:rsid w:val="00E013EF"/>
    <w:rsid w:val="00E01402"/>
    <w:rsid w:val="00E014BD"/>
    <w:rsid w:val="00E01642"/>
    <w:rsid w:val="00E016F5"/>
    <w:rsid w:val="00E018E6"/>
    <w:rsid w:val="00E0194A"/>
    <w:rsid w:val="00E01B9C"/>
    <w:rsid w:val="00E01F47"/>
    <w:rsid w:val="00E0204B"/>
    <w:rsid w:val="00E020FF"/>
    <w:rsid w:val="00E0217D"/>
    <w:rsid w:val="00E022B0"/>
    <w:rsid w:val="00E02311"/>
    <w:rsid w:val="00E02592"/>
    <w:rsid w:val="00E02784"/>
    <w:rsid w:val="00E028D1"/>
    <w:rsid w:val="00E02A5F"/>
    <w:rsid w:val="00E02C1D"/>
    <w:rsid w:val="00E02C37"/>
    <w:rsid w:val="00E02C7B"/>
    <w:rsid w:val="00E02CCA"/>
    <w:rsid w:val="00E02EF8"/>
    <w:rsid w:val="00E03073"/>
    <w:rsid w:val="00E0309D"/>
    <w:rsid w:val="00E031CC"/>
    <w:rsid w:val="00E033CC"/>
    <w:rsid w:val="00E0342B"/>
    <w:rsid w:val="00E0348F"/>
    <w:rsid w:val="00E0350F"/>
    <w:rsid w:val="00E036B5"/>
    <w:rsid w:val="00E037EF"/>
    <w:rsid w:val="00E03A1A"/>
    <w:rsid w:val="00E03A94"/>
    <w:rsid w:val="00E03BBC"/>
    <w:rsid w:val="00E03BF8"/>
    <w:rsid w:val="00E03EAA"/>
    <w:rsid w:val="00E03EEA"/>
    <w:rsid w:val="00E03F15"/>
    <w:rsid w:val="00E03F37"/>
    <w:rsid w:val="00E042CA"/>
    <w:rsid w:val="00E04435"/>
    <w:rsid w:val="00E0444A"/>
    <w:rsid w:val="00E04560"/>
    <w:rsid w:val="00E046C6"/>
    <w:rsid w:val="00E046E8"/>
    <w:rsid w:val="00E046F6"/>
    <w:rsid w:val="00E0479E"/>
    <w:rsid w:val="00E0488E"/>
    <w:rsid w:val="00E04899"/>
    <w:rsid w:val="00E04942"/>
    <w:rsid w:val="00E049BB"/>
    <w:rsid w:val="00E04A9B"/>
    <w:rsid w:val="00E04D76"/>
    <w:rsid w:val="00E04EF0"/>
    <w:rsid w:val="00E0512B"/>
    <w:rsid w:val="00E0532B"/>
    <w:rsid w:val="00E054CA"/>
    <w:rsid w:val="00E05545"/>
    <w:rsid w:val="00E055FE"/>
    <w:rsid w:val="00E05785"/>
    <w:rsid w:val="00E057AF"/>
    <w:rsid w:val="00E0580E"/>
    <w:rsid w:val="00E05953"/>
    <w:rsid w:val="00E05AAD"/>
    <w:rsid w:val="00E05B6C"/>
    <w:rsid w:val="00E05D30"/>
    <w:rsid w:val="00E05D63"/>
    <w:rsid w:val="00E05FE2"/>
    <w:rsid w:val="00E05FFF"/>
    <w:rsid w:val="00E062A2"/>
    <w:rsid w:val="00E06343"/>
    <w:rsid w:val="00E06737"/>
    <w:rsid w:val="00E0674C"/>
    <w:rsid w:val="00E0695E"/>
    <w:rsid w:val="00E06CC9"/>
    <w:rsid w:val="00E06CFA"/>
    <w:rsid w:val="00E06D71"/>
    <w:rsid w:val="00E06E13"/>
    <w:rsid w:val="00E06E1B"/>
    <w:rsid w:val="00E06E93"/>
    <w:rsid w:val="00E06EFF"/>
    <w:rsid w:val="00E0713E"/>
    <w:rsid w:val="00E071F1"/>
    <w:rsid w:val="00E0726C"/>
    <w:rsid w:val="00E072BA"/>
    <w:rsid w:val="00E0750F"/>
    <w:rsid w:val="00E0760C"/>
    <w:rsid w:val="00E07660"/>
    <w:rsid w:val="00E0766E"/>
    <w:rsid w:val="00E0768D"/>
    <w:rsid w:val="00E076E1"/>
    <w:rsid w:val="00E078C5"/>
    <w:rsid w:val="00E07975"/>
    <w:rsid w:val="00E07B10"/>
    <w:rsid w:val="00E07C31"/>
    <w:rsid w:val="00E07C8C"/>
    <w:rsid w:val="00E07CB7"/>
    <w:rsid w:val="00E07CBD"/>
    <w:rsid w:val="00E07CF2"/>
    <w:rsid w:val="00E07F1A"/>
    <w:rsid w:val="00E10083"/>
    <w:rsid w:val="00E101D9"/>
    <w:rsid w:val="00E102E9"/>
    <w:rsid w:val="00E10533"/>
    <w:rsid w:val="00E105F1"/>
    <w:rsid w:val="00E10731"/>
    <w:rsid w:val="00E107C7"/>
    <w:rsid w:val="00E10849"/>
    <w:rsid w:val="00E10CAC"/>
    <w:rsid w:val="00E10CD1"/>
    <w:rsid w:val="00E10D6A"/>
    <w:rsid w:val="00E10DEB"/>
    <w:rsid w:val="00E10E9C"/>
    <w:rsid w:val="00E10F23"/>
    <w:rsid w:val="00E1110C"/>
    <w:rsid w:val="00E111D4"/>
    <w:rsid w:val="00E1124C"/>
    <w:rsid w:val="00E11440"/>
    <w:rsid w:val="00E11548"/>
    <w:rsid w:val="00E115F3"/>
    <w:rsid w:val="00E11897"/>
    <w:rsid w:val="00E11923"/>
    <w:rsid w:val="00E119F6"/>
    <w:rsid w:val="00E11A15"/>
    <w:rsid w:val="00E11B09"/>
    <w:rsid w:val="00E11BD9"/>
    <w:rsid w:val="00E11C52"/>
    <w:rsid w:val="00E11C7C"/>
    <w:rsid w:val="00E11CB9"/>
    <w:rsid w:val="00E11F06"/>
    <w:rsid w:val="00E1202E"/>
    <w:rsid w:val="00E1205C"/>
    <w:rsid w:val="00E12063"/>
    <w:rsid w:val="00E12097"/>
    <w:rsid w:val="00E12260"/>
    <w:rsid w:val="00E122B3"/>
    <w:rsid w:val="00E125D9"/>
    <w:rsid w:val="00E12623"/>
    <w:rsid w:val="00E12C34"/>
    <w:rsid w:val="00E12EFD"/>
    <w:rsid w:val="00E12F0C"/>
    <w:rsid w:val="00E13071"/>
    <w:rsid w:val="00E131AE"/>
    <w:rsid w:val="00E13359"/>
    <w:rsid w:val="00E136CB"/>
    <w:rsid w:val="00E13723"/>
    <w:rsid w:val="00E137FD"/>
    <w:rsid w:val="00E13854"/>
    <w:rsid w:val="00E13898"/>
    <w:rsid w:val="00E139E3"/>
    <w:rsid w:val="00E13B08"/>
    <w:rsid w:val="00E13B76"/>
    <w:rsid w:val="00E13D15"/>
    <w:rsid w:val="00E13D61"/>
    <w:rsid w:val="00E13E8F"/>
    <w:rsid w:val="00E13F87"/>
    <w:rsid w:val="00E13F9D"/>
    <w:rsid w:val="00E14145"/>
    <w:rsid w:val="00E141DD"/>
    <w:rsid w:val="00E143DB"/>
    <w:rsid w:val="00E14566"/>
    <w:rsid w:val="00E145FF"/>
    <w:rsid w:val="00E148C2"/>
    <w:rsid w:val="00E14BF1"/>
    <w:rsid w:val="00E14C1A"/>
    <w:rsid w:val="00E14C43"/>
    <w:rsid w:val="00E14D03"/>
    <w:rsid w:val="00E14D1A"/>
    <w:rsid w:val="00E14ED7"/>
    <w:rsid w:val="00E14F23"/>
    <w:rsid w:val="00E15197"/>
    <w:rsid w:val="00E151EA"/>
    <w:rsid w:val="00E152AB"/>
    <w:rsid w:val="00E153D3"/>
    <w:rsid w:val="00E15410"/>
    <w:rsid w:val="00E15554"/>
    <w:rsid w:val="00E15556"/>
    <w:rsid w:val="00E155AE"/>
    <w:rsid w:val="00E15888"/>
    <w:rsid w:val="00E15910"/>
    <w:rsid w:val="00E159B9"/>
    <w:rsid w:val="00E15ABD"/>
    <w:rsid w:val="00E15C53"/>
    <w:rsid w:val="00E15D9C"/>
    <w:rsid w:val="00E15E46"/>
    <w:rsid w:val="00E15EDB"/>
    <w:rsid w:val="00E15EFF"/>
    <w:rsid w:val="00E15F90"/>
    <w:rsid w:val="00E16172"/>
    <w:rsid w:val="00E1619C"/>
    <w:rsid w:val="00E1622D"/>
    <w:rsid w:val="00E162D2"/>
    <w:rsid w:val="00E162D6"/>
    <w:rsid w:val="00E162E1"/>
    <w:rsid w:val="00E1636D"/>
    <w:rsid w:val="00E163AD"/>
    <w:rsid w:val="00E1641F"/>
    <w:rsid w:val="00E16558"/>
    <w:rsid w:val="00E16969"/>
    <w:rsid w:val="00E16BE7"/>
    <w:rsid w:val="00E16CC9"/>
    <w:rsid w:val="00E16CF5"/>
    <w:rsid w:val="00E16DFD"/>
    <w:rsid w:val="00E16FC5"/>
    <w:rsid w:val="00E16FCE"/>
    <w:rsid w:val="00E17052"/>
    <w:rsid w:val="00E17096"/>
    <w:rsid w:val="00E17158"/>
    <w:rsid w:val="00E17161"/>
    <w:rsid w:val="00E17203"/>
    <w:rsid w:val="00E174C2"/>
    <w:rsid w:val="00E175F1"/>
    <w:rsid w:val="00E175F8"/>
    <w:rsid w:val="00E17834"/>
    <w:rsid w:val="00E179C7"/>
    <w:rsid w:val="00E17AAC"/>
    <w:rsid w:val="00E17AB3"/>
    <w:rsid w:val="00E17F78"/>
    <w:rsid w:val="00E17FD5"/>
    <w:rsid w:val="00E200D7"/>
    <w:rsid w:val="00E201BE"/>
    <w:rsid w:val="00E20212"/>
    <w:rsid w:val="00E202B6"/>
    <w:rsid w:val="00E20391"/>
    <w:rsid w:val="00E20511"/>
    <w:rsid w:val="00E205C8"/>
    <w:rsid w:val="00E2060D"/>
    <w:rsid w:val="00E209E5"/>
    <w:rsid w:val="00E20B1E"/>
    <w:rsid w:val="00E20CC3"/>
    <w:rsid w:val="00E20E46"/>
    <w:rsid w:val="00E20EA9"/>
    <w:rsid w:val="00E21185"/>
    <w:rsid w:val="00E2155B"/>
    <w:rsid w:val="00E21571"/>
    <w:rsid w:val="00E2174C"/>
    <w:rsid w:val="00E2177E"/>
    <w:rsid w:val="00E217EF"/>
    <w:rsid w:val="00E21859"/>
    <w:rsid w:val="00E218E9"/>
    <w:rsid w:val="00E219E1"/>
    <w:rsid w:val="00E21A0F"/>
    <w:rsid w:val="00E21BF3"/>
    <w:rsid w:val="00E21DDB"/>
    <w:rsid w:val="00E2203F"/>
    <w:rsid w:val="00E223F7"/>
    <w:rsid w:val="00E22512"/>
    <w:rsid w:val="00E2254F"/>
    <w:rsid w:val="00E22788"/>
    <w:rsid w:val="00E2278A"/>
    <w:rsid w:val="00E227DB"/>
    <w:rsid w:val="00E22816"/>
    <w:rsid w:val="00E22AA6"/>
    <w:rsid w:val="00E22DFE"/>
    <w:rsid w:val="00E22E7A"/>
    <w:rsid w:val="00E2318A"/>
    <w:rsid w:val="00E23273"/>
    <w:rsid w:val="00E232C0"/>
    <w:rsid w:val="00E23325"/>
    <w:rsid w:val="00E2335C"/>
    <w:rsid w:val="00E23388"/>
    <w:rsid w:val="00E2352C"/>
    <w:rsid w:val="00E23575"/>
    <w:rsid w:val="00E235EC"/>
    <w:rsid w:val="00E236ED"/>
    <w:rsid w:val="00E238D6"/>
    <w:rsid w:val="00E23948"/>
    <w:rsid w:val="00E239B9"/>
    <w:rsid w:val="00E23A0A"/>
    <w:rsid w:val="00E23BAA"/>
    <w:rsid w:val="00E23EFB"/>
    <w:rsid w:val="00E2404C"/>
    <w:rsid w:val="00E240CD"/>
    <w:rsid w:val="00E2421E"/>
    <w:rsid w:val="00E242A6"/>
    <w:rsid w:val="00E24358"/>
    <w:rsid w:val="00E243DC"/>
    <w:rsid w:val="00E244AD"/>
    <w:rsid w:val="00E24659"/>
    <w:rsid w:val="00E24672"/>
    <w:rsid w:val="00E24681"/>
    <w:rsid w:val="00E246E2"/>
    <w:rsid w:val="00E24841"/>
    <w:rsid w:val="00E24B5D"/>
    <w:rsid w:val="00E24B8D"/>
    <w:rsid w:val="00E24C56"/>
    <w:rsid w:val="00E25051"/>
    <w:rsid w:val="00E25055"/>
    <w:rsid w:val="00E25145"/>
    <w:rsid w:val="00E2522A"/>
    <w:rsid w:val="00E25396"/>
    <w:rsid w:val="00E253FF"/>
    <w:rsid w:val="00E254AC"/>
    <w:rsid w:val="00E2550B"/>
    <w:rsid w:val="00E25939"/>
    <w:rsid w:val="00E25BAB"/>
    <w:rsid w:val="00E25D9B"/>
    <w:rsid w:val="00E26181"/>
    <w:rsid w:val="00E26332"/>
    <w:rsid w:val="00E26363"/>
    <w:rsid w:val="00E264B8"/>
    <w:rsid w:val="00E264FE"/>
    <w:rsid w:val="00E26575"/>
    <w:rsid w:val="00E266D1"/>
    <w:rsid w:val="00E267D2"/>
    <w:rsid w:val="00E268CC"/>
    <w:rsid w:val="00E269D7"/>
    <w:rsid w:val="00E26AA1"/>
    <w:rsid w:val="00E26B2A"/>
    <w:rsid w:val="00E26C6E"/>
    <w:rsid w:val="00E26D44"/>
    <w:rsid w:val="00E26D68"/>
    <w:rsid w:val="00E27362"/>
    <w:rsid w:val="00E273B7"/>
    <w:rsid w:val="00E2745C"/>
    <w:rsid w:val="00E275A9"/>
    <w:rsid w:val="00E2768A"/>
    <w:rsid w:val="00E276A6"/>
    <w:rsid w:val="00E27A7F"/>
    <w:rsid w:val="00E27C02"/>
    <w:rsid w:val="00E302D3"/>
    <w:rsid w:val="00E304CB"/>
    <w:rsid w:val="00E3064C"/>
    <w:rsid w:val="00E30653"/>
    <w:rsid w:val="00E3067A"/>
    <w:rsid w:val="00E307E6"/>
    <w:rsid w:val="00E308E2"/>
    <w:rsid w:val="00E30960"/>
    <w:rsid w:val="00E30C59"/>
    <w:rsid w:val="00E30C72"/>
    <w:rsid w:val="00E30D3D"/>
    <w:rsid w:val="00E30E26"/>
    <w:rsid w:val="00E30EA5"/>
    <w:rsid w:val="00E30F2E"/>
    <w:rsid w:val="00E30F58"/>
    <w:rsid w:val="00E3112F"/>
    <w:rsid w:val="00E312CA"/>
    <w:rsid w:val="00E3137E"/>
    <w:rsid w:val="00E3154E"/>
    <w:rsid w:val="00E31716"/>
    <w:rsid w:val="00E31917"/>
    <w:rsid w:val="00E31995"/>
    <w:rsid w:val="00E31A43"/>
    <w:rsid w:val="00E31B9D"/>
    <w:rsid w:val="00E31E6F"/>
    <w:rsid w:val="00E31F10"/>
    <w:rsid w:val="00E31F5A"/>
    <w:rsid w:val="00E31F69"/>
    <w:rsid w:val="00E31FBA"/>
    <w:rsid w:val="00E32095"/>
    <w:rsid w:val="00E3213B"/>
    <w:rsid w:val="00E321D6"/>
    <w:rsid w:val="00E321DD"/>
    <w:rsid w:val="00E323A1"/>
    <w:rsid w:val="00E32477"/>
    <w:rsid w:val="00E325D8"/>
    <w:rsid w:val="00E3276F"/>
    <w:rsid w:val="00E32BEF"/>
    <w:rsid w:val="00E32C36"/>
    <w:rsid w:val="00E32D89"/>
    <w:rsid w:val="00E32EF9"/>
    <w:rsid w:val="00E33051"/>
    <w:rsid w:val="00E330F1"/>
    <w:rsid w:val="00E33113"/>
    <w:rsid w:val="00E33129"/>
    <w:rsid w:val="00E33283"/>
    <w:rsid w:val="00E3334D"/>
    <w:rsid w:val="00E33502"/>
    <w:rsid w:val="00E3362A"/>
    <w:rsid w:val="00E3366F"/>
    <w:rsid w:val="00E336A7"/>
    <w:rsid w:val="00E336D0"/>
    <w:rsid w:val="00E336F4"/>
    <w:rsid w:val="00E33A51"/>
    <w:rsid w:val="00E33AFB"/>
    <w:rsid w:val="00E33BF5"/>
    <w:rsid w:val="00E33C17"/>
    <w:rsid w:val="00E33C52"/>
    <w:rsid w:val="00E33E4C"/>
    <w:rsid w:val="00E33EB6"/>
    <w:rsid w:val="00E340E4"/>
    <w:rsid w:val="00E34470"/>
    <w:rsid w:val="00E34513"/>
    <w:rsid w:val="00E34551"/>
    <w:rsid w:val="00E346D3"/>
    <w:rsid w:val="00E346F9"/>
    <w:rsid w:val="00E34917"/>
    <w:rsid w:val="00E349C2"/>
    <w:rsid w:val="00E34A25"/>
    <w:rsid w:val="00E34C40"/>
    <w:rsid w:val="00E34D30"/>
    <w:rsid w:val="00E34F01"/>
    <w:rsid w:val="00E34F96"/>
    <w:rsid w:val="00E35024"/>
    <w:rsid w:val="00E35190"/>
    <w:rsid w:val="00E3529B"/>
    <w:rsid w:val="00E354F7"/>
    <w:rsid w:val="00E355E4"/>
    <w:rsid w:val="00E356E8"/>
    <w:rsid w:val="00E35786"/>
    <w:rsid w:val="00E35802"/>
    <w:rsid w:val="00E3582E"/>
    <w:rsid w:val="00E35AED"/>
    <w:rsid w:val="00E35D09"/>
    <w:rsid w:val="00E35D7E"/>
    <w:rsid w:val="00E35E18"/>
    <w:rsid w:val="00E35E70"/>
    <w:rsid w:val="00E35EE1"/>
    <w:rsid w:val="00E36103"/>
    <w:rsid w:val="00E36337"/>
    <w:rsid w:val="00E367A1"/>
    <w:rsid w:val="00E368EE"/>
    <w:rsid w:val="00E36A74"/>
    <w:rsid w:val="00E36C2A"/>
    <w:rsid w:val="00E36D17"/>
    <w:rsid w:val="00E37099"/>
    <w:rsid w:val="00E370D0"/>
    <w:rsid w:val="00E37AC4"/>
    <w:rsid w:val="00E37AFB"/>
    <w:rsid w:val="00E37B77"/>
    <w:rsid w:val="00E37BCC"/>
    <w:rsid w:val="00E37D17"/>
    <w:rsid w:val="00E37F44"/>
    <w:rsid w:val="00E40014"/>
    <w:rsid w:val="00E40070"/>
    <w:rsid w:val="00E40108"/>
    <w:rsid w:val="00E403FE"/>
    <w:rsid w:val="00E40A0E"/>
    <w:rsid w:val="00E40C2B"/>
    <w:rsid w:val="00E40CD4"/>
    <w:rsid w:val="00E40DF0"/>
    <w:rsid w:val="00E40E4E"/>
    <w:rsid w:val="00E40F15"/>
    <w:rsid w:val="00E40F7D"/>
    <w:rsid w:val="00E410EC"/>
    <w:rsid w:val="00E41141"/>
    <w:rsid w:val="00E41149"/>
    <w:rsid w:val="00E4121A"/>
    <w:rsid w:val="00E41258"/>
    <w:rsid w:val="00E413A4"/>
    <w:rsid w:val="00E413D0"/>
    <w:rsid w:val="00E41435"/>
    <w:rsid w:val="00E41485"/>
    <w:rsid w:val="00E417A9"/>
    <w:rsid w:val="00E41A3A"/>
    <w:rsid w:val="00E41BFD"/>
    <w:rsid w:val="00E41D59"/>
    <w:rsid w:val="00E41EB7"/>
    <w:rsid w:val="00E41F8C"/>
    <w:rsid w:val="00E4204B"/>
    <w:rsid w:val="00E42152"/>
    <w:rsid w:val="00E422F7"/>
    <w:rsid w:val="00E42523"/>
    <w:rsid w:val="00E425B9"/>
    <w:rsid w:val="00E42639"/>
    <w:rsid w:val="00E4268C"/>
    <w:rsid w:val="00E42762"/>
    <w:rsid w:val="00E42B6E"/>
    <w:rsid w:val="00E42BC7"/>
    <w:rsid w:val="00E42DA6"/>
    <w:rsid w:val="00E43090"/>
    <w:rsid w:val="00E4313E"/>
    <w:rsid w:val="00E43179"/>
    <w:rsid w:val="00E431A1"/>
    <w:rsid w:val="00E4332F"/>
    <w:rsid w:val="00E4339F"/>
    <w:rsid w:val="00E43545"/>
    <w:rsid w:val="00E4358E"/>
    <w:rsid w:val="00E43590"/>
    <w:rsid w:val="00E43628"/>
    <w:rsid w:val="00E43703"/>
    <w:rsid w:val="00E4371F"/>
    <w:rsid w:val="00E43797"/>
    <w:rsid w:val="00E43865"/>
    <w:rsid w:val="00E4387C"/>
    <w:rsid w:val="00E43987"/>
    <w:rsid w:val="00E43A6F"/>
    <w:rsid w:val="00E43B8B"/>
    <w:rsid w:val="00E43CA1"/>
    <w:rsid w:val="00E43E99"/>
    <w:rsid w:val="00E440D7"/>
    <w:rsid w:val="00E4411D"/>
    <w:rsid w:val="00E442D1"/>
    <w:rsid w:val="00E44510"/>
    <w:rsid w:val="00E445F9"/>
    <w:rsid w:val="00E4465B"/>
    <w:rsid w:val="00E44894"/>
    <w:rsid w:val="00E4493F"/>
    <w:rsid w:val="00E449E8"/>
    <w:rsid w:val="00E44BE0"/>
    <w:rsid w:val="00E44C3A"/>
    <w:rsid w:val="00E44C6A"/>
    <w:rsid w:val="00E44D63"/>
    <w:rsid w:val="00E44D6B"/>
    <w:rsid w:val="00E44E75"/>
    <w:rsid w:val="00E44EF3"/>
    <w:rsid w:val="00E44F3B"/>
    <w:rsid w:val="00E4506F"/>
    <w:rsid w:val="00E4536B"/>
    <w:rsid w:val="00E456B0"/>
    <w:rsid w:val="00E45836"/>
    <w:rsid w:val="00E45A22"/>
    <w:rsid w:val="00E45A29"/>
    <w:rsid w:val="00E45CA6"/>
    <w:rsid w:val="00E45CBF"/>
    <w:rsid w:val="00E45DD6"/>
    <w:rsid w:val="00E45DE2"/>
    <w:rsid w:val="00E460A3"/>
    <w:rsid w:val="00E460A7"/>
    <w:rsid w:val="00E4619B"/>
    <w:rsid w:val="00E46215"/>
    <w:rsid w:val="00E46356"/>
    <w:rsid w:val="00E46410"/>
    <w:rsid w:val="00E4650A"/>
    <w:rsid w:val="00E4650C"/>
    <w:rsid w:val="00E46576"/>
    <w:rsid w:val="00E46595"/>
    <w:rsid w:val="00E466A5"/>
    <w:rsid w:val="00E466C5"/>
    <w:rsid w:val="00E46749"/>
    <w:rsid w:val="00E46782"/>
    <w:rsid w:val="00E46886"/>
    <w:rsid w:val="00E46D9B"/>
    <w:rsid w:val="00E46EC9"/>
    <w:rsid w:val="00E47000"/>
    <w:rsid w:val="00E47279"/>
    <w:rsid w:val="00E473DA"/>
    <w:rsid w:val="00E473E7"/>
    <w:rsid w:val="00E47445"/>
    <w:rsid w:val="00E47699"/>
    <w:rsid w:val="00E476EF"/>
    <w:rsid w:val="00E47807"/>
    <w:rsid w:val="00E479D2"/>
    <w:rsid w:val="00E479F3"/>
    <w:rsid w:val="00E47A42"/>
    <w:rsid w:val="00E47AA7"/>
    <w:rsid w:val="00E47B78"/>
    <w:rsid w:val="00E47C8D"/>
    <w:rsid w:val="00E47DB4"/>
    <w:rsid w:val="00E47E0F"/>
    <w:rsid w:val="00E47EB2"/>
    <w:rsid w:val="00E500EA"/>
    <w:rsid w:val="00E5018C"/>
    <w:rsid w:val="00E5035E"/>
    <w:rsid w:val="00E506B5"/>
    <w:rsid w:val="00E50931"/>
    <w:rsid w:val="00E509AB"/>
    <w:rsid w:val="00E509CE"/>
    <w:rsid w:val="00E509F8"/>
    <w:rsid w:val="00E50DCD"/>
    <w:rsid w:val="00E50E85"/>
    <w:rsid w:val="00E50EDF"/>
    <w:rsid w:val="00E51007"/>
    <w:rsid w:val="00E51055"/>
    <w:rsid w:val="00E510D0"/>
    <w:rsid w:val="00E51139"/>
    <w:rsid w:val="00E5128E"/>
    <w:rsid w:val="00E514DF"/>
    <w:rsid w:val="00E5167C"/>
    <w:rsid w:val="00E518F3"/>
    <w:rsid w:val="00E51927"/>
    <w:rsid w:val="00E519E0"/>
    <w:rsid w:val="00E51A21"/>
    <w:rsid w:val="00E51A4A"/>
    <w:rsid w:val="00E51A84"/>
    <w:rsid w:val="00E51BC4"/>
    <w:rsid w:val="00E51CCB"/>
    <w:rsid w:val="00E51CCC"/>
    <w:rsid w:val="00E51E65"/>
    <w:rsid w:val="00E51E79"/>
    <w:rsid w:val="00E51E87"/>
    <w:rsid w:val="00E51F27"/>
    <w:rsid w:val="00E524ED"/>
    <w:rsid w:val="00E525BB"/>
    <w:rsid w:val="00E5273E"/>
    <w:rsid w:val="00E52754"/>
    <w:rsid w:val="00E52953"/>
    <w:rsid w:val="00E52968"/>
    <w:rsid w:val="00E529F2"/>
    <w:rsid w:val="00E52AC5"/>
    <w:rsid w:val="00E52BE4"/>
    <w:rsid w:val="00E52C09"/>
    <w:rsid w:val="00E52D0D"/>
    <w:rsid w:val="00E52D65"/>
    <w:rsid w:val="00E52FF4"/>
    <w:rsid w:val="00E52FFD"/>
    <w:rsid w:val="00E5323F"/>
    <w:rsid w:val="00E5328D"/>
    <w:rsid w:val="00E532DA"/>
    <w:rsid w:val="00E53555"/>
    <w:rsid w:val="00E53791"/>
    <w:rsid w:val="00E539C0"/>
    <w:rsid w:val="00E53A10"/>
    <w:rsid w:val="00E53AFA"/>
    <w:rsid w:val="00E53D58"/>
    <w:rsid w:val="00E54005"/>
    <w:rsid w:val="00E5415E"/>
    <w:rsid w:val="00E5434D"/>
    <w:rsid w:val="00E544B9"/>
    <w:rsid w:val="00E54695"/>
    <w:rsid w:val="00E546CE"/>
    <w:rsid w:val="00E54CC6"/>
    <w:rsid w:val="00E54D92"/>
    <w:rsid w:val="00E54D98"/>
    <w:rsid w:val="00E54E64"/>
    <w:rsid w:val="00E54EE6"/>
    <w:rsid w:val="00E54F51"/>
    <w:rsid w:val="00E55393"/>
    <w:rsid w:val="00E55576"/>
    <w:rsid w:val="00E555CA"/>
    <w:rsid w:val="00E5562D"/>
    <w:rsid w:val="00E556E9"/>
    <w:rsid w:val="00E5572C"/>
    <w:rsid w:val="00E557A8"/>
    <w:rsid w:val="00E5580D"/>
    <w:rsid w:val="00E558C1"/>
    <w:rsid w:val="00E559E9"/>
    <w:rsid w:val="00E55A58"/>
    <w:rsid w:val="00E55ADB"/>
    <w:rsid w:val="00E55BF3"/>
    <w:rsid w:val="00E55C41"/>
    <w:rsid w:val="00E55D37"/>
    <w:rsid w:val="00E55D5E"/>
    <w:rsid w:val="00E55DAF"/>
    <w:rsid w:val="00E55F0F"/>
    <w:rsid w:val="00E56128"/>
    <w:rsid w:val="00E5616C"/>
    <w:rsid w:val="00E5624C"/>
    <w:rsid w:val="00E5637D"/>
    <w:rsid w:val="00E5647A"/>
    <w:rsid w:val="00E565EF"/>
    <w:rsid w:val="00E566E2"/>
    <w:rsid w:val="00E5673F"/>
    <w:rsid w:val="00E56786"/>
    <w:rsid w:val="00E567A5"/>
    <w:rsid w:val="00E5695D"/>
    <w:rsid w:val="00E56973"/>
    <w:rsid w:val="00E56AA5"/>
    <w:rsid w:val="00E56BFA"/>
    <w:rsid w:val="00E56C20"/>
    <w:rsid w:val="00E56C49"/>
    <w:rsid w:val="00E5732A"/>
    <w:rsid w:val="00E57375"/>
    <w:rsid w:val="00E5744B"/>
    <w:rsid w:val="00E574D7"/>
    <w:rsid w:val="00E5781D"/>
    <w:rsid w:val="00E5783B"/>
    <w:rsid w:val="00E578EE"/>
    <w:rsid w:val="00E57998"/>
    <w:rsid w:val="00E57A4C"/>
    <w:rsid w:val="00E57AE1"/>
    <w:rsid w:val="00E57B7E"/>
    <w:rsid w:val="00E57F75"/>
    <w:rsid w:val="00E6017F"/>
    <w:rsid w:val="00E6022B"/>
    <w:rsid w:val="00E60299"/>
    <w:rsid w:val="00E6029D"/>
    <w:rsid w:val="00E60374"/>
    <w:rsid w:val="00E605F4"/>
    <w:rsid w:val="00E606B0"/>
    <w:rsid w:val="00E606E0"/>
    <w:rsid w:val="00E606E4"/>
    <w:rsid w:val="00E607B9"/>
    <w:rsid w:val="00E60827"/>
    <w:rsid w:val="00E60873"/>
    <w:rsid w:val="00E6090F"/>
    <w:rsid w:val="00E60969"/>
    <w:rsid w:val="00E60AE7"/>
    <w:rsid w:val="00E60CBF"/>
    <w:rsid w:val="00E60D17"/>
    <w:rsid w:val="00E60FC9"/>
    <w:rsid w:val="00E61088"/>
    <w:rsid w:val="00E61160"/>
    <w:rsid w:val="00E61278"/>
    <w:rsid w:val="00E6132E"/>
    <w:rsid w:val="00E6143E"/>
    <w:rsid w:val="00E61459"/>
    <w:rsid w:val="00E6152A"/>
    <w:rsid w:val="00E615BB"/>
    <w:rsid w:val="00E615C4"/>
    <w:rsid w:val="00E6170F"/>
    <w:rsid w:val="00E6174D"/>
    <w:rsid w:val="00E61785"/>
    <w:rsid w:val="00E6182D"/>
    <w:rsid w:val="00E61933"/>
    <w:rsid w:val="00E61A06"/>
    <w:rsid w:val="00E61A6C"/>
    <w:rsid w:val="00E61A88"/>
    <w:rsid w:val="00E61CC2"/>
    <w:rsid w:val="00E61D9A"/>
    <w:rsid w:val="00E61D9E"/>
    <w:rsid w:val="00E62087"/>
    <w:rsid w:val="00E620D9"/>
    <w:rsid w:val="00E6212D"/>
    <w:rsid w:val="00E6213D"/>
    <w:rsid w:val="00E621D1"/>
    <w:rsid w:val="00E6229C"/>
    <w:rsid w:val="00E62420"/>
    <w:rsid w:val="00E6247F"/>
    <w:rsid w:val="00E625F8"/>
    <w:rsid w:val="00E62A2F"/>
    <w:rsid w:val="00E62AA0"/>
    <w:rsid w:val="00E62C00"/>
    <w:rsid w:val="00E62C99"/>
    <w:rsid w:val="00E62E03"/>
    <w:rsid w:val="00E62E46"/>
    <w:rsid w:val="00E630C4"/>
    <w:rsid w:val="00E630F7"/>
    <w:rsid w:val="00E63199"/>
    <w:rsid w:val="00E63221"/>
    <w:rsid w:val="00E63568"/>
    <w:rsid w:val="00E63681"/>
    <w:rsid w:val="00E63759"/>
    <w:rsid w:val="00E637A3"/>
    <w:rsid w:val="00E6384C"/>
    <w:rsid w:val="00E639A6"/>
    <w:rsid w:val="00E63A28"/>
    <w:rsid w:val="00E63BD8"/>
    <w:rsid w:val="00E63C35"/>
    <w:rsid w:val="00E63CC5"/>
    <w:rsid w:val="00E64283"/>
    <w:rsid w:val="00E6429E"/>
    <w:rsid w:val="00E643D0"/>
    <w:rsid w:val="00E643EE"/>
    <w:rsid w:val="00E6457C"/>
    <w:rsid w:val="00E6457D"/>
    <w:rsid w:val="00E64625"/>
    <w:rsid w:val="00E64735"/>
    <w:rsid w:val="00E64759"/>
    <w:rsid w:val="00E64839"/>
    <w:rsid w:val="00E64A4B"/>
    <w:rsid w:val="00E64AE9"/>
    <w:rsid w:val="00E64DEA"/>
    <w:rsid w:val="00E651FC"/>
    <w:rsid w:val="00E652B7"/>
    <w:rsid w:val="00E652E6"/>
    <w:rsid w:val="00E6537C"/>
    <w:rsid w:val="00E654CC"/>
    <w:rsid w:val="00E65524"/>
    <w:rsid w:val="00E656C4"/>
    <w:rsid w:val="00E6571E"/>
    <w:rsid w:val="00E65868"/>
    <w:rsid w:val="00E6596E"/>
    <w:rsid w:val="00E65B45"/>
    <w:rsid w:val="00E65D04"/>
    <w:rsid w:val="00E65D48"/>
    <w:rsid w:val="00E65D84"/>
    <w:rsid w:val="00E65DA5"/>
    <w:rsid w:val="00E65F03"/>
    <w:rsid w:val="00E65F39"/>
    <w:rsid w:val="00E65F47"/>
    <w:rsid w:val="00E66008"/>
    <w:rsid w:val="00E6609A"/>
    <w:rsid w:val="00E66361"/>
    <w:rsid w:val="00E664DC"/>
    <w:rsid w:val="00E665EE"/>
    <w:rsid w:val="00E66616"/>
    <w:rsid w:val="00E66B18"/>
    <w:rsid w:val="00E66BE7"/>
    <w:rsid w:val="00E66CDC"/>
    <w:rsid w:val="00E66E0B"/>
    <w:rsid w:val="00E66F8A"/>
    <w:rsid w:val="00E67071"/>
    <w:rsid w:val="00E670EA"/>
    <w:rsid w:val="00E672E6"/>
    <w:rsid w:val="00E6735D"/>
    <w:rsid w:val="00E67559"/>
    <w:rsid w:val="00E676A5"/>
    <w:rsid w:val="00E679C6"/>
    <w:rsid w:val="00E67A98"/>
    <w:rsid w:val="00E67BE4"/>
    <w:rsid w:val="00E67BE6"/>
    <w:rsid w:val="00E67C48"/>
    <w:rsid w:val="00E67DDA"/>
    <w:rsid w:val="00E67F06"/>
    <w:rsid w:val="00E67F35"/>
    <w:rsid w:val="00E67F4A"/>
    <w:rsid w:val="00E70209"/>
    <w:rsid w:val="00E7028D"/>
    <w:rsid w:val="00E70343"/>
    <w:rsid w:val="00E7050E"/>
    <w:rsid w:val="00E70A47"/>
    <w:rsid w:val="00E70B3B"/>
    <w:rsid w:val="00E70B88"/>
    <w:rsid w:val="00E70BD0"/>
    <w:rsid w:val="00E70BF4"/>
    <w:rsid w:val="00E70FD1"/>
    <w:rsid w:val="00E71009"/>
    <w:rsid w:val="00E7104A"/>
    <w:rsid w:val="00E71095"/>
    <w:rsid w:val="00E71643"/>
    <w:rsid w:val="00E7198D"/>
    <w:rsid w:val="00E71DA9"/>
    <w:rsid w:val="00E71E06"/>
    <w:rsid w:val="00E720EA"/>
    <w:rsid w:val="00E721BE"/>
    <w:rsid w:val="00E721F8"/>
    <w:rsid w:val="00E72356"/>
    <w:rsid w:val="00E72466"/>
    <w:rsid w:val="00E7257C"/>
    <w:rsid w:val="00E725BC"/>
    <w:rsid w:val="00E725E4"/>
    <w:rsid w:val="00E726D6"/>
    <w:rsid w:val="00E72727"/>
    <w:rsid w:val="00E72973"/>
    <w:rsid w:val="00E72A13"/>
    <w:rsid w:val="00E72AE1"/>
    <w:rsid w:val="00E72B1D"/>
    <w:rsid w:val="00E72BAD"/>
    <w:rsid w:val="00E72BFD"/>
    <w:rsid w:val="00E72C51"/>
    <w:rsid w:val="00E72E7A"/>
    <w:rsid w:val="00E72EA0"/>
    <w:rsid w:val="00E73040"/>
    <w:rsid w:val="00E73187"/>
    <w:rsid w:val="00E731A9"/>
    <w:rsid w:val="00E7335E"/>
    <w:rsid w:val="00E73390"/>
    <w:rsid w:val="00E73410"/>
    <w:rsid w:val="00E734A9"/>
    <w:rsid w:val="00E735C2"/>
    <w:rsid w:val="00E73645"/>
    <w:rsid w:val="00E73755"/>
    <w:rsid w:val="00E73769"/>
    <w:rsid w:val="00E7392D"/>
    <w:rsid w:val="00E7396A"/>
    <w:rsid w:val="00E739AE"/>
    <w:rsid w:val="00E73A47"/>
    <w:rsid w:val="00E73A88"/>
    <w:rsid w:val="00E73B79"/>
    <w:rsid w:val="00E73BA1"/>
    <w:rsid w:val="00E73C0D"/>
    <w:rsid w:val="00E73D05"/>
    <w:rsid w:val="00E73D3E"/>
    <w:rsid w:val="00E73DFC"/>
    <w:rsid w:val="00E73FD6"/>
    <w:rsid w:val="00E740F7"/>
    <w:rsid w:val="00E74123"/>
    <w:rsid w:val="00E74296"/>
    <w:rsid w:val="00E742FB"/>
    <w:rsid w:val="00E7437F"/>
    <w:rsid w:val="00E74480"/>
    <w:rsid w:val="00E747CC"/>
    <w:rsid w:val="00E747D0"/>
    <w:rsid w:val="00E7488E"/>
    <w:rsid w:val="00E748B2"/>
    <w:rsid w:val="00E748BA"/>
    <w:rsid w:val="00E74A41"/>
    <w:rsid w:val="00E74B08"/>
    <w:rsid w:val="00E74B58"/>
    <w:rsid w:val="00E74BBA"/>
    <w:rsid w:val="00E74D41"/>
    <w:rsid w:val="00E74EC8"/>
    <w:rsid w:val="00E74ED2"/>
    <w:rsid w:val="00E74EF9"/>
    <w:rsid w:val="00E74F3E"/>
    <w:rsid w:val="00E74FD4"/>
    <w:rsid w:val="00E750C0"/>
    <w:rsid w:val="00E751A7"/>
    <w:rsid w:val="00E751C6"/>
    <w:rsid w:val="00E751F3"/>
    <w:rsid w:val="00E7522E"/>
    <w:rsid w:val="00E7538C"/>
    <w:rsid w:val="00E753AC"/>
    <w:rsid w:val="00E7570A"/>
    <w:rsid w:val="00E7580A"/>
    <w:rsid w:val="00E7582E"/>
    <w:rsid w:val="00E759CF"/>
    <w:rsid w:val="00E759FF"/>
    <w:rsid w:val="00E75A1A"/>
    <w:rsid w:val="00E75A61"/>
    <w:rsid w:val="00E75BD9"/>
    <w:rsid w:val="00E75CEE"/>
    <w:rsid w:val="00E75F02"/>
    <w:rsid w:val="00E75F2E"/>
    <w:rsid w:val="00E7606F"/>
    <w:rsid w:val="00E760BE"/>
    <w:rsid w:val="00E761EC"/>
    <w:rsid w:val="00E76430"/>
    <w:rsid w:val="00E76498"/>
    <w:rsid w:val="00E76505"/>
    <w:rsid w:val="00E7651E"/>
    <w:rsid w:val="00E765BC"/>
    <w:rsid w:val="00E7670C"/>
    <w:rsid w:val="00E7676A"/>
    <w:rsid w:val="00E76AC6"/>
    <w:rsid w:val="00E76C46"/>
    <w:rsid w:val="00E76EE4"/>
    <w:rsid w:val="00E76F60"/>
    <w:rsid w:val="00E7703F"/>
    <w:rsid w:val="00E770CC"/>
    <w:rsid w:val="00E7716C"/>
    <w:rsid w:val="00E773D8"/>
    <w:rsid w:val="00E774D8"/>
    <w:rsid w:val="00E774DB"/>
    <w:rsid w:val="00E77A70"/>
    <w:rsid w:val="00E77B4A"/>
    <w:rsid w:val="00E77CF6"/>
    <w:rsid w:val="00E7BD68"/>
    <w:rsid w:val="00E80084"/>
    <w:rsid w:val="00E80134"/>
    <w:rsid w:val="00E8019F"/>
    <w:rsid w:val="00E801DB"/>
    <w:rsid w:val="00E80233"/>
    <w:rsid w:val="00E80428"/>
    <w:rsid w:val="00E80437"/>
    <w:rsid w:val="00E80491"/>
    <w:rsid w:val="00E805DA"/>
    <w:rsid w:val="00E807F5"/>
    <w:rsid w:val="00E8090D"/>
    <w:rsid w:val="00E8094A"/>
    <w:rsid w:val="00E80997"/>
    <w:rsid w:val="00E809C0"/>
    <w:rsid w:val="00E809CE"/>
    <w:rsid w:val="00E80A6F"/>
    <w:rsid w:val="00E80BD5"/>
    <w:rsid w:val="00E80BE3"/>
    <w:rsid w:val="00E80D86"/>
    <w:rsid w:val="00E80FA0"/>
    <w:rsid w:val="00E80FFF"/>
    <w:rsid w:val="00E8111C"/>
    <w:rsid w:val="00E81150"/>
    <w:rsid w:val="00E811D6"/>
    <w:rsid w:val="00E8157E"/>
    <w:rsid w:val="00E815DC"/>
    <w:rsid w:val="00E817C8"/>
    <w:rsid w:val="00E81862"/>
    <w:rsid w:val="00E81A39"/>
    <w:rsid w:val="00E81A59"/>
    <w:rsid w:val="00E81C70"/>
    <w:rsid w:val="00E81DDB"/>
    <w:rsid w:val="00E81EE0"/>
    <w:rsid w:val="00E81F58"/>
    <w:rsid w:val="00E82160"/>
    <w:rsid w:val="00E82257"/>
    <w:rsid w:val="00E8227B"/>
    <w:rsid w:val="00E822EF"/>
    <w:rsid w:val="00E82335"/>
    <w:rsid w:val="00E82AD0"/>
    <w:rsid w:val="00E82DC4"/>
    <w:rsid w:val="00E82F69"/>
    <w:rsid w:val="00E82F7A"/>
    <w:rsid w:val="00E83076"/>
    <w:rsid w:val="00E83160"/>
    <w:rsid w:val="00E831FA"/>
    <w:rsid w:val="00E833E0"/>
    <w:rsid w:val="00E83483"/>
    <w:rsid w:val="00E83600"/>
    <w:rsid w:val="00E837A1"/>
    <w:rsid w:val="00E8382E"/>
    <w:rsid w:val="00E838B5"/>
    <w:rsid w:val="00E839D6"/>
    <w:rsid w:val="00E83CC8"/>
    <w:rsid w:val="00E83D9A"/>
    <w:rsid w:val="00E83DD9"/>
    <w:rsid w:val="00E83F07"/>
    <w:rsid w:val="00E84099"/>
    <w:rsid w:val="00E843B6"/>
    <w:rsid w:val="00E843EC"/>
    <w:rsid w:val="00E84483"/>
    <w:rsid w:val="00E84635"/>
    <w:rsid w:val="00E846B3"/>
    <w:rsid w:val="00E846FA"/>
    <w:rsid w:val="00E84734"/>
    <w:rsid w:val="00E84940"/>
    <w:rsid w:val="00E84C90"/>
    <w:rsid w:val="00E84D0B"/>
    <w:rsid w:val="00E85170"/>
    <w:rsid w:val="00E852C2"/>
    <w:rsid w:val="00E85440"/>
    <w:rsid w:val="00E854FF"/>
    <w:rsid w:val="00E8551F"/>
    <w:rsid w:val="00E85696"/>
    <w:rsid w:val="00E8578B"/>
    <w:rsid w:val="00E857DC"/>
    <w:rsid w:val="00E8581E"/>
    <w:rsid w:val="00E85901"/>
    <w:rsid w:val="00E859A9"/>
    <w:rsid w:val="00E859DA"/>
    <w:rsid w:val="00E85A7F"/>
    <w:rsid w:val="00E85B98"/>
    <w:rsid w:val="00E85D38"/>
    <w:rsid w:val="00E85D81"/>
    <w:rsid w:val="00E85F9D"/>
    <w:rsid w:val="00E8600F"/>
    <w:rsid w:val="00E86018"/>
    <w:rsid w:val="00E86071"/>
    <w:rsid w:val="00E860EF"/>
    <w:rsid w:val="00E86225"/>
    <w:rsid w:val="00E863CA"/>
    <w:rsid w:val="00E86503"/>
    <w:rsid w:val="00E86922"/>
    <w:rsid w:val="00E86945"/>
    <w:rsid w:val="00E869D9"/>
    <w:rsid w:val="00E869E4"/>
    <w:rsid w:val="00E86A07"/>
    <w:rsid w:val="00E86AB6"/>
    <w:rsid w:val="00E86BAF"/>
    <w:rsid w:val="00E86E1F"/>
    <w:rsid w:val="00E87031"/>
    <w:rsid w:val="00E87083"/>
    <w:rsid w:val="00E87111"/>
    <w:rsid w:val="00E87161"/>
    <w:rsid w:val="00E87169"/>
    <w:rsid w:val="00E87281"/>
    <w:rsid w:val="00E8728B"/>
    <w:rsid w:val="00E874C1"/>
    <w:rsid w:val="00E87934"/>
    <w:rsid w:val="00E87964"/>
    <w:rsid w:val="00E87CF9"/>
    <w:rsid w:val="00E87FE2"/>
    <w:rsid w:val="00E9002C"/>
    <w:rsid w:val="00E903EB"/>
    <w:rsid w:val="00E90448"/>
    <w:rsid w:val="00E9044F"/>
    <w:rsid w:val="00E904F1"/>
    <w:rsid w:val="00E9060F"/>
    <w:rsid w:val="00E906D6"/>
    <w:rsid w:val="00E90820"/>
    <w:rsid w:val="00E9090C"/>
    <w:rsid w:val="00E90FF7"/>
    <w:rsid w:val="00E91059"/>
    <w:rsid w:val="00E911EB"/>
    <w:rsid w:val="00E912A0"/>
    <w:rsid w:val="00E91385"/>
    <w:rsid w:val="00E91440"/>
    <w:rsid w:val="00E915CC"/>
    <w:rsid w:val="00E9163F"/>
    <w:rsid w:val="00E9165E"/>
    <w:rsid w:val="00E91662"/>
    <w:rsid w:val="00E91763"/>
    <w:rsid w:val="00E917EB"/>
    <w:rsid w:val="00E917F3"/>
    <w:rsid w:val="00E91840"/>
    <w:rsid w:val="00E919B0"/>
    <w:rsid w:val="00E91A41"/>
    <w:rsid w:val="00E91B5F"/>
    <w:rsid w:val="00E91D31"/>
    <w:rsid w:val="00E91D72"/>
    <w:rsid w:val="00E91DA2"/>
    <w:rsid w:val="00E91F3D"/>
    <w:rsid w:val="00E92180"/>
    <w:rsid w:val="00E921B2"/>
    <w:rsid w:val="00E92264"/>
    <w:rsid w:val="00E92312"/>
    <w:rsid w:val="00E92693"/>
    <w:rsid w:val="00E926D2"/>
    <w:rsid w:val="00E929CF"/>
    <w:rsid w:val="00E92B07"/>
    <w:rsid w:val="00E92B44"/>
    <w:rsid w:val="00E92C9A"/>
    <w:rsid w:val="00E92E6E"/>
    <w:rsid w:val="00E93061"/>
    <w:rsid w:val="00E93374"/>
    <w:rsid w:val="00E9374A"/>
    <w:rsid w:val="00E93884"/>
    <w:rsid w:val="00E939D1"/>
    <w:rsid w:val="00E93A8C"/>
    <w:rsid w:val="00E93E22"/>
    <w:rsid w:val="00E940F3"/>
    <w:rsid w:val="00E94141"/>
    <w:rsid w:val="00E941D1"/>
    <w:rsid w:val="00E941D7"/>
    <w:rsid w:val="00E941F4"/>
    <w:rsid w:val="00E942BD"/>
    <w:rsid w:val="00E942E9"/>
    <w:rsid w:val="00E9439C"/>
    <w:rsid w:val="00E943AF"/>
    <w:rsid w:val="00E94443"/>
    <w:rsid w:val="00E9473F"/>
    <w:rsid w:val="00E94853"/>
    <w:rsid w:val="00E94855"/>
    <w:rsid w:val="00E94AA7"/>
    <w:rsid w:val="00E94AD5"/>
    <w:rsid w:val="00E94B4D"/>
    <w:rsid w:val="00E94C30"/>
    <w:rsid w:val="00E94DF7"/>
    <w:rsid w:val="00E94E92"/>
    <w:rsid w:val="00E94EBF"/>
    <w:rsid w:val="00E94F4A"/>
    <w:rsid w:val="00E94F80"/>
    <w:rsid w:val="00E951F7"/>
    <w:rsid w:val="00E95226"/>
    <w:rsid w:val="00E9534E"/>
    <w:rsid w:val="00E954AF"/>
    <w:rsid w:val="00E95571"/>
    <w:rsid w:val="00E9575C"/>
    <w:rsid w:val="00E95833"/>
    <w:rsid w:val="00E95961"/>
    <w:rsid w:val="00E95969"/>
    <w:rsid w:val="00E95C5E"/>
    <w:rsid w:val="00E95CA1"/>
    <w:rsid w:val="00E95D84"/>
    <w:rsid w:val="00E95E0A"/>
    <w:rsid w:val="00E95E74"/>
    <w:rsid w:val="00E95FA5"/>
    <w:rsid w:val="00E962C2"/>
    <w:rsid w:val="00E96368"/>
    <w:rsid w:val="00E963E3"/>
    <w:rsid w:val="00E963F9"/>
    <w:rsid w:val="00E9644A"/>
    <w:rsid w:val="00E96615"/>
    <w:rsid w:val="00E9666E"/>
    <w:rsid w:val="00E966BC"/>
    <w:rsid w:val="00E96747"/>
    <w:rsid w:val="00E96978"/>
    <w:rsid w:val="00E96A8B"/>
    <w:rsid w:val="00E96DFF"/>
    <w:rsid w:val="00E96E9C"/>
    <w:rsid w:val="00E96ED0"/>
    <w:rsid w:val="00E96F79"/>
    <w:rsid w:val="00E97087"/>
    <w:rsid w:val="00E971E2"/>
    <w:rsid w:val="00E9723D"/>
    <w:rsid w:val="00E972D8"/>
    <w:rsid w:val="00E974EE"/>
    <w:rsid w:val="00E976DD"/>
    <w:rsid w:val="00E9785D"/>
    <w:rsid w:val="00E9799B"/>
    <w:rsid w:val="00E979AF"/>
    <w:rsid w:val="00E979E5"/>
    <w:rsid w:val="00E97B9A"/>
    <w:rsid w:val="00E97C4D"/>
    <w:rsid w:val="00E97D37"/>
    <w:rsid w:val="00E97DC6"/>
    <w:rsid w:val="00E97FA5"/>
    <w:rsid w:val="00E9E7DC"/>
    <w:rsid w:val="00EA0078"/>
    <w:rsid w:val="00EA01CE"/>
    <w:rsid w:val="00EA04E2"/>
    <w:rsid w:val="00EA0608"/>
    <w:rsid w:val="00EA073F"/>
    <w:rsid w:val="00EA07B7"/>
    <w:rsid w:val="00EA0882"/>
    <w:rsid w:val="00EA0972"/>
    <w:rsid w:val="00EA0976"/>
    <w:rsid w:val="00EA0983"/>
    <w:rsid w:val="00EA0A2B"/>
    <w:rsid w:val="00EA0ADC"/>
    <w:rsid w:val="00EA0B8E"/>
    <w:rsid w:val="00EA0CC7"/>
    <w:rsid w:val="00EA0DB8"/>
    <w:rsid w:val="00EA0E5A"/>
    <w:rsid w:val="00EA0F1B"/>
    <w:rsid w:val="00EA1225"/>
    <w:rsid w:val="00EA1230"/>
    <w:rsid w:val="00EA12E9"/>
    <w:rsid w:val="00EA14B1"/>
    <w:rsid w:val="00EA1632"/>
    <w:rsid w:val="00EA1AB4"/>
    <w:rsid w:val="00EA1B3A"/>
    <w:rsid w:val="00EA1C7D"/>
    <w:rsid w:val="00EA1CD8"/>
    <w:rsid w:val="00EA1D4A"/>
    <w:rsid w:val="00EA1DFD"/>
    <w:rsid w:val="00EA1E8B"/>
    <w:rsid w:val="00EA1F1C"/>
    <w:rsid w:val="00EA1FF7"/>
    <w:rsid w:val="00EA216E"/>
    <w:rsid w:val="00EA2281"/>
    <w:rsid w:val="00EA2763"/>
    <w:rsid w:val="00EA27A2"/>
    <w:rsid w:val="00EA290C"/>
    <w:rsid w:val="00EA2938"/>
    <w:rsid w:val="00EA2A6D"/>
    <w:rsid w:val="00EA2C1C"/>
    <w:rsid w:val="00EA2D74"/>
    <w:rsid w:val="00EA331D"/>
    <w:rsid w:val="00EA33C9"/>
    <w:rsid w:val="00EA356C"/>
    <w:rsid w:val="00EA3953"/>
    <w:rsid w:val="00EA3974"/>
    <w:rsid w:val="00EA3A2F"/>
    <w:rsid w:val="00EA3A3C"/>
    <w:rsid w:val="00EA3A3D"/>
    <w:rsid w:val="00EA3C17"/>
    <w:rsid w:val="00EA3CA9"/>
    <w:rsid w:val="00EA3D12"/>
    <w:rsid w:val="00EA3D47"/>
    <w:rsid w:val="00EA3FA8"/>
    <w:rsid w:val="00EA3FC6"/>
    <w:rsid w:val="00EA40D8"/>
    <w:rsid w:val="00EA4297"/>
    <w:rsid w:val="00EA433C"/>
    <w:rsid w:val="00EA43FB"/>
    <w:rsid w:val="00EA44DF"/>
    <w:rsid w:val="00EA49F0"/>
    <w:rsid w:val="00EA4BF7"/>
    <w:rsid w:val="00EA4C9F"/>
    <w:rsid w:val="00EA4CB9"/>
    <w:rsid w:val="00EA4E19"/>
    <w:rsid w:val="00EA4F29"/>
    <w:rsid w:val="00EA50DE"/>
    <w:rsid w:val="00EA5160"/>
    <w:rsid w:val="00EA526E"/>
    <w:rsid w:val="00EA52CD"/>
    <w:rsid w:val="00EA54CF"/>
    <w:rsid w:val="00EA563A"/>
    <w:rsid w:val="00EA5770"/>
    <w:rsid w:val="00EA5876"/>
    <w:rsid w:val="00EA5891"/>
    <w:rsid w:val="00EA5A35"/>
    <w:rsid w:val="00EA5AED"/>
    <w:rsid w:val="00EA5C5E"/>
    <w:rsid w:val="00EA5CDC"/>
    <w:rsid w:val="00EA5D2F"/>
    <w:rsid w:val="00EA5FEB"/>
    <w:rsid w:val="00EA6009"/>
    <w:rsid w:val="00EA608E"/>
    <w:rsid w:val="00EA60B0"/>
    <w:rsid w:val="00EA6248"/>
    <w:rsid w:val="00EA64F7"/>
    <w:rsid w:val="00EA6854"/>
    <w:rsid w:val="00EA69C3"/>
    <w:rsid w:val="00EA6A34"/>
    <w:rsid w:val="00EA6BAB"/>
    <w:rsid w:val="00EA6C70"/>
    <w:rsid w:val="00EA6D1F"/>
    <w:rsid w:val="00EA6D37"/>
    <w:rsid w:val="00EA6E76"/>
    <w:rsid w:val="00EA6F09"/>
    <w:rsid w:val="00EA6F21"/>
    <w:rsid w:val="00EA718C"/>
    <w:rsid w:val="00EA7265"/>
    <w:rsid w:val="00EA726C"/>
    <w:rsid w:val="00EA72CC"/>
    <w:rsid w:val="00EA7493"/>
    <w:rsid w:val="00EA7641"/>
    <w:rsid w:val="00EA784C"/>
    <w:rsid w:val="00EA79B3"/>
    <w:rsid w:val="00EA7ABC"/>
    <w:rsid w:val="00EA7B2C"/>
    <w:rsid w:val="00EA7B74"/>
    <w:rsid w:val="00EA7BC9"/>
    <w:rsid w:val="00EA7D3A"/>
    <w:rsid w:val="00EA7E8F"/>
    <w:rsid w:val="00EA7ED2"/>
    <w:rsid w:val="00EA7F51"/>
    <w:rsid w:val="00EB0173"/>
    <w:rsid w:val="00EB0347"/>
    <w:rsid w:val="00EB0513"/>
    <w:rsid w:val="00EB0583"/>
    <w:rsid w:val="00EB0A1D"/>
    <w:rsid w:val="00EB0B58"/>
    <w:rsid w:val="00EB0C7A"/>
    <w:rsid w:val="00EB0F09"/>
    <w:rsid w:val="00EB0FBE"/>
    <w:rsid w:val="00EB1102"/>
    <w:rsid w:val="00EB123A"/>
    <w:rsid w:val="00EB1286"/>
    <w:rsid w:val="00EB142B"/>
    <w:rsid w:val="00EB156F"/>
    <w:rsid w:val="00EB15C7"/>
    <w:rsid w:val="00EB1853"/>
    <w:rsid w:val="00EB1954"/>
    <w:rsid w:val="00EB19A6"/>
    <w:rsid w:val="00EB1A46"/>
    <w:rsid w:val="00EB1ACB"/>
    <w:rsid w:val="00EB1C99"/>
    <w:rsid w:val="00EB1E4D"/>
    <w:rsid w:val="00EB1EB6"/>
    <w:rsid w:val="00EB1F4B"/>
    <w:rsid w:val="00EB20D5"/>
    <w:rsid w:val="00EB21EF"/>
    <w:rsid w:val="00EB2353"/>
    <w:rsid w:val="00EB256F"/>
    <w:rsid w:val="00EB25A2"/>
    <w:rsid w:val="00EB27B7"/>
    <w:rsid w:val="00EB27B8"/>
    <w:rsid w:val="00EB27DB"/>
    <w:rsid w:val="00EB2973"/>
    <w:rsid w:val="00EB2A8E"/>
    <w:rsid w:val="00EB2CE4"/>
    <w:rsid w:val="00EB2EAA"/>
    <w:rsid w:val="00EB2F5C"/>
    <w:rsid w:val="00EB2FC9"/>
    <w:rsid w:val="00EB310F"/>
    <w:rsid w:val="00EB3259"/>
    <w:rsid w:val="00EB32D1"/>
    <w:rsid w:val="00EB32FE"/>
    <w:rsid w:val="00EB33D4"/>
    <w:rsid w:val="00EB3556"/>
    <w:rsid w:val="00EB35F5"/>
    <w:rsid w:val="00EB370D"/>
    <w:rsid w:val="00EB37B3"/>
    <w:rsid w:val="00EB3810"/>
    <w:rsid w:val="00EB38D8"/>
    <w:rsid w:val="00EB39CE"/>
    <w:rsid w:val="00EB3C73"/>
    <w:rsid w:val="00EB3C80"/>
    <w:rsid w:val="00EB3CC7"/>
    <w:rsid w:val="00EB3D8B"/>
    <w:rsid w:val="00EB3E48"/>
    <w:rsid w:val="00EB3F3F"/>
    <w:rsid w:val="00EB4185"/>
    <w:rsid w:val="00EB42F0"/>
    <w:rsid w:val="00EB43D5"/>
    <w:rsid w:val="00EB45C9"/>
    <w:rsid w:val="00EB4777"/>
    <w:rsid w:val="00EB4C52"/>
    <w:rsid w:val="00EB5077"/>
    <w:rsid w:val="00EB5153"/>
    <w:rsid w:val="00EB5165"/>
    <w:rsid w:val="00EB532B"/>
    <w:rsid w:val="00EB5453"/>
    <w:rsid w:val="00EB5566"/>
    <w:rsid w:val="00EB56DC"/>
    <w:rsid w:val="00EB58BD"/>
    <w:rsid w:val="00EB59C2"/>
    <w:rsid w:val="00EB59E4"/>
    <w:rsid w:val="00EB5A89"/>
    <w:rsid w:val="00EB5B9A"/>
    <w:rsid w:val="00EB5C62"/>
    <w:rsid w:val="00EB5D02"/>
    <w:rsid w:val="00EB5E14"/>
    <w:rsid w:val="00EB5E66"/>
    <w:rsid w:val="00EB5E80"/>
    <w:rsid w:val="00EB601C"/>
    <w:rsid w:val="00EB60AA"/>
    <w:rsid w:val="00EB60EF"/>
    <w:rsid w:val="00EB6138"/>
    <w:rsid w:val="00EB625E"/>
    <w:rsid w:val="00EB62F6"/>
    <w:rsid w:val="00EB62F7"/>
    <w:rsid w:val="00EB637F"/>
    <w:rsid w:val="00EB6390"/>
    <w:rsid w:val="00EB64B1"/>
    <w:rsid w:val="00EB653A"/>
    <w:rsid w:val="00EB6549"/>
    <w:rsid w:val="00EB6654"/>
    <w:rsid w:val="00EB666D"/>
    <w:rsid w:val="00EB670A"/>
    <w:rsid w:val="00EB68BD"/>
    <w:rsid w:val="00EB6B75"/>
    <w:rsid w:val="00EB6B77"/>
    <w:rsid w:val="00EB6C1D"/>
    <w:rsid w:val="00EB6EC7"/>
    <w:rsid w:val="00EB6FCE"/>
    <w:rsid w:val="00EB72AE"/>
    <w:rsid w:val="00EB73D1"/>
    <w:rsid w:val="00EB745B"/>
    <w:rsid w:val="00EB758A"/>
    <w:rsid w:val="00EB75D4"/>
    <w:rsid w:val="00EB7672"/>
    <w:rsid w:val="00EB7966"/>
    <w:rsid w:val="00EB79AC"/>
    <w:rsid w:val="00EB7BC6"/>
    <w:rsid w:val="00EB7BDB"/>
    <w:rsid w:val="00EB7CFC"/>
    <w:rsid w:val="00EB7ED4"/>
    <w:rsid w:val="00EB7F10"/>
    <w:rsid w:val="00EC03DA"/>
    <w:rsid w:val="00EC046E"/>
    <w:rsid w:val="00EC0491"/>
    <w:rsid w:val="00EC0511"/>
    <w:rsid w:val="00EC0616"/>
    <w:rsid w:val="00EC072A"/>
    <w:rsid w:val="00EC084F"/>
    <w:rsid w:val="00EC0933"/>
    <w:rsid w:val="00EC0BCD"/>
    <w:rsid w:val="00EC0E1E"/>
    <w:rsid w:val="00EC0E66"/>
    <w:rsid w:val="00EC0E8F"/>
    <w:rsid w:val="00EC10D8"/>
    <w:rsid w:val="00EC1259"/>
    <w:rsid w:val="00EC13C2"/>
    <w:rsid w:val="00EC141D"/>
    <w:rsid w:val="00EC158B"/>
    <w:rsid w:val="00EC17A5"/>
    <w:rsid w:val="00EC17C0"/>
    <w:rsid w:val="00EC17F7"/>
    <w:rsid w:val="00EC1868"/>
    <w:rsid w:val="00EC19D3"/>
    <w:rsid w:val="00EC1B02"/>
    <w:rsid w:val="00EC1B07"/>
    <w:rsid w:val="00EC1C17"/>
    <w:rsid w:val="00EC1CF6"/>
    <w:rsid w:val="00EC1F0B"/>
    <w:rsid w:val="00EC2035"/>
    <w:rsid w:val="00EC2174"/>
    <w:rsid w:val="00EC2313"/>
    <w:rsid w:val="00EC23F1"/>
    <w:rsid w:val="00EC2532"/>
    <w:rsid w:val="00EC28BE"/>
    <w:rsid w:val="00EC2A7B"/>
    <w:rsid w:val="00EC2B0A"/>
    <w:rsid w:val="00EC2C09"/>
    <w:rsid w:val="00EC2CA2"/>
    <w:rsid w:val="00EC2D35"/>
    <w:rsid w:val="00EC2E37"/>
    <w:rsid w:val="00EC2F7C"/>
    <w:rsid w:val="00EC2FEE"/>
    <w:rsid w:val="00EC3285"/>
    <w:rsid w:val="00EC34D9"/>
    <w:rsid w:val="00EC3604"/>
    <w:rsid w:val="00EC39A6"/>
    <w:rsid w:val="00EC39C9"/>
    <w:rsid w:val="00EC3CBE"/>
    <w:rsid w:val="00EC3FA2"/>
    <w:rsid w:val="00EC3FC9"/>
    <w:rsid w:val="00EC40A8"/>
    <w:rsid w:val="00EC43F3"/>
    <w:rsid w:val="00EC44AA"/>
    <w:rsid w:val="00EC4667"/>
    <w:rsid w:val="00EC4895"/>
    <w:rsid w:val="00EC48D6"/>
    <w:rsid w:val="00EC492D"/>
    <w:rsid w:val="00EC4B2F"/>
    <w:rsid w:val="00EC4DF1"/>
    <w:rsid w:val="00EC4E19"/>
    <w:rsid w:val="00EC4F18"/>
    <w:rsid w:val="00EC5167"/>
    <w:rsid w:val="00EC51B1"/>
    <w:rsid w:val="00EC51C6"/>
    <w:rsid w:val="00EC5416"/>
    <w:rsid w:val="00EC5522"/>
    <w:rsid w:val="00EC5572"/>
    <w:rsid w:val="00EC57B5"/>
    <w:rsid w:val="00EC57C0"/>
    <w:rsid w:val="00EC595B"/>
    <w:rsid w:val="00EC59B5"/>
    <w:rsid w:val="00EC5A39"/>
    <w:rsid w:val="00EC5A70"/>
    <w:rsid w:val="00EC5B2A"/>
    <w:rsid w:val="00EC5EC8"/>
    <w:rsid w:val="00EC5FA5"/>
    <w:rsid w:val="00EC5FAE"/>
    <w:rsid w:val="00EC613C"/>
    <w:rsid w:val="00EC6166"/>
    <w:rsid w:val="00EC62C9"/>
    <w:rsid w:val="00EC62F6"/>
    <w:rsid w:val="00EC6565"/>
    <w:rsid w:val="00EC6697"/>
    <w:rsid w:val="00EC66C0"/>
    <w:rsid w:val="00EC6877"/>
    <w:rsid w:val="00EC6A81"/>
    <w:rsid w:val="00EC6B02"/>
    <w:rsid w:val="00EC6E3E"/>
    <w:rsid w:val="00EC6E87"/>
    <w:rsid w:val="00EC704A"/>
    <w:rsid w:val="00EC71A0"/>
    <w:rsid w:val="00EC723E"/>
    <w:rsid w:val="00EC7728"/>
    <w:rsid w:val="00EC77DB"/>
    <w:rsid w:val="00EC7857"/>
    <w:rsid w:val="00EC7D1F"/>
    <w:rsid w:val="00EC7FC8"/>
    <w:rsid w:val="00ED0478"/>
    <w:rsid w:val="00ED06BA"/>
    <w:rsid w:val="00ED086F"/>
    <w:rsid w:val="00ED08E8"/>
    <w:rsid w:val="00ED0C53"/>
    <w:rsid w:val="00ED0D0D"/>
    <w:rsid w:val="00ED0D92"/>
    <w:rsid w:val="00ED14AB"/>
    <w:rsid w:val="00ED156B"/>
    <w:rsid w:val="00ED17C8"/>
    <w:rsid w:val="00ED195A"/>
    <w:rsid w:val="00ED19A0"/>
    <w:rsid w:val="00ED1C06"/>
    <w:rsid w:val="00ED1F21"/>
    <w:rsid w:val="00ED2312"/>
    <w:rsid w:val="00ED2484"/>
    <w:rsid w:val="00ED24F7"/>
    <w:rsid w:val="00ED2551"/>
    <w:rsid w:val="00ED2699"/>
    <w:rsid w:val="00ED273C"/>
    <w:rsid w:val="00ED2878"/>
    <w:rsid w:val="00ED28CA"/>
    <w:rsid w:val="00ED2A74"/>
    <w:rsid w:val="00ED2ADA"/>
    <w:rsid w:val="00ED2D16"/>
    <w:rsid w:val="00ED2DE6"/>
    <w:rsid w:val="00ED3012"/>
    <w:rsid w:val="00ED302D"/>
    <w:rsid w:val="00ED32AE"/>
    <w:rsid w:val="00ED338A"/>
    <w:rsid w:val="00ED34AA"/>
    <w:rsid w:val="00ED351C"/>
    <w:rsid w:val="00ED35E4"/>
    <w:rsid w:val="00ED3631"/>
    <w:rsid w:val="00ED38C0"/>
    <w:rsid w:val="00ED3907"/>
    <w:rsid w:val="00ED39B7"/>
    <w:rsid w:val="00ED3A6C"/>
    <w:rsid w:val="00ED3AA8"/>
    <w:rsid w:val="00ED3ABB"/>
    <w:rsid w:val="00ED3B22"/>
    <w:rsid w:val="00ED3BA6"/>
    <w:rsid w:val="00ED3BA9"/>
    <w:rsid w:val="00ED3C66"/>
    <w:rsid w:val="00ED3D9B"/>
    <w:rsid w:val="00ED3ED2"/>
    <w:rsid w:val="00ED3EF5"/>
    <w:rsid w:val="00ED425E"/>
    <w:rsid w:val="00ED4275"/>
    <w:rsid w:val="00ED43EA"/>
    <w:rsid w:val="00ED476D"/>
    <w:rsid w:val="00ED4CF9"/>
    <w:rsid w:val="00ED4E86"/>
    <w:rsid w:val="00ED508B"/>
    <w:rsid w:val="00ED5103"/>
    <w:rsid w:val="00ED5274"/>
    <w:rsid w:val="00ED550C"/>
    <w:rsid w:val="00ED5637"/>
    <w:rsid w:val="00ED584C"/>
    <w:rsid w:val="00ED6042"/>
    <w:rsid w:val="00ED61AE"/>
    <w:rsid w:val="00ED6238"/>
    <w:rsid w:val="00ED62F8"/>
    <w:rsid w:val="00ED658F"/>
    <w:rsid w:val="00ED65F9"/>
    <w:rsid w:val="00ED6643"/>
    <w:rsid w:val="00ED679C"/>
    <w:rsid w:val="00ED689A"/>
    <w:rsid w:val="00ED692B"/>
    <w:rsid w:val="00ED6984"/>
    <w:rsid w:val="00ED69D4"/>
    <w:rsid w:val="00ED6A19"/>
    <w:rsid w:val="00ED6B8B"/>
    <w:rsid w:val="00ED6EFA"/>
    <w:rsid w:val="00ED6F05"/>
    <w:rsid w:val="00ED7081"/>
    <w:rsid w:val="00ED7200"/>
    <w:rsid w:val="00ED7268"/>
    <w:rsid w:val="00ED7321"/>
    <w:rsid w:val="00ED7359"/>
    <w:rsid w:val="00ED7420"/>
    <w:rsid w:val="00ED752E"/>
    <w:rsid w:val="00ED764C"/>
    <w:rsid w:val="00ED7691"/>
    <w:rsid w:val="00ED79A4"/>
    <w:rsid w:val="00ED7A27"/>
    <w:rsid w:val="00ED7B01"/>
    <w:rsid w:val="00ED7C62"/>
    <w:rsid w:val="00ED7EA6"/>
    <w:rsid w:val="00ED9145"/>
    <w:rsid w:val="00EE016F"/>
    <w:rsid w:val="00EE0378"/>
    <w:rsid w:val="00EE0718"/>
    <w:rsid w:val="00EE0914"/>
    <w:rsid w:val="00EE0AED"/>
    <w:rsid w:val="00EE0AFA"/>
    <w:rsid w:val="00EE0C4A"/>
    <w:rsid w:val="00EE0EBD"/>
    <w:rsid w:val="00EE115A"/>
    <w:rsid w:val="00EE1476"/>
    <w:rsid w:val="00EE153C"/>
    <w:rsid w:val="00EE15B1"/>
    <w:rsid w:val="00EE15BC"/>
    <w:rsid w:val="00EE174D"/>
    <w:rsid w:val="00EE1769"/>
    <w:rsid w:val="00EE17CE"/>
    <w:rsid w:val="00EE1A5D"/>
    <w:rsid w:val="00EE1C86"/>
    <w:rsid w:val="00EE1E1B"/>
    <w:rsid w:val="00EE1E21"/>
    <w:rsid w:val="00EE2466"/>
    <w:rsid w:val="00EE25EF"/>
    <w:rsid w:val="00EE269C"/>
    <w:rsid w:val="00EE273E"/>
    <w:rsid w:val="00EE27BE"/>
    <w:rsid w:val="00EE297D"/>
    <w:rsid w:val="00EE2ABB"/>
    <w:rsid w:val="00EE2C4B"/>
    <w:rsid w:val="00EE2C86"/>
    <w:rsid w:val="00EE2CE3"/>
    <w:rsid w:val="00EE2D86"/>
    <w:rsid w:val="00EE304A"/>
    <w:rsid w:val="00EE3090"/>
    <w:rsid w:val="00EE3154"/>
    <w:rsid w:val="00EE315B"/>
    <w:rsid w:val="00EE3550"/>
    <w:rsid w:val="00EE35C5"/>
    <w:rsid w:val="00EE360B"/>
    <w:rsid w:val="00EE3641"/>
    <w:rsid w:val="00EE3653"/>
    <w:rsid w:val="00EE3681"/>
    <w:rsid w:val="00EE3773"/>
    <w:rsid w:val="00EE38C1"/>
    <w:rsid w:val="00EE397E"/>
    <w:rsid w:val="00EE3BC3"/>
    <w:rsid w:val="00EE3D8D"/>
    <w:rsid w:val="00EE3DA0"/>
    <w:rsid w:val="00EE3E0D"/>
    <w:rsid w:val="00EE3E6A"/>
    <w:rsid w:val="00EE3F68"/>
    <w:rsid w:val="00EE3FBC"/>
    <w:rsid w:val="00EE3FC4"/>
    <w:rsid w:val="00EE4099"/>
    <w:rsid w:val="00EE40A5"/>
    <w:rsid w:val="00EE40C2"/>
    <w:rsid w:val="00EE419A"/>
    <w:rsid w:val="00EE4414"/>
    <w:rsid w:val="00EE46B5"/>
    <w:rsid w:val="00EE4736"/>
    <w:rsid w:val="00EE49D1"/>
    <w:rsid w:val="00EE4AA2"/>
    <w:rsid w:val="00EE4B43"/>
    <w:rsid w:val="00EE4B56"/>
    <w:rsid w:val="00EE4D89"/>
    <w:rsid w:val="00EE5018"/>
    <w:rsid w:val="00EE525D"/>
    <w:rsid w:val="00EE5448"/>
    <w:rsid w:val="00EE5457"/>
    <w:rsid w:val="00EE547B"/>
    <w:rsid w:val="00EE55BD"/>
    <w:rsid w:val="00EE5734"/>
    <w:rsid w:val="00EE57B4"/>
    <w:rsid w:val="00EE58E4"/>
    <w:rsid w:val="00EE5992"/>
    <w:rsid w:val="00EE59DD"/>
    <w:rsid w:val="00EE5A6F"/>
    <w:rsid w:val="00EE5B15"/>
    <w:rsid w:val="00EE5C44"/>
    <w:rsid w:val="00EE5D34"/>
    <w:rsid w:val="00EE5E72"/>
    <w:rsid w:val="00EE5EFB"/>
    <w:rsid w:val="00EE5FF5"/>
    <w:rsid w:val="00EE6003"/>
    <w:rsid w:val="00EE617A"/>
    <w:rsid w:val="00EE6425"/>
    <w:rsid w:val="00EE643D"/>
    <w:rsid w:val="00EE6504"/>
    <w:rsid w:val="00EE6725"/>
    <w:rsid w:val="00EE6814"/>
    <w:rsid w:val="00EE685A"/>
    <w:rsid w:val="00EE68A3"/>
    <w:rsid w:val="00EE68F8"/>
    <w:rsid w:val="00EE6A5A"/>
    <w:rsid w:val="00EE6D2F"/>
    <w:rsid w:val="00EE70E8"/>
    <w:rsid w:val="00EE71F8"/>
    <w:rsid w:val="00EE7220"/>
    <w:rsid w:val="00EE731D"/>
    <w:rsid w:val="00EE77AB"/>
    <w:rsid w:val="00EE7805"/>
    <w:rsid w:val="00EE78C7"/>
    <w:rsid w:val="00EE78FA"/>
    <w:rsid w:val="00EE7A79"/>
    <w:rsid w:val="00EE7ADA"/>
    <w:rsid w:val="00EE7CF5"/>
    <w:rsid w:val="00EF0130"/>
    <w:rsid w:val="00EF0413"/>
    <w:rsid w:val="00EF0477"/>
    <w:rsid w:val="00EF0480"/>
    <w:rsid w:val="00EF0568"/>
    <w:rsid w:val="00EF058D"/>
    <w:rsid w:val="00EF0673"/>
    <w:rsid w:val="00EF0680"/>
    <w:rsid w:val="00EF06BA"/>
    <w:rsid w:val="00EF074B"/>
    <w:rsid w:val="00EF083F"/>
    <w:rsid w:val="00EF0A6B"/>
    <w:rsid w:val="00EF0AB0"/>
    <w:rsid w:val="00EF0BF7"/>
    <w:rsid w:val="00EF0C45"/>
    <w:rsid w:val="00EF0E68"/>
    <w:rsid w:val="00EF0E6C"/>
    <w:rsid w:val="00EF0EAF"/>
    <w:rsid w:val="00EF0FED"/>
    <w:rsid w:val="00EF0FF5"/>
    <w:rsid w:val="00EF0FFD"/>
    <w:rsid w:val="00EF10E7"/>
    <w:rsid w:val="00EF10EE"/>
    <w:rsid w:val="00EF125C"/>
    <w:rsid w:val="00EF12B3"/>
    <w:rsid w:val="00EF12FD"/>
    <w:rsid w:val="00EF1323"/>
    <w:rsid w:val="00EF1413"/>
    <w:rsid w:val="00EF1466"/>
    <w:rsid w:val="00EF1556"/>
    <w:rsid w:val="00EF1710"/>
    <w:rsid w:val="00EF1A49"/>
    <w:rsid w:val="00EF1AD9"/>
    <w:rsid w:val="00EF1CB1"/>
    <w:rsid w:val="00EF1D90"/>
    <w:rsid w:val="00EF205F"/>
    <w:rsid w:val="00EF22D3"/>
    <w:rsid w:val="00EF253D"/>
    <w:rsid w:val="00EF25DE"/>
    <w:rsid w:val="00EF28B8"/>
    <w:rsid w:val="00EF2AD5"/>
    <w:rsid w:val="00EF2C2A"/>
    <w:rsid w:val="00EF2C6A"/>
    <w:rsid w:val="00EF2CDA"/>
    <w:rsid w:val="00EF2E96"/>
    <w:rsid w:val="00EF2F1B"/>
    <w:rsid w:val="00EF316A"/>
    <w:rsid w:val="00EF3307"/>
    <w:rsid w:val="00EF3411"/>
    <w:rsid w:val="00EF3582"/>
    <w:rsid w:val="00EF359E"/>
    <w:rsid w:val="00EF361E"/>
    <w:rsid w:val="00EF36DA"/>
    <w:rsid w:val="00EF3709"/>
    <w:rsid w:val="00EF3712"/>
    <w:rsid w:val="00EF3921"/>
    <w:rsid w:val="00EF39F3"/>
    <w:rsid w:val="00EF3A0C"/>
    <w:rsid w:val="00EF3B2F"/>
    <w:rsid w:val="00EF3C24"/>
    <w:rsid w:val="00EF3F68"/>
    <w:rsid w:val="00EF3F7B"/>
    <w:rsid w:val="00EF3FBE"/>
    <w:rsid w:val="00EF3FD1"/>
    <w:rsid w:val="00EF4103"/>
    <w:rsid w:val="00EF417D"/>
    <w:rsid w:val="00EF4263"/>
    <w:rsid w:val="00EF42A7"/>
    <w:rsid w:val="00EF4503"/>
    <w:rsid w:val="00EF4623"/>
    <w:rsid w:val="00EF46BC"/>
    <w:rsid w:val="00EF47D4"/>
    <w:rsid w:val="00EF492A"/>
    <w:rsid w:val="00EF4B21"/>
    <w:rsid w:val="00EF4C1A"/>
    <w:rsid w:val="00EF4C79"/>
    <w:rsid w:val="00EF4CEC"/>
    <w:rsid w:val="00EF4DF0"/>
    <w:rsid w:val="00EF4FA8"/>
    <w:rsid w:val="00EF4FE8"/>
    <w:rsid w:val="00EF51CB"/>
    <w:rsid w:val="00EF5234"/>
    <w:rsid w:val="00EF53E3"/>
    <w:rsid w:val="00EF53F4"/>
    <w:rsid w:val="00EF5863"/>
    <w:rsid w:val="00EF5923"/>
    <w:rsid w:val="00EF59BA"/>
    <w:rsid w:val="00EF5B1B"/>
    <w:rsid w:val="00EF5B51"/>
    <w:rsid w:val="00EF5BF2"/>
    <w:rsid w:val="00EF5CBA"/>
    <w:rsid w:val="00EF5D32"/>
    <w:rsid w:val="00EF5FC6"/>
    <w:rsid w:val="00EF6328"/>
    <w:rsid w:val="00EF6362"/>
    <w:rsid w:val="00EF64AC"/>
    <w:rsid w:val="00EF656E"/>
    <w:rsid w:val="00EF667C"/>
    <w:rsid w:val="00EF6851"/>
    <w:rsid w:val="00EF6A1A"/>
    <w:rsid w:val="00EF6C89"/>
    <w:rsid w:val="00EF6D7A"/>
    <w:rsid w:val="00EF6E2A"/>
    <w:rsid w:val="00EF6ECC"/>
    <w:rsid w:val="00EF6FFE"/>
    <w:rsid w:val="00EF7324"/>
    <w:rsid w:val="00EF75BB"/>
    <w:rsid w:val="00EF78D6"/>
    <w:rsid w:val="00EF7A91"/>
    <w:rsid w:val="00EF7B12"/>
    <w:rsid w:val="00EF7C26"/>
    <w:rsid w:val="00EF7C40"/>
    <w:rsid w:val="00EF7CE9"/>
    <w:rsid w:val="00EF7D3E"/>
    <w:rsid w:val="00EF7D89"/>
    <w:rsid w:val="00F000F9"/>
    <w:rsid w:val="00F00186"/>
    <w:rsid w:val="00F00197"/>
    <w:rsid w:val="00F002C1"/>
    <w:rsid w:val="00F0043F"/>
    <w:rsid w:val="00F00554"/>
    <w:rsid w:val="00F00578"/>
    <w:rsid w:val="00F005C1"/>
    <w:rsid w:val="00F0078C"/>
    <w:rsid w:val="00F008D4"/>
    <w:rsid w:val="00F00915"/>
    <w:rsid w:val="00F00946"/>
    <w:rsid w:val="00F009A8"/>
    <w:rsid w:val="00F009D7"/>
    <w:rsid w:val="00F00A65"/>
    <w:rsid w:val="00F00BBC"/>
    <w:rsid w:val="00F00D52"/>
    <w:rsid w:val="00F00DA1"/>
    <w:rsid w:val="00F00DF1"/>
    <w:rsid w:val="00F00E0C"/>
    <w:rsid w:val="00F010B8"/>
    <w:rsid w:val="00F01307"/>
    <w:rsid w:val="00F0133F"/>
    <w:rsid w:val="00F013C6"/>
    <w:rsid w:val="00F014B7"/>
    <w:rsid w:val="00F01509"/>
    <w:rsid w:val="00F01617"/>
    <w:rsid w:val="00F0183A"/>
    <w:rsid w:val="00F0187C"/>
    <w:rsid w:val="00F018DE"/>
    <w:rsid w:val="00F019D3"/>
    <w:rsid w:val="00F019F9"/>
    <w:rsid w:val="00F01C15"/>
    <w:rsid w:val="00F01C8D"/>
    <w:rsid w:val="00F01E5D"/>
    <w:rsid w:val="00F01E61"/>
    <w:rsid w:val="00F01EB1"/>
    <w:rsid w:val="00F01F41"/>
    <w:rsid w:val="00F02000"/>
    <w:rsid w:val="00F0213B"/>
    <w:rsid w:val="00F02391"/>
    <w:rsid w:val="00F027D1"/>
    <w:rsid w:val="00F02A8E"/>
    <w:rsid w:val="00F02A94"/>
    <w:rsid w:val="00F02A97"/>
    <w:rsid w:val="00F02AE6"/>
    <w:rsid w:val="00F02BF5"/>
    <w:rsid w:val="00F02C2F"/>
    <w:rsid w:val="00F02C83"/>
    <w:rsid w:val="00F02E2B"/>
    <w:rsid w:val="00F02EBB"/>
    <w:rsid w:val="00F02F23"/>
    <w:rsid w:val="00F03116"/>
    <w:rsid w:val="00F03251"/>
    <w:rsid w:val="00F03331"/>
    <w:rsid w:val="00F03440"/>
    <w:rsid w:val="00F03668"/>
    <w:rsid w:val="00F03691"/>
    <w:rsid w:val="00F03788"/>
    <w:rsid w:val="00F037C9"/>
    <w:rsid w:val="00F037FF"/>
    <w:rsid w:val="00F03904"/>
    <w:rsid w:val="00F0398F"/>
    <w:rsid w:val="00F03AA6"/>
    <w:rsid w:val="00F03C2B"/>
    <w:rsid w:val="00F03DB0"/>
    <w:rsid w:val="00F03E3C"/>
    <w:rsid w:val="00F03E55"/>
    <w:rsid w:val="00F03E67"/>
    <w:rsid w:val="00F03F20"/>
    <w:rsid w:val="00F03FAC"/>
    <w:rsid w:val="00F041C4"/>
    <w:rsid w:val="00F04205"/>
    <w:rsid w:val="00F04230"/>
    <w:rsid w:val="00F0441B"/>
    <w:rsid w:val="00F04516"/>
    <w:rsid w:val="00F0461C"/>
    <w:rsid w:val="00F046B2"/>
    <w:rsid w:val="00F04A5C"/>
    <w:rsid w:val="00F04A7A"/>
    <w:rsid w:val="00F04B5C"/>
    <w:rsid w:val="00F04CF8"/>
    <w:rsid w:val="00F04EE6"/>
    <w:rsid w:val="00F04F3F"/>
    <w:rsid w:val="00F05102"/>
    <w:rsid w:val="00F0515D"/>
    <w:rsid w:val="00F051AA"/>
    <w:rsid w:val="00F0555C"/>
    <w:rsid w:val="00F05926"/>
    <w:rsid w:val="00F05996"/>
    <w:rsid w:val="00F059B5"/>
    <w:rsid w:val="00F05A48"/>
    <w:rsid w:val="00F05CC0"/>
    <w:rsid w:val="00F05F64"/>
    <w:rsid w:val="00F05FB2"/>
    <w:rsid w:val="00F06025"/>
    <w:rsid w:val="00F06079"/>
    <w:rsid w:val="00F060C7"/>
    <w:rsid w:val="00F060C9"/>
    <w:rsid w:val="00F060D7"/>
    <w:rsid w:val="00F0642A"/>
    <w:rsid w:val="00F064B8"/>
    <w:rsid w:val="00F0660F"/>
    <w:rsid w:val="00F0687C"/>
    <w:rsid w:val="00F06AFB"/>
    <w:rsid w:val="00F06B6C"/>
    <w:rsid w:val="00F06B9A"/>
    <w:rsid w:val="00F06E2A"/>
    <w:rsid w:val="00F06E3D"/>
    <w:rsid w:val="00F06E81"/>
    <w:rsid w:val="00F06F56"/>
    <w:rsid w:val="00F072B2"/>
    <w:rsid w:val="00F072E2"/>
    <w:rsid w:val="00F07317"/>
    <w:rsid w:val="00F073E8"/>
    <w:rsid w:val="00F07481"/>
    <w:rsid w:val="00F07722"/>
    <w:rsid w:val="00F077E8"/>
    <w:rsid w:val="00F0781D"/>
    <w:rsid w:val="00F07826"/>
    <w:rsid w:val="00F07851"/>
    <w:rsid w:val="00F079A1"/>
    <w:rsid w:val="00F07B2E"/>
    <w:rsid w:val="00F07C31"/>
    <w:rsid w:val="00F07CD1"/>
    <w:rsid w:val="00F07D41"/>
    <w:rsid w:val="00F10023"/>
    <w:rsid w:val="00F10038"/>
    <w:rsid w:val="00F10184"/>
    <w:rsid w:val="00F104C6"/>
    <w:rsid w:val="00F105B9"/>
    <w:rsid w:val="00F10700"/>
    <w:rsid w:val="00F10712"/>
    <w:rsid w:val="00F10817"/>
    <w:rsid w:val="00F1086C"/>
    <w:rsid w:val="00F10AFB"/>
    <w:rsid w:val="00F10B83"/>
    <w:rsid w:val="00F10C02"/>
    <w:rsid w:val="00F10E6D"/>
    <w:rsid w:val="00F10E81"/>
    <w:rsid w:val="00F10FB2"/>
    <w:rsid w:val="00F11120"/>
    <w:rsid w:val="00F112CA"/>
    <w:rsid w:val="00F11315"/>
    <w:rsid w:val="00F1145A"/>
    <w:rsid w:val="00F11463"/>
    <w:rsid w:val="00F11486"/>
    <w:rsid w:val="00F114B7"/>
    <w:rsid w:val="00F115AD"/>
    <w:rsid w:val="00F116DB"/>
    <w:rsid w:val="00F117C3"/>
    <w:rsid w:val="00F117D1"/>
    <w:rsid w:val="00F118DE"/>
    <w:rsid w:val="00F118FA"/>
    <w:rsid w:val="00F11984"/>
    <w:rsid w:val="00F119FC"/>
    <w:rsid w:val="00F11A13"/>
    <w:rsid w:val="00F11AF2"/>
    <w:rsid w:val="00F11B9F"/>
    <w:rsid w:val="00F11BB8"/>
    <w:rsid w:val="00F11C50"/>
    <w:rsid w:val="00F11E7C"/>
    <w:rsid w:val="00F11FD1"/>
    <w:rsid w:val="00F1206B"/>
    <w:rsid w:val="00F12286"/>
    <w:rsid w:val="00F122C8"/>
    <w:rsid w:val="00F124F7"/>
    <w:rsid w:val="00F1254C"/>
    <w:rsid w:val="00F12876"/>
    <w:rsid w:val="00F12D3A"/>
    <w:rsid w:val="00F12D73"/>
    <w:rsid w:val="00F13112"/>
    <w:rsid w:val="00F13169"/>
    <w:rsid w:val="00F132D6"/>
    <w:rsid w:val="00F13383"/>
    <w:rsid w:val="00F133DD"/>
    <w:rsid w:val="00F13480"/>
    <w:rsid w:val="00F137E6"/>
    <w:rsid w:val="00F13869"/>
    <w:rsid w:val="00F13880"/>
    <w:rsid w:val="00F138F8"/>
    <w:rsid w:val="00F13B4E"/>
    <w:rsid w:val="00F13C10"/>
    <w:rsid w:val="00F13D1E"/>
    <w:rsid w:val="00F141D2"/>
    <w:rsid w:val="00F1478B"/>
    <w:rsid w:val="00F1478F"/>
    <w:rsid w:val="00F14830"/>
    <w:rsid w:val="00F1488E"/>
    <w:rsid w:val="00F1494D"/>
    <w:rsid w:val="00F14ACB"/>
    <w:rsid w:val="00F14BC4"/>
    <w:rsid w:val="00F14BDD"/>
    <w:rsid w:val="00F14D76"/>
    <w:rsid w:val="00F1500A"/>
    <w:rsid w:val="00F1502F"/>
    <w:rsid w:val="00F1505A"/>
    <w:rsid w:val="00F1519A"/>
    <w:rsid w:val="00F151B9"/>
    <w:rsid w:val="00F1534D"/>
    <w:rsid w:val="00F1537D"/>
    <w:rsid w:val="00F15462"/>
    <w:rsid w:val="00F1547D"/>
    <w:rsid w:val="00F154F3"/>
    <w:rsid w:val="00F1558C"/>
    <w:rsid w:val="00F156BA"/>
    <w:rsid w:val="00F15714"/>
    <w:rsid w:val="00F157C5"/>
    <w:rsid w:val="00F157E1"/>
    <w:rsid w:val="00F158F2"/>
    <w:rsid w:val="00F159AD"/>
    <w:rsid w:val="00F15CA8"/>
    <w:rsid w:val="00F15DC0"/>
    <w:rsid w:val="00F15F71"/>
    <w:rsid w:val="00F1626F"/>
    <w:rsid w:val="00F1628E"/>
    <w:rsid w:val="00F162DF"/>
    <w:rsid w:val="00F16317"/>
    <w:rsid w:val="00F16424"/>
    <w:rsid w:val="00F16682"/>
    <w:rsid w:val="00F1669E"/>
    <w:rsid w:val="00F166CF"/>
    <w:rsid w:val="00F16758"/>
    <w:rsid w:val="00F16915"/>
    <w:rsid w:val="00F16974"/>
    <w:rsid w:val="00F16A3B"/>
    <w:rsid w:val="00F16A3F"/>
    <w:rsid w:val="00F16A98"/>
    <w:rsid w:val="00F16CEF"/>
    <w:rsid w:val="00F16D17"/>
    <w:rsid w:val="00F16D5B"/>
    <w:rsid w:val="00F16DC8"/>
    <w:rsid w:val="00F16DEE"/>
    <w:rsid w:val="00F16FE9"/>
    <w:rsid w:val="00F17093"/>
    <w:rsid w:val="00F17185"/>
    <w:rsid w:val="00F17235"/>
    <w:rsid w:val="00F17431"/>
    <w:rsid w:val="00F175DF"/>
    <w:rsid w:val="00F17641"/>
    <w:rsid w:val="00F17710"/>
    <w:rsid w:val="00F17800"/>
    <w:rsid w:val="00F1789E"/>
    <w:rsid w:val="00F17BC3"/>
    <w:rsid w:val="00F17F18"/>
    <w:rsid w:val="00F20105"/>
    <w:rsid w:val="00F2023A"/>
    <w:rsid w:val="00F202FB"/>
    <w:rsid w:val="00F2050D"/>
    <w:rsid w:val="00F20660"/>
    <w:rsid w:val="00F20746"/>
    <w:rsid w:val="00F2083D"/>
    <w:rsid w:val="00F208EF"/>
    <w:rsid w:val="00F20A55"/>
    <w:rsid w:val="00F20A69"/>
    <w:rsid w:val="00F20CA1"/>
    <w:rsid w:val="00F20CAE"/>
    <w:rsid w:val="00F20D2F"/>
    <w:rsid w:val="00F20DFC"/>
    <w:rsid w:val="00F20F2C"/>
    <w:rsid w:val="00F20F75"/>
    <w:rsid w:val="00F20F98"/>
    <w:rsid w:val="00F21045"/>
    <w:rsid w:val="00F2133A"/>
    <w:rsid w:val="00F215CC"/>
    <w:rsid w:val="00F21862"/>
    <w:rsid w:val="00F218FF"/>
    <w:rsid w:val="00F21929"/>
    <w:rsid w:val="00F21AD5"/>
    <w:rsid w:val="00F21C9F"/>
    <w:rsid w:val="00F21D78"/>
    <w:rsid w:val="00F21DE9"/>
    <w:rsid w:val="00F21E12"/>
    <w:rsid w:val="00F21F40"/>
    <w:rsid w:val="00F21FBF"/>
    <w:rsid w:val="00F22144"/>
    <w:rsid w:val="00F2232A"/>
    <w:rsid w:val="00F22384"/>
    <w:rsid w:val="00F22509"/>
    <w:rsid w:val="00F226A8"/>
    <w:rsid w:val="00F22997"/>
    <w:rsid w:val="00F229A4"/>
    <w:rsid w:val="00F229DF"/>
    <w:rsid w:val="00F22A93"/>
    <w:rsid w:val="00F22B66"/>
    <w:rsid w:val="00F22B67"/>
    <w:rsid w:val="00F22BC2"/>
    <w:rsid w:val="00F22C41"/>
    <w:rsid w:val="00F22DD5"/>
    <w:rsid w:val="00F22E9F"/>
    <w:rsid w:val="00F22ED4"/>
    <w:rsid w:val="00F22FE0"/>
    <w:rsid w:val="00F231CD"/>
    <w:rsid w:val="00F23349"/>
    <w:rsid w:val="00F234BC"/>
    <w:rsid w:val="00F23729"/>
    <w:rsid w:val="00F2384B"/>
    <w:rsid w:val="00F23AF3"/>
    <w:rsid w:val="00F23B21"/>
    <w:rsid w:val="00F23CD2"/>
    <w:rsid w:val="00F23E44"/>
    <w:rsid w:val="00F23FEC"/>
    <w:rsid w:val="00F24311"/>
    <w:rsid w:val="00F24376"/>
    <w:rsid w:val="00F243C7"/>
    <w:rsid w:val="00F243EE"/>
    <w:rsid w:val="00F244AA"/>
    <w:rsid w:val="00F24527"/>
    <w:rsid w:val="00F24606"/>
    <w:rsid w:val="00F2464A"/>
    <w:rsid w:val="00F247AC"/>
    <w:rsid w:val="00F24837"/>
    <w:rsid w:val="00F248FE"/>
    <w:rsid w:val="00F24B7D"/>
    <w:rsid w:val="00F24BDB"/>
    <w:rsid w:val="00F24BF0"/>
    <w:rsid w:val="00F25337"/>
    <w:rsid w:val="00F253FB"/>
    <w:rsid w:val="00F25448"/>
    <w:rsid w:val="00F254C9"/>
    <w:rsid w:val="00F25602"/>
    <w:rsid w:val="00F25646"/>
    <w:rsid w:val="00F257C5"/>
    <w:rsid w:val="00F258DC"/>
    <w:rsid w:val="00F2597D"/>
    <w:rsid w:val="00F25A3A"/>
    <w:rsid w:val="00F25B5E"/>
    <w:rsid w:val="00F25E02"/>
    <w:rsid w:val="00F25E07"/>
    <w:rsid w:val="00F25EDE"/>
    <w:rsid w:val="00F25F32"/>
    <w:rsid w:val="00F25F9C"/>
    <w:rsid w:val="00F26300"/>
    <w:rsid w:val="00F263F4"/>
    <w:rsid w:val="00F26691"/>
    <w:rsid w:val="00F266DB"/>
    <w:rsid w:val="00F267F8"/>
    <w:rsid w:val="00F26862"/>
    <w:rsid w:val="00F268AE"/>
    <w:rsid w:val="00F268B4"/>
    <w:rsid w:val="00F26A1D"/>
    <w:rsid w:val="00F26B28"/>
    <w:rsid w:val="00F26B50"/>
    <w:rsid w:val="00F26C3A"/>
    <w:rsid w:val="00F26D5D"/>
    <w:rsid w:val="00F26D7E"/>
    <w:rsid w:val="00F26DA3"/>
    <w:rsid w:val="00F26DAD"/>
    <w:rsid w:val="00F26E2A"/>
    <w:rsid w:val="00F26EFC"/>
    <w:rsid w:val="00F26FF4"/>
    <w:rsid w:val="00F26FF5"/>
    <w:rsid w:val="00F270F2"/>
    <w:rsid w:val="00F27110"/>
    <w:rsid w:val="00F2733C"/>
    <w:rsid w:val="00F277D9"/>
    <w:rsid w:val="00F277FF"/>
    <w:rsid w:val="00F279D6"/>
    <w:rsid w:val="00F279FF"/>
    <w:rsid w:val="00F27A0C"/>
    <w:rsid w:val="00F27A5C"/>
    <w:rsid w:val="00F27AB3"/>
    <w:rsid w:val="00F27B35"/>
    <w:rsid w:val="00F27CB4"/>
    <w:rsid w:val="00F27CD9"/>
    <w:rsid w:val="00F27D03"/>
    <w:rsid w:val="00F27DF7"/>
    <w:rsid w:val="00F300D5"/>
    <w:rsid w:val="00F30179"/>
    <w:rsid w:val="00F3043A"/>
    <w:rsid w:val="00F3053D"/>
    <w:rsid w:val="00F3088C"/>
    <w:rsid w:val="00F30957"/>
    <w:rsid w:val="00F3097F"/>
    <w:rsid w:val="00F309B1"/>
    <w:rsid w:val="00F309CB"/>
    <w:rsid w:val="00F30B6D"/>
    <w:rsid w:val="00F30C83"/>
    <w:rsid w:val="00F30EC8"/>
    <w:rsid w:val="00F311A5"/>
    <w:rsid w:val="00F31589"/>
    <w:rsid w:val="00F3175A"/>
    <w:rsid w:val="00F318BC"/>
    <w:rsid w:val="00F31A4B"/>
    <w:rsid w:val="00F31A96"/>
    <w:rsid w:val="00F31B6D"/>
    <w:rsid w:val="00F31E93"/>
    <w:rsid w:val="00F31EE5"/>
    <w:rsid w:val="00F320EB"/>
    <w:rsid w:val="00F32152"/>
    <w:rsid w:val="00F3217F"/>
    <w:rsid w:val="00F321F9"/>
    <w:rsid w:val="00F324B5"/>
    <w:rsid w:val="00F3250B"/>
    <w:rsid w:val="00F3254F"/>
    <w:rsid w:val="00F327D9"/>
    <w:rsid w:val="00F32A49"/>
    <w:rsid w:val="00F32BF2"/>
    <w:rsid w:val="00F32C41"/>
    <w:rsid w:val="00F32C43"/>
    <w:rsid w:val="00F32D0F"/>
    <w:rsid w:val="00F330DE"/>
    <w:rsid w:val="00F3312E"/>
    <w:rsid w:val="00F331B7"/>
    <w:rsid w:val="00F332AF"/>
    <w:rsid w:val="00F334DA"/>
    <w:rsid w:val="00F33547"/>
    <w:rsid w:val="00F335B2"/>
    <w:rsid w:val="00F33635"/>
    <w:rsid w:val="00F338FF"/>
    <w:rsid w:val="00F33AC1"/>
    <w:rsid w:val="00F33B4B"/>
    <w:rsid w:val="00F33B87"/>
    <w:rsid w:val="00F33E0D"/>
    <w:rsid w:val="00F340EE"/>
    <w:rsid w:val="00F34143"/>
    <w:rsid w:val="00F34305"/>
    <w:rsid w:val="00F34322"/>
    <w:rsid w:val="00F344B4"/>
    <w:rsid w:val="00F344BD"/>
    <w:rsid w:val="00F3463B"/>
    <w:rsid w:val="00F34709"/>
    <w:rsid w:val="00F34740"/>
    <w:rsid w:val="00F349E6"/>
    <w:rsid w:val="00F34A64"/>
    <w:rsid w:val="00F34B9C"/>
    <w:rsid w:val="00F34C4D"/>
    <w:rsid w:val="00F34E2F"/>
    <w:rsid w:val="00F34F79"/>
    <w:rsid w:val="00F34F96"/>
    <w:rsid w:val="00F34F9E"/>
    <w:rsid w:val="00F34FE8"/>
    <w:rsid w:val="00F35010"/>
    <w:rsid w:val="00F350CF"/>
    <w:rsid w:val="00F35216"/>
    <w:rsid w:val="00F352B9"/>
    <w:rsid w:val="00F354A2"/>
    <w:rsid w:val="00F3553D"/>
    <w:rsid w:val="00F3556C"/>
    <w:rsid w:val="00F35708"/>
    <w:rsid w:val="00F35877"/>
    <w:rsid w:val="00F3588A"/>
    <w:rsid w:val="00F3588B"/>
    <w:rsid w:val="00F358C8"/>
    <w:rsid w:val="00F359D2"/>
    <w:rsid w:val="00F35AC8"/>
    <w:rsid w:val="00F35D6B"/>
    <w:rsid w:val="00F35D99"/>
    <w:rsid w:val="00F35ECC"/>
    <w:rsid w:val="00F35FCE"/>
    <w:rsid w:val="00F3603C"/>
    <w:rsid w:val="00F361FD"/>
    <w:rsid w:val="00F3627D"/>
    <w:rsid w:val="00F36497"/>
    <w:rsid w:val="00F36513"/>
    <w:rsid w:val="00F36583"/>
    <w:rsid w:val="00F365B7"/>
    <w:rsid w:val="00F365CB"/>
    <w:rsid w:val="00F3692C"/>
    <w:rsid w:val="00F36ADC"/>
    <w:rsid w:val="00F36E5E"/>
    <w:rsid w:val="00F37009"/>
    <w:rsid w:val="00F370E8"/>
    <w:rsid w:val="00F371FF"/>
    <w:rsid w:val="00F37442"/>
    <w:rsid w:val="00F37727"/>
    <w:rsid w:val="00F379FC"/>
    <w:rsid w:val="00F37C75"/>
    <w:rsid w:val="00F40018"/>
    <w:rsid w:val="00F40143"/>
    <w:rsid w:val="00F40321"/>
    <w:rsid w:val="00F4048D"/>
    <w:rsid w:val="00F40709"/>
    <w:rsid w:val="00F40740"/>
    <w:rsid w:val="00F4082C"/>
    <w:rsid w:val="00F40902"/>
    <w:rsid w:val="00F40939"/>
    <w:rsid w:val="00F40BD3"/>
    <w:rsid w:val="00F40BF1"/>
    <w:rsid w:val="00F40CD0"/>
    <w:rsid w:val="00F40D2C"/>
    <w:rsid w:val="00F40E89"/>
    <w:rsid w:val="00F40F55"/>
    <w:rsid w:val="00F40F9A"/>
    <w:rsid w:val="00F41150"/>
    <w:rsid w:val="00F411D7"/>
    <w:rsid w:val="00F4133A"/>
    <w:rsid w:val="00F415D1"/>
    <w:rsid w:val="00F4162F"/>
    <w:rsid w:val="00F4167C"/>
    <w:rsid w:val="00F416B7"/>
    <w:rsid w:val="00F41ADB"/>
    <w:rsid w:val="00F41B64"/>
    <w:rsid w:val="00F41F78"/>
    <w:rsid w:val="00F42084"/>
    <w:rsid w:val="00F420A1"/>
    <w:rsid w:val="00F42150"/>
    <w:rsid w:val="00F421B5"/>
    <w:rsid w:val="00F4226E"/>
    <w:rsid w:val="00F42347"/>
    <w:rsid w:val="00F42417"/>
    <w:rsid w:val="00F425B1"/>
    <w:rsid w:val="00F425C4"/>
    <w:rsid w:val="00F426ED"/>
    <w:rsid w:val="00F427CC"/>
    <w:rsid w:val="00F4285B"/>
    <w:rsid w:val="00F42D3A"/>
    <w:rsid w:val="00F42EAA"/>
    <w:rsid w:val="00F42F02"/>
    <w:rsid w:val="00F42F6D"/>
    <w:rsid w:val="00F42FB0"/>
    <w:rsid w:val="00F4303B"/>
    <w:rsid w:val="00F430B8"/>
    <w:rsid w:val="00F4312A"/>
    <w:rsid w:val="00F4315E"/>
    <w:rsid w:val="00F43207"/>
    <w:rsid w:val="00F432F0"/>
    <w:rsid w:val="00F43499"/>
    <w:rsid w:val="00F4358B"/>
    <w:rsid w:val="00F435A0"/>
    <w:rsid w:val="00F435F4"/>
    <w:rsid w:val="00F438A0"/>
    <w:rsid w:val="00F4393B"/>
    <w:rsid w:val="00F43954"/>
    <w:rsid w:val="00F43995"/>
    <w:rsid w:val="00F43AB4"/>
    <w:rsid w:val="00F43B13"/>
    <w:rsid w:val="00F43D08"/>
    <w:rsid w:val="00F43EDC"/>
    <w:rsid w:val="00F4408B"/>
    <w:rsid w:val="00F4417B"/>
    <w:rsid w:val="00F441C0"/>
    <w:rsid w:val="00F44449"/>
    <w:rsid w:val="00F44702"/>
    <w:rsid w:val="00F44728"/>
    <w:rsid w:val="00F447CF"/>
    <w:rsid w:val="00F44AF8"/>
    <w:rsid w:val="00F44CB5"/>
    <w:rsid w:val="00F44D6E"/>
    <w:rsid w:val="00F44E96"/>
    <w:rsid w:val="00F44F75"/>
    <w:rsid w:val="00F45085"/>
    <w:rsid w:val="00F455E2"/>
    <w:rsid w:val="00F45622"/>
    <w:rsid w:val="00F456A4"/>
    <w:rsid w:val="00F456AB"/>
    <w:rsid w:val="00F45743"/>
    <w:rsid w:val="00F4578B"/>
    <w:rsid w:val="00F459FA"/>
    <w:rsid w:val="00F45A55"/>
    <w:rsid w:val="00F45AC1"/>
    <w:rsid w:val="00F45B9E"/>
    <w:rsid w:val="00F45BE3"/>
    <w:rsid w:val="00F45C3F"/>
    <w:rsid w:val="00F460A9"/>
    <w:rsid w:val="00F461CF"/>
    <w:rsid w:val="00F462FA"/>
    <w:rsid w:val="00F4631C"/>
    <w:rsid w:val="00F4634E"/>
    <w:rsid w:val="00F46433"/>
    <w:rsid w:val="00F46435"/>
    <w:rsid w:val="00F46696"/>
    <w:rsid w:val="00F467AB"/>
    <w:rsid w:val="00F467CA"/>
    <w:rsid w:val="00F46925"/>
    <w:rsid w:val="00F46A3B"/>
    <w:rsid w:val="00F46AE7"/>
    <w:rsid w:val="00F46B3C"/>
    <w:rsid w:val="00F46C56"/>
    <w:rsid w:val="00F46C83"/>
    <w:rsid w:val="00F46CBE"/>
    <w:rsid w:val="00F47046"/>
    <w:rsid w:val="00F47337"/>
    <w:rsid w:val="00F4740E"/>
    <w:rsid w:val="00F47488"/>
    <w:rsid w:val="00F4761A"/>
    <w:rsid w:val="00F476A3"/>
    <w:rsid w:val="00F47B10"/>
    <w:rsid w:val="00F47B71"/>
    <w:rsid w:val="00F47F50"/>
    <w:rsid w:val="00F5007F"/>
    <w:rsid w:val="00F500B9"/>
    <w:rsid w:val="00F50112"/>
    <w:rsid w:val="00F50251"/>
    <w:rsid w:val="00F504EE"/>
    <w:rsid w:val="00F50510"/>
    <w:rsid w:val="00F5058E"/>
    <w:rsid w:val="00F505A9"/>
    <w:rsid w:val="00F5062E"/>
    <w:rsid w:val="00F507FC"/>
    <w:rsid w:val="00F50967"/>
    <w:rsid w:val="00F509C4"/>
    <w:rsid w:val="00F50A4E"/>
    <w:rsid w:val="00F50AB7"/>
    <w:rsid w:val="00F50B49"/>
    <w:rsid w:val="00F50E4A"/>
    <w:rsid w:val="00F50E9D"/>
    <w:rsid w:val="00F510C5"/>
    <w:rsid w:val="00F51128"/>
    <w:rsid w:val="00F5126F"/>
    <w:rsid w:val="00F51412"/>
    <w:rsid w:val="00F51486"/>
    <w:rsid w:val="00F516FE"/>
    <w:rsid w:val="00F5196F"/>
    <w:rsid w:val="00F51A86"/>
    <w:rsid w:val="00F51BC1"/>
    <w:rsid w:val="00F51CB3"/>
    <w:rsid w:val="00F51FC1"/>
    <w:rsid w:val="00F520A4"/>
    <w:rsid w:val="00F52283"/>
    <w:rsid w:val="00F52474"/>
    <w:rsid w:val="00F524DA"/>
    <w:rsid w:val="00F5271B"/>
    <w:rsid w:val="00F5283A"/>
    <w:rsid w:val="00F52AA3"/>
    <w:rsid w:val="00F52C1D"/>
    <w:rsid w:val="00F52D2B"/>
    <w:rsid w:val="00F52E20"/>
    <w:rsid w:val="00F52ED0"/>
    <w:rsid w:val="00F5301B"/>
    <w:rsid w:val="00F53060"/>
    <w:rsid w:val="00F532EA"/>
    <w:rsid w:val="00F535DD"/>
    <w:rsid w:val="00F536A2"/>
    <w:rsid w:val="00F53726"/>
    <w:rsid w:val="00F537F2"/>
    <w:rsid w:val="00F53857"/>
    <w:rsid w:val="00F53997"/>
    <w:rsid w:val="00F53A3A"/>
    <w:rsid w:val="00F53B58"/>
    <w:rsid w:val="00F53C18"/>
    <w:rsid w:val="00F53C76"/>
    <w:rsid w:val="00F53CC6"/>
    <w:rsid w:val="00F53CE7"/>
    <w:rsid w:val="00F53DA7"/>
    <w:rsid w:val="00F541DF"/>
    <w:rsid w:val="00F5446D"/>
    <w:rsid w:val="00F544FF"/>
    <w:rsid w:val="00F546FB"/>
    <w:rsid w:val="00F54961"/>
    <w:rsid w:val="00F5498A"/>
    <w:rsid w:val="00F54C28"/>
    <w:rsid w:val="00F54C7F"/>
    <w:rsid w:val="00F54C8F"/>
    <w:rsid w:val="00F54C96"/>
    <w:rsid w:val="00F54D18"/>
    <w:rsid w:val="00F54D56"/>
    <w:rsid w:val="00F54DC5"/>
    <w:rsid w:val="00F54E50"/>
    <w:rsid w:val="00F54FBE"/>
    <w:rsid w:val="00F551B8"/>
    <w:rsid w:val="00F5521C"/>
    <w:rsid w:val="00F55285"/>
    <w:rsid w:val="00F552A0"/>
    <w:rsid w:val="00F554A1"/>
    <w:rsid w:val="00F55717"/>
    <w:rsid w:val="00F55751"/>
    <w:rsid w:val="00F55785"/>
    <w:rsid w:val="00F557C5"/>
    <w:rsid w:val="00F55860"/>
    <w:rsid w:val="00F558AE"/>
    <w:rsid w:val="00F558DA"/>
    <w:rsid w:val="00F55A9E"/>
    <w:rsid w:val="00F55D2C"/>
    <w:rsid w:val="00F55DD5"/>
    <w:rsid w:val="00F55E66"/>
    <w:rsid w:val="00F55F10"/>
    <w:rsid w:val="00F55F31"/>
    <w:rsid w:val="00F55FAE"/>
    <w:rsid w:val="00F56222"/>
    <w:rsid w:val="00F562BF"/>
    <w:rsid w:val="00F5647D"/>
    <w:rsid w:val="00F56522"/>
    <w:rsid w:val="00F5655D"/>
    <w:rsid w:val="00F565F6"/>
    <w:rsid w:val="00F5662A"/>
    <w:rsid w:val="00F567A5"/>
    <w:rsid w:val="00F567DE"/>
    <w:rsid w:val="00F567FC"/>
    <w:rsid w:val="00F56889"/>
    <w:rsid w:val="00F569DB"/>
    <w:rsid w:val="00F56B01"/>
    <w:rsid w:val="00F56E24"/>
    <w:rsid w:val="00F56E7E"/>
    <w:rsid w:val="00F56F1B"/>
    <w:rsid w:val="00F56FD6"/>
    <w:rsid w:val="00F5703C"/>
    <w:rsid w:val="00F570C6"/>
    <w:rsid w:val="00F571D3"/>
    <w:rsid w:val="00F572CA"/>
    <w:rsid w:val="00F5738A"/>
    <w:rsid w:val="00F574E4"/>
    <w:rsid w:val="00F57512"/>
    <w:rsid w:val="00F57E09"/>
    <w:rsid w:val="00F57E35"/>
    <w:rsid w:val="00F57F89"/>
    <w:rsid w:val="00F59716"/>
    <w:rsid w:val="00F60032"/>
    <w:rsid w:val="00F60092"/>
    <w:rsid w:val="00F601E5"/>
    <w:rsid w:val="00F6046E"/>
    <w:rsid w:val="00F605D1"/>
    <w:rsid w:val="00F60669"/>
    <w:rsid w:val="00F60717"/>
    <w:rsid w:val="00F607A5"/>
    <w:rsid w:val="00F607CE"/>
    <w:rsid w:val="00F60862"/>
    <w:rsid w:val="00F60938"/>
    <w:rsid w:val="00F609A5"/>
    <w:rsid w:val="00F60B77"/>
    <w:rsid w:val="00F60F6A"/>
    <w:rsid w:val="00F60FCB"/>
    <w:rsid w:val="00F615FF"/>
    <w:rsid w:val="00F61746"/>
    <w:rsid w:val="00F61804"/>
    <w:rsid w:val="00F61AD1"/>
    <w:rsid w:val="00F61D8A"/>
    <w:rsid w:val="00F61DA8"/>
    <w:rsid w:val="00F61DD9"/>
    <w:rsid w:val="00F61F1D"/>
    <w:rsid w:val="00F61FDD"/>
    <w:rsid w:val="00F62002"/>
    <w:rsid w:val="00F62059"/>
    <w:rsid w:val="00F62077"/>
    <w:rsid w:val="00F6210B"/>
    <w:rsid w:val="00F6221D"/>
    <w:rsid w:val="00F6230F"/>
    <w:rsid w:val="00F62396"/>
    <w:rsid w:val="00F623C8"/>
    <w:rsid w:val="00F624AB"/>
    <w:rsid w:val="00F624D1"/>
    <w:rsid w:val="00F62602"/>
    <w:rsid w:val="00F62609"/>
    <w:rsid w:val="00F626CC"/>
    <w:rsid w:val="00F62745"/>
    <w:rsid w:val="00F627D6"/>
    <w:rsid w:val="00F6294A"/>
    <w:rsid w:val="00F62ADB"/>
    <w:rsid w:val="00F62AFB"/>
    <w:rsid w:val="00F62CE5"/>
    <w:rsid w:val="00F62D3E"/>
    <w:rsid w:val="00F62E35"/>
    <w:rsid w:val="00F62E88"/>
    <w:rsid w:val="00F62EB4"/>
    <w:rsid w:val="00F62EDC"/>
    <w:rsid w:val="00F62F28"/>
    <w:rsid w:val="00F62F4B"/>
    <w:rsid w:val="00F63198"/>
    <w:rsid w:val="00F632B6"/>
    <w:rsid w:val="00F633F7"/>
    <w:rsid w:val="00F634DC"/>
    <w:rsid w:val="00F63516"/>
    <w:rsid w:val="00F6359E"/>
    <w:rsid w:val="00F635CA"/>
    <w:rsid w:val="00F63727"/>
    <w:rsid w:val="00F6382C"/>
    <w:rsid w:val="00F6387B"/>
    <w:rsid w:val="00F63966"/>
    <w:rsid w:val="00F639F6"/>
    <w:rsid w:val="00F63A7A"/>
    <w:rsid w:val="00F63ACB"/>
    <w:rsid w:val="00F63B6A"/>
    <w:rsid w:val="00F63C23"/>
    <w:rsid w:val="00F63C65"/>
    <w:rsid w:val="00F63CC1"/>
    <w:rsid w:val="00F63D16"/>
    <w:rsid w:val="00F63DF5"/>
    <w:rsid w:val="00F63FE0"/>
    <w:rsid w:val="00F6405C"/>
    <w:rsid w:val="00F6413E"/>
    <w:rsid w:val="00F64219"/>
    <w:rsid w:val="00F64221"/>
    <w:rsid w:val="00F64335"/>
    <w:rsid w:val="00F643E2"/>
    <w:rsid w:val="00F644F1"/>
    <w:rsid w:val="00F64512"/>
    <w:rsid w:val="00F6475E"/>
    <w:rsid w:val="00F647EF"/>
    <w:rsid w:val="00F64945"/>
    <w:rsid w:val="00F64AF2"/>
    <w:rsid w:val="00F64F3D"/>
    <w:rsid w:val="00F65009"/>
    <w:rsid w:val="00F65076"/>
    <w:rsid w:val="00F651E0"/>
    <w:rsid w:val="00F65329"/>
    <w:rsid w:val="00F65362"/>
    <w:rsid w:val="00F654CB"/>
    <w:rsid w:val="00F6574A"/>
    <w:rsid w:val="00F657B8"/>
    <w:rsid w:val="00F65B6E"/>
    <w:rsid w:val="00F65B89"/>
    <w:rsid w:val="00F65C31"/>
    <w:rsid w:val="00F65D58"/>
    <w:rsid w:val="00F6648D"/>
    <w:rsid w:val="00F6654A"/>
    <w:rsid w:val="00F66559"/>
    <w:rsid w:val="00F66833"/>
    <w:rsid w:val="00F66847"/>
    <w:rsid w:val="00F668C6"/>
    <w:rsid w:val="00F66A7C"/>
    <w:rsid w:val="00F66A82"/>
    <w:rsid w:val="00F66B63"/>
    <w:rsid w:val="00F66BD8"/>
    <w:rsid w:val="00F66C88"/>
    <w:rsid w:val="00F66D3A"/>
    <w:rsid w:val="00F66D61"/>
    <w:rsid w:val="00F66DAB"/>
    <w:rsid w:val="00F66E5D"/>
    <w:rsid w:val="00F67058"/>
    <w:rsid w:val="00F67294"/>
    <w:rsid w:val="00F6742E"/>
    <w:rsid w:val="00F676AB"/>
    <w:rsid w:val="00F676C2"/>
    <w:rsid w:val="00F67804"/>
    <w:rsid w:val="00F678AB"/>
    <w:rsid w:val="00F67C41"/>
    <w:rsid w:val="00F67DFF"/>
    <w:rsid w:val="00F67E4C"/>
    <w:rsid w:val="00F70045"/>
    <w:rsid w:val="00F70071"/>
    <w:rsid w:val="00F7010D"/>
    <w:rsid w:val="00F7014B"/>
    <w:rsid w:val="00F70228"/>
    <w:rsid w:val="00F7028D"/>
    <w:rsid w:val="00F702F3"/>
    <w:rsid w:val="00F70399"/>
    <w:rsid w:val="00F7043F"/>
    <w:rsid w:val="00F7055E"/>
    <w:rsid w:val="00F7059B"/>
    <w:rsid w:val="00F705BD"/>
    <w:rsid w:val="00F70945"/>
    <w:rsid w:val="00F70B2A"/>
    <w:rsid w:val="00F70CB3"/>
    <w:rsid w:val="00F70D81"/>
    <w:rsid w:val="00F70DB4"/>
    <w:rsid w:val="00F7121D"/>
    <w:rsid w:val="00F712A2"/>
    <w:rsid w:val="00F712AD"/>
    <w:rsid w:val="00F71630"/>
    <w:rsid w:val="00F7167C"/>
    <w:rsid w:val="00F71782"/>
    <w:rsid w:val="00F71870"/>
    <w:rsid w:val="00F71940"/>
    <w:rsid w:val="00F719B5"/>
    <w:rsid w:val="00F719CE"/>
    <w:rsid w:val="00F71BA3"/>
    <w:rsid w:val="00F71E3E"/>
    <w:rsid w:val="00F71E62"/>
    <w:rsid w:val="00F71EFA"/>
    <w:rsid w:val="00F71F61"/>
    <w:rsid w:val="00F721D4"/>
    <w:rsid w:val="00F72246"/>
    <w:rsid w:val="00F722EB"/>
    <w:rsid w:val="00F7246D"/>
    <w:rsid w:val="00F726AE"/>
    <w:rsid w:val="00F7275F"/>
    <w:rsid w:val="00F727AA"/>
    <w:rsid w:val="00F72877"/>
    <w:rsid w:val="00F72A84"/>
    <w:rsid w:val="00F72A95"/>
    <w:rsid w:val="00F72AC2"/>
    <w:rsid w:val="00F72B6F"/>
    <w:rsid w:val="00F72C46"/>
    <w:rsid w:val="00F72D02"/>
    <w:rsid w:val="00F72D72"/>
    <w:rsid w:val="00F72D78"/>
    <w:rsid w:val="00F72DB4"/>
    <w:rsid w:val="00F72EDD"/>
    <w:rsid w:val="00F730C5"/>
    <w:rsid w:val="00F73204"/>
    <w:rsid w:val="00F732B6"/>
    <w:rsid w:val="00F7334F"/>
    <w:rsid w:val="00F734C5"/>
    <w:rsid w:val="00F734DB"/>
    <w:rsid w:val="00F736BE"/>
    <w:rsid w:val="00F737E3"/>
    <w:rsid w:val="00F73836"/>
    <w:rsid w:val="00F73941"/>
    <w:rsid w:val="00F739E4"/>
    <w:rsid w:val="00F73CB6"/>
    <w:rsid w:val="00F73D0D"/>
    <w:rsid w:val="00F73E07"/>
    <w:rsid w:val="00F73E9B"/>
    <w:rsid w:val="00F73ECE"/>
    <w:rsid w:val="00F73ED3"/>
    <w:rsid w:val="00F73FF5"/>
    <w:rsid w:val="00F7407C"/>
    <w:rsid w:val="00F742A8"/>
    <w:rsid w:val="00F742E8"/>
    <w:rsid w:val="00F74444"/>
    <w:rsid w:val="00F74519"/>
    <w:rsid w:val="00F74536"/>
    <w:rsid w:val="00F7465B"/>
    <w:rsid w:val="00F746B2"/>
    <w:rsid w:val="00F7470E"/>
    <w:rsid w:val="00F747D5"/>
    <w:rsid w:val="00F74B2D"/>
    <w:rsid w:val="00F74B69"/>
    <w:rsid w:val="00F74E78"/>
    <w:rsid w:val="00F74F89"/>
    <w:rsid w:val="00F75000"/>
    <w:rsid w:val="00F7508E"/>
    <w:rsid w:val="00F7527A"/>
    <w:rsid w:val="00F75389"/>
    <w:rsid w:val="00F75702"/>
    <w:rsid w:val="00F75A59"/>
    <w:rsid w:val="00F75C18"/>
    <w:rsid w:val="00F75DAA"/>
    <w:rsid w:val="00F75E88"/>
    <w:rsid w:val="00F7601D"/>
    <w:rsid w:val="00F76233"/>
    <w:rsid w:val="00F763EE"/>
    <w:rsid w:val="00F764A2"/>
    <w:rsid w:val="00F76530"/>
    <w:rsid w:val="00F76A20"/>
    <w:rsid w:val="00F76C53"/>
    <w:rsid w:val="00F76C71"/>
    <w:rsid w:val="00F76CA9"/>
    <w:rsid w:val="00F76F93"/>
    <w:rsid w:val="00F77031"/>
    <w:rsid w:val="00F7709E"/>
    <w:rsid w:val="00F7714B"/>
    <w:rsid w:val="00F772FA"/>
    <w:rsid w:val="00F77336"/>
    <w:rsid w:val="00F77471"/>
    <w:rsid w:val="00F776A6"/>
    <w:rsid w:val="00F77804"/>
    <w:rsid w:val="00F77BE6"/>
    <w:rsid w:val="00F77E15"/>
    <w:rsid w:val="00F77ECC"/>
    <w:rsid w:val="00F77F30"/>
    <w:rsid w:val="00F8021E"/>
    <w:rsid w:val="00F80263"/>
    <w:rsid w:val="00F80543"/>
    <w:rsid w:val="00F80652"/>
    <w:rsid w:val="00F80759"/>
    <w:rsid w:val="00F809B3"/>
    <w:rsid w:val="00F809FE"/>
    <w:rsid w:val="00F80A21"/>
    <w:rsid w:val="00F80CD4"/>
    <w:rsid w:val="00F80DC6"/>
    <w:rsid w:val="00F80F55"/>
    <w:rsid w:val="00F80F5F"/>
    <w:rsid w:val="00F812FB"/>
    <w:rsid w:val="00F81312"/>
    <w:rsid w:val="00F8133C"/>
    <w:rsid w:val="00F81350"/>
    <w:rsid w:val="00F813C8"/>
    <w:rsid w:val="00F81432"/>
    <w:rsid w:val="00F81660"/>
    <w:rsid w:val="00F8169C"/>
    <w:rsid w:val="00F817DF"/>
    <w:rsid w:val="00F81839"/>
    <w:rsid w:val="00F81987"/>
    <w:rsid w:val="00F81B22"/>
    <w:rsid w:val="00F81C5E"/>
    <w:rsid w:val="00F81C6D"/>
    <w:rsid w:val="00F81E42"/>
    <w:rsid w:val="00F81E6A"/>
    <w:rsid w:val="00F81FF3"/>
    <w:rsid w:val="00F82176"/>
    <w:rsid w:val="00F82317"/>
    <w:rsid w:val="00F8236E"/>
    <w:rsid w:val="00F82433"/>
    <w:rsid w:val="00F82535"/>
    <w:rsid w:val="00F828F8"/>
    <w:rsid w:val="00F8292C"/>
    <w:rsid w:val="00F829B4"/>
    <w:rsid w:val="00F82AF6"/>
    <w:rsid w:val="00F82F2F"/>
    <w:rsid w:val="00F8313B"/>
    <w:rsid w:val="00F83179"/>
    <w:rsid w:val="00F8318F"/>
    <w:rsid w:val="00F83340"/>
    <w:rsid w:val="00F83490"/>
    <w:rsid w:val="00F835EE"/>
    <w:rsid w:val="00F836D8"/>
    <w:rsid w:val="00F8375C"/>
    <w:rsid w:val="00F83913"/>
    <w:rsid w:val="00F83973"/>
    <w:rsid w:val="00F83A2F"/>
    <w:rsid w:val="00F83ABC"/>
    <w:rsid w:val="00F83AD0"/>
    <w:rsid w:val="00F83AF4"/>
    <w:rsid w:val="00F83CE5"/>
    <w:rsid w:val="00F83DD4"/>
    <w:rsid w:val="00F83FE3"/>
    <w:rsid w:val="00F84164"/>
    <w:rsid w:val="00F84202"/>
    <w:rsid w:val="00F84442"/>
    <w:rsid w:val="00F844B6"/>
    <w:rsid w:val="00F845D1"/>
    <w:rsid w:val="00F8461D"/>
    <w:rsid w:val="00F84749"/>
    <w:rsid w:val="00F84884"/>
    <w:rsid w:val="00F848F1"/>
    <w:rsid w:val="00F84A0C"/>
    <w:rsid w:val="00F84ACA"/>
    <w:rsid w:val="00F84B1F"/>
    <w:rsid w:val="00F84B8E"/>
    <w:rsid w:val="00F84D28"/>
    <w:rsid w:val="00F84F03"/>
    <w:rsid w:val="00F850B5"/>
    <w:rsid w:val="00F852F8"/>
    <w:rsid w:val="00F8532C"/>
    <w:rsid w:val="00F85729"/>
    <w:rsid w:val="00F8598B"/>
    <w:rsid w:val="00F85DF8"/>
    <w:rsid w:val="00F85E56"/>
    <w:rsid w:val="00F85F4B"/>
    <w:rsid w:val="00F85FCF"/>
    <w:rsid w:val="00F8601D"/>
    <w:rsid w:val="00F86135"/>
    <w:rsid w:val="00F863C4"/>
    <w:rsid w:val="00F8652B"/>
    <w:rsid w:val="00F8669E"/>
    <w:rsid w:val="00F869EA"/>
    <w:rsid w:val="00F86A7C"/>
    <w:rsid w:val="00F86B12"/>
    <w:rsid w:val="00F86B8E"/>
    <w:rsid w:val="00F86C65"/>
    <w:rsid w:val="00F86CED"/>
    <w:rsid w:val="00F86DBF"/>
    <w:rsid w:val="00F86DE1"/>
    <w:rsid w:val="00F86F36"/>
    <w:rsid w:val="00F86F48"/>
    <w:rsid w:val="00F86FC1"/>
    <w:rsid w:val="00F87192"/>
    <w:rsid w:val="00F8722D"/>
    <w:rsid w:val="00F872BE"/>
    <w:rsid w:val="00F873F6"/>
    <w:rsid w:val="00F87476"/>
    <w:rsid w:val="00F87486"/>
    <w:rsid w:val="00F8754F"/>
    <w:rsid w:val="00F87667"/>
    <w:rsid w:val="00F87770"/>
    <w:rsid w:val="00F8778D"/>
    <w:rsid w:val="00F878F3"/>
    <w:rsid w:val="00F879FC"/>
    <w:rsid w:val="00F87A7E"/>
    <w:rsid w:val="00F87AF8"/>
    <w:rsid w:val="00F87BD7"/>
    <w:rsid w:val="00F87EC3"/>
    <w:rsid w:val="00F87EF7"/>
    <w:rsid w:val="00F90002"/>
    <w:rsid w:val="00F90054"/>
    <w:rsid w:val="00F900EB"/>
    <w:rsid w:val="00F90190"/>
    <w:rsid w:val="00F903E5"/>
    <w:rsid w:val="00F904F4"/>
    <w:rsid w:val="00F90544"/>
    <w:rsid w:val="00F90828"/>
    <w:rsid w:val="00F90AFA"/>
    <w:rsid w:val="00F90C81"/>
    <w:rsid w:val="00F90DB2"/>
    <w:rsid w:val="00F90E32"/>
    <w:rsid w:val="00F910EB"/>
    <w:rsid w:val="00F91130"/>
    <w:rsid w:val="00F9118B"/>
    <w:rsid w:val="00F91194"/>
    <w:rsid w:val="00F9121E"/>
    <w:rsid w:val="00F912C0"/>
    <w:rsid w:val="00F91471"/>
    <w:rsid w:val="00F91563"/>
    <w:rsid w:val="00F9163D"/>
    <w:rsid w:val="00F916BB"/>
    <w:rsid w:val="00F917FA"/>
    <w:rsid w:val="00F919D3"/>
    <w:rsid w:val="00F91AEC"/>
    <w:rsid w:val="00F91CC1"/>
    <w:rsid w:val="00F91CD5"/>
    <w:rsid w:val="00F91E6F"/>
    <w:rsid w:val="00F92066"/>
    <w:rsid w:val="00F92136"/>
    <w:rsid w:val="00F9219E"/>
    <w:rsid w:val="00F92236"/>
    <w:rsid w:val="00F92465"/>
    <w:rsid w:val="00F92715"/>
    <w:rsid w:val="00F92B4C"/>
    <w:rsid w:val="00F92B76"/>
    <w:rsid w:val="00F92BDA"/>
    <w:rsid w:val="00F92C0F"/>
    <w:rsid w:val="00F92C84"/>
    <w:rsid w:val="00F92CE8"/>
    <w:rsid w:val="00F93004"/>
    <w:rsid w:val="00F931E9"/>
    <w:rsid w:val="00F93238"/>
    <w:rsid w:val="00F93281"/>
    <w:rsid w:val="00F93525"/>
    <w:rsid w:val="00F93539"/>
    <w:rsid w:val="00F935AF"/>
    <w:rsid w:val="00F936DA"/>
    <w:rsid w:val="00F93D29"/>
    <w:rsid w:val="00F93D52"/>
    <w:rsid w:val="00F93DE2"/>
    <w:rsid w:val="00F93E32"/>
    <w:rsid w:val="00F941C5"/>
    <w:rsid w:val="00F94219"/>
    <w:rsid w:val="00F94289"/>
    <w:rsid w:val="00F943DE"/>
    <w:rsid w:val="00F9446C"/>
    <w:rsid w:val="00F944E8"/>
    <w:rsid w:val="00F94725"/>
    <w:rsid w:val="00F94798"/>
    <w:rsid w:val="00F94877"/>
    <w:rsid w:val="00F94954"/>
    <w:rsid w:val="00F94D95"/>
    <w:rsid w:val="00F94EA8"/>
    <w:rsid w:val="00F94EB1"/>
    <w:rsid w:val="00F94FF3"/>
    <w:rsid w:val="00F95077"/>
    <w:rsid w:val="00F9507A"/>
    <w:rsid w:val="00F956ED"/>
    <w:rsid w:val="00F957AD"/>
    <w:rsid w:val="00F95996"/>
    <w:rsid w:val="00F95A36"/>
    <w:rsid w:val="00F95BE7"/>
    <w:rsid w:val="00F95E3B"/>
    <w:rsid w:val="00F95F43"/>
    <w:rsid w:val="00F95F51"/>
    <w:rsid w:val="00F95F64"/>
    <w:rsid w:val="00F95F8A"/>
    <w:rsid w:val="00F95FB3"/>
    <w:rsid w:val="00F9696A"/>
    <w:rsid w:val="00F96A45"/>
    <w:rsid w:val="00F96A62"/>
    <w:rsid w:val="00F96B07"/>
    <w:rsid w:val="00F96B36"/>
    <w:rsid w:val="00F96CCB"/>
    <w:rsid w:val="00F96F7C"/>
    <w:rsid w:val="00F97164"/>
    <w:rsid w:val="00F97218"/>
    <w:rsid w:val="00F974F4"/>
    <w:rsid w:val="00F97679"/>
    <w:rsid w:val="00F9770B"/>
    <w:rsid w:val="00F97778"/>
    <w:rsid w:val="00F97C23"/>
    <w:rsid w:val="00F97CF8"/>
    <w:rsid w:val="00F97D42"/>
    <w:rsid w:val="00F97E80"/>
    <w:rsid w:val="00FA010C"/>
    <w:rsid w:val="00FA025A"/>
    <w:rsid w:val="00FA0337"/>
    <w:rsid w:val="00FA0472"/>
    <w:rsid w:val="00FA051B"/>
    <w:rsid w:val="00FA0665"/>
    <w:rsid w:val="00FA068D"/>
    <w:rsid w:val="00FA06C5"/>
    <w:rsid w:val="00FA06F4"/>
    <w:rsid w:val="00FA078A"/>
    <w:rsid w:val="00FA07DB"/>
    <w:rsid w:val="00FA07F6"/>
    <w:rsid w:val="00FA0B1F"/>
    <w:rsid w:val="00FA0BCC"/>
    <w:rsid w:val="00FA0C51"/>
    <w:rsid w:val="00FA0C9A"/>
    <w:rsid w:val="00FA0CD6"/>
    <w:rsid w:val="00FA0E59"/>
    <w:rsid w:val="00FA0E5A"/>
    <w:rsid w:val="00FA0F26"/>
    <w:rsid w:val="00FA0F8A"/>
    <w:rsid w:val="00FA0FEC"/>
    <w:rsid w:val="00FA10A0"/>
    <w:rsid w:val="00FA10ED"/>
    <w:rsid w:val="00FA11A4"/>
    <w:rsid w:val="00FA1217"/>
    <w:rsid w:val="00FA1387"/>
    <w:rsid w:val="00FA144B"/>
    <w:rsid w:val="00FA1549"/>
    <w:rsid w:val="00FA15F2"/>
    <w:rsid w:val="00FA161E"/>
    <w:rsid w:val="00FA1636"/>
    <w:rsid w:val="00FA17C1"/>
    <w:rsid w:val="00FA18C5"/>
    <w:rsid w:val="00FA1A32"/>
    <w:rsid w:val="00FA1B6E"/>
    <w:rsid w:val="00FA1C32"/>
    <w:rsid w:val="00FA1D0F"/>
    <w:rsid w:val="00FA1DD2"/>
    <w:rsid w:val="00FA1F33"/>
    <w:rsid w:val="00FA2067"/>
    <w:rsid w:val="00FA224E"/>
    <w:rsid w:val="00FA2378"/>
    <w:rsid w:val="00FA2401"/>
    <w:rsid w:val="00FA2466"/>
    <w:rsid w:val="00FA24D5"/>
    <w:rsid w:val="00FA25F8"/>
    <w:rsid w:val="00FA2607"/>
    <w:rsid w:val="00FA2613"/>
    <w:rsid w:val="00FA286E"/>
    <w:rsid w:val="00FA2ADD"/>
    <w:rsid w:val="00FA2B16"/>
    <w:rsid w:val="00FA2BF7"/>
    <w:rsid w:val="00FA2D22"/>
    <w:rsid w:val="00FA2D8D"/>
    <w:rsid w:val="00FA2F93"/>
    <w:rsid w:val="00FA30AB"/>
    <w:rsid w:val="00FA321A"/>
    <w:rsid w:val="00FA3258"/>
    <w:rsid w:val="00FA3491"/>
    <w:rsid w:val="00FA34E4"/>
    <w:rsid w:val="00FA358E"/>
    <w:rsid w:val="00FA35F0"/>
    <w:rsid w:val="00FA37B2"/>
    <w:rsid w:val="00FA38CC"/>
    <w:rsid w:val="00FA3A40"/>
    <w:rsid w:val="00FA3AD4"/>
    <w:rsid w:val="00FA3CD4"/>
    <w:rsid w:val="00FA3EE3"/>
    <w:rsid w:val="00FA3F99"/>
    <w:rsid w:val="00FA3FA3"/>
    <w:rsid w:val="00FA4063"/>
    <w:rsid w:val="00FA408D"/>
    <w:rsid w:val="00FA41CA"/>
    <w:rsid w:val="00FA4212"/>
    <w:rsid w:val="00FA42D7"/>
    <w:rsid w:val="00FA4379"/>
    <w:rsid w:val="00FA4381"/>
    <w:rsid w:val="00FA4384"/>
    <w:rsid w:val="00FA44B5"/>
    <w:rsid w:val="00FA4561"/>
    <w:rsid w:val="00FA465E"/>
    <w:rsid w:val="00FA4676"/>
    <w:rsid w:val="00FA46FF"/>
    <w:rsid w:val="00FA4859"/>
    <w:rsid w:val="00FA48D2"/>
    <w:rsid w:val="00FA4B35"/>
    <w:rsid w:val="00FA4B60"/>
    <w:rsid w:val="00FA5054"/>
    <w:rsid w:val="00FA5080"/>
    <w:rsid w:val="00FA5564"/>
    <w:rsid w:val="00FA5573"/>
    <w:rsid w:val="00FA557F"/>
    <w:rsid w:val="00FA5637"/>
    <w:rsid w:val="00FA56E2"/>
    <w:rsid w:val="00FA5890"/>
    <w:rsid w:val="00FA5954"/>
    <w:rsid w:val="00FA5BB1"/>
    <w:rsid w:val="00FA5DFE"/>
    <w:rsid w:val="00FA60CF"/>
    <w:rsid w:val="00FA6124"/>
    <w:rsid w:val="00FA614F"/>
    <w:rsid w:val="00FA6178"/>
    <w:rsid w:val="00FA61E8"/>
    <w:rsid w:val="00FA683D"/>
    <w:rsid w:val="00FA6B69"/>
    <w:rsid w:val="00FA6C52"/>
    <w:rsid w:val="00FA6C6A"/>
    <w:rsid w:val="00FA71A5"/>
    <w:rsid w:val="00FA71D2"/>
    <w:rsid w:val="00FA7395"/>
    <w:rsid w:val="00FA7451"/>
    <w:rsid w:val="00FA7485"/>
    <w:rsid w:val="00FA74EE"/>
    <w:rsid w:val="00FA75D2"/>
    <w:rsid w:val="00FA784F"/>
    <w:rsid w:val="00FA7878"/>
    <w:rsid w:val="00FA7BEB"/>
    <w:rsid w:val="00FA7C6A"/>
    <w:rsid w:val="00FA7D9A"/>
    <w:rsid w:val="00FA7DD2"/>
    <w:rsid w:val="00FA7DE6"/>
    <w:rsid w:val="00FB00FE"/>
    <w:rsid w:val="00FB01BF"/>
    <w:rsid w:val="00FB0534"/>
    <w:rsid w:val="00FB0575"/>
    <w:rsid w:val="00FB0613"/>
    <w:rsid w:val="00FB06A1"/>
    <w:rsid w:val="00FB08A9"/>
    <w:rsid w:val="00FB08BC"/>
    <w:rsid w:val="00FB08BF"/>
    <w:rsid w:val="00FB0915"/>
    <w:rsid w:val="00FB09B5"/>
    <w:rsid w:val="00FB0A31"/>
    <w:rsid w:val="00FB0B4C"/>
    <w:rsid w:val="00FB0C47"/>
    <w:rsid w:val="00FB0CA8"/>
    <w:rsid w:val="00FB0D75"/>
    <w:rsid w:val="00FB0E4D"/>
    <w:rsid w:val="00FB0FA3"/>
    <w:rsid w:val="00FB1085"/>
    <w:rsid w:val="00FB1168"/>
    <w:rsid w:val="00FB136B"/>
    <w:rsid w:val="00FB1747"/>
    <w:rsid w:val="00FB187B"/>
    <w:rsid w:val="00FB18BA"/>
    <w:rsid w:val="00FB1921"/>
    <w:rsid w:val="00FB1961"/>
    <w:rsid w:val="00FB19CC"/>
    <w:rsid w:val="00FB1AC0"/>
    <w:rsid w:val="00FB1B62"/>
    <w:rsid w:val="00FB1C21"/>
    <w:rsid w:val="00FB1CB0"/>
    <w:rsid w:val="00FB1CC6"/>
    <w:rsid w:val="00FB1D36"/>
    <w:rsid w:val="00FB1EFB"/>
    <w:rsid w:val="00FB1F45"/>
    <w:rsid w:val="00FB2176"/>
    <w:rsid w:val="00FB2180"/>
    <w:rsid w:val="00FB21B7"/>
    <w:rsid w:val="00FB2346"/>
    <w:rsid w:val="00FB23E6"/>
    <w:rsid w:val="00FB2465"/>
    <w:rsid w:val="00FB2582"/>
    <w:rsid w:val="00FB25AB"/>
    <w:rsid w:val="00FB26E3"/>
    <w:rsid w:val="00FB271A"/>
    <w:rsid w:val="00FB28CF"/>
    <w:rsid w:val="00FB2A2C"/>
    <w:rsid w:val="00FB2BD1"/>
    <w:rsid w:val="00FB2ED4"/>
    <w:rsid w:val="00FB2EE6"/>
    <w:rsid w:val="00FB32E6"/>
    <w:rsid w:val="00FB3407"/>
    <w:rsid w:val="00FB34F8"/>
    <w:rsid w:val="00FB3795"/>
    <w:rsid w:val="00FB37DE"/>
    <w:rsid w:val="00FB38CD"/>
    <w:rsid w:val="00FB3908"/>
    <w:rsid w:val="00FB3BD9"/>
    <w:rsid w:val="00FB3D0B"/>
    <w:rsid w:val="00FB3F7B"/>
    <w:rsid w:val="00FB3F9F"/>
    <w:rsid w:val="00FB41A2"/>
    <w:rsid w:val="00FB41DE"/>
    <w:rsid w:val="00FB4264"/>
    <w:rsid w:val="00FB44C8"/>
    <w:rsid w:val="00FB44D9"/>
    <w:rsid w:val="00FB4825"/>
    <w:rsid w:val="00FB484B"/>
    <w:rsid w:val="00FB488A"/>
    <w:rsid w:val="00FB4923"/>
    <w:rsid w:val="00FB4997"/>
    <w:rsid w:val="00FB4AFF"/>
    <w:rsid w:val="00FB4B62"/>
    <w:rsid w:val="00FB4DEC"/>
    <w:rsid w:val="00FB4FEC"/>
    <w:rsid w:val="00FB4FED"/>
    <w:rsid w:val="00FB5179"/>
    <w:rsid w:val="00FB5300"/>
    <w:rsid w:val="00FB557D"/>
    <w:rsid w:val="00FB5876"/>
    <w:rsid w:val="00FB5A6C"/>
    <w:rsid w:val="00FB5B49"/>
    <w:rsid w:val="00FB5BD2"/>
    <w:rsid w:val="00FB5C17"/>
    <w:rsid w:val="00FB5C60"/>
    <w:rsid w:val="00FB5D33"/>
    <w:rsid w:val="00FB5D4F"/>
    <w:rsid w:val="00FB5DF7"/>
    <w:rsid w:val="00FB5E8A"/>
    <w:rsid w:val="00FB5EC1"/>
    <w:rsid w:val="00FB5ED5"/>
    <w:rsid w:val="00FB5F62"/>
    <w:rsid w:val="00FB5F6B"/>
    <w:rsid w:val="00FB5FB9"/>
    <w:rsid w:val="00FB5FE6"/>
    <w:rsid w:val="00FB6127"/>
    <w:rsid w:val="00FB614A"/>
    <w:rsid w:val="00FB6539"/>
    <w:rsid w:val="00FB655D"/>
    <w:rsid w:val="00FB6696"/>
    <w:rsid w:val="00FB6789"/>
    <w:rsid w:val="00FB679B"/>
    <w:rsid w:val="00FB6A90"/>
    <w:rsid w:val="00FB6BAA"/>
    <w:rsid w:val="00FB6BAE"/>
    <w:rsid w:val="00FB6E28"/>
    <w:rsid w:val="00FB6FE6"/>
    <w:rsid w:val="00FB7360"/>
    <w:rsid w:val="00FB7772"/>
    <w:rsid w:val="00FB79EF"/>
    <w:rsid w:val="00FB7A16"/>
    <w:rsid w:val="00FB7AA1"/>
    <w:rsid w:val="00FB7BF2"/>
    <w:rsid w:val="00FB7C27"/>
    <w:rsid w:val="00FB7DB5"/>
    <w:rsid w:val="00FC002B"/>
    <w:rsid w:val="00FC0095"/>
    <w:rsid w:val="00FC03A0"/>
    <w:rsid w:val="00FC0553"/>
    <w:rsid w:val="00FC0804"/>
    <w:rsid w:val="00FC0AC8"/>
    <w:rsid w:val="00FC1008"/>
    <w:rsid w:val="00FC1160"/>
    <w:rsid w:val="00FC14CA"/>
    <w:rsid w:val="00FC159B"/>
    <w:rsid w:val="00FC1954"/>
    <w:rsid w:val="00FC1986"/>
    <w:rsid w:val="00FC1B7B"/>
    <w:rsid w:val="00FC2018"/>
    <w:rsid w:val="00FC2113"/>
    <w:rsid w:val="00FC21D4"/>
    <w:rsid w:val="00FC2695"/>
    <w:rsid w:val="00FC27B3"/>
    <w:rsid w:val="00FC27E6"/>
    <w:rsid w:val="00FC2830"/>
    <w:rsid w:val="00FC2847"/>
    <w:rsid w:val="00FC28A6"/>
    <w:rsid w:val="00FC2947"/>
    <w:rsid w:val="00FC2BC1"/>
    <w:rsid w:val="00FC2C0D"/>
    <w:rsid w:val="00FC2D26"/>
    <w:rsid w:val="00FC2EA1"/>
    <w:rsid w:val="00FC2F04"/>
    <w:rsid w:val="00FC3022"/>
    <w:rsid w:val="00FC32DF"/>
    <w:rsid w:val="00FC34FA"/>
    <w:rsid w:val="00FC378C"/>
    <w:rsid w:val="00FC380C"/>
    <w:rsid w:val="00FC3848"/>
    <w:rsid w:val="00FC38D5"/>
    <w:rsid w:val="00FC38EB"/>
    <w:rsid w:val="00FC3973"/>
    <w:rsid w:val="00FC3AF5"/>
    <w:rsid w:val="00FC3B5C"/>
    <w:rsid w:val="00FC3C2E"/>
    <w:rsid w:val="00FC3E4B"/>
    <w:rsid w:val="00FC3E50"/>
    <w:rsid w:val="00FC3E60"/>
    <w:rsid w:val="00FC3F22"/>
    <w:rsid w:val="00FC3F6F"/>
    <w:rsid w:val="00FC4110"/>
    <w:rsid w:val="00FC414F"/>
    <w:rsid w:val="00FC43F6"/>
    <w:rsid w:val="00FC450E"/>
    <w:rsid w:val="00FC45D2"/>
    <w:rsid w:val="00FC4628"/>
    <w:rsid w:val="00FC4858"/>
    <w:rsid w:val="00FC4916"/>
    <w:rsid w:val="00FC4A0A"/>
    <w:rsid w:val="00FC4B29"/>
    <w:rsid w:val="00FC4C66"/>
    <w:rsid w:val="00FC4DE7"/>
    <w:rsid w:val="00FC5086"/>
    <w:rsid w:val="00FC5153"/>
    <w:rsid w:val="00FC54BC"/>
    <w:rsid w:val="00FC5687"/>
    <w:rsid w:val="00FC56C7"/>
    <w:rsid w:val="00FC579B"/>
    <w:rsid w:val="00FC595E"/>
    <w:rsid w:val="00FC5A06"/>
    <w:rsid w:val="00FC5B64"/>
    <w:rsid w:val="00FC5BC3"/>
    <w:rsid w:val="00FC5CF5"/>
    <w:rsid w:val="00FC6028"/>
    <w:rsid w:val="00FC6097"/>
    <w:rsid w:val="00FC6103"/>
    <w:rsid w:val="00FC652D"/>
    <w:rsid w:val="00FC656D"/>
    <w:rsid w:val="00FC659E"/>
    <w:rsid w:val="00FC66E6"/>
    <w:rsid w:val="00FC673A"/>
    <w:rsid w:val="00FC6A1C"/>
    <w:rsid w:val="00FC6B0A"/>
    <w:rsid w:val="00FC6D3D"/>
    <w:rsid w:val="00FC6DDA"/>
    <w:rsid w:val="00FC6DEA"/>
    <w:rsid w:val="00FC700A"/>
    <w:rsid w:val="00FC7097"/>
    <w:rsid w:val="00FC70CC"/>
    <w:rsid w:val="00FC7162"/>
    <w:rsid w:val="00FC7241"/>
    <w:rsid w:val="00FC7404"/>
    <w:rsid w:val="00FC7415"/>
    <w:rsid w:val="00FC7694"/>
    <w:rsid w:val="00FC77B0"/>
    <w:rsid w:val="00FC7825"/>
    <w:rsid w:val="00FC78D6"/>
    <w:rsid w:val="00FC799F"/>
    <w:rsid w:val="00FC7AA3"/>
    <w:rsid w:val="00FC7C36"/>
    <w:rsid w:val="00FC7D87"/>
    <w:rsid w:val="00FC7E3D"/>
    <w:rsid w:val="00FC7E4C"/>
    <w:rsid w:val="00FC7E70"/>
    <w:rsid w:val="00FC7ECB"/>
    <w:rsid w:val="00FD0081"/>
    <w:rsid w:val="00FD0100"/>
    <w:rsid w:val="00FD0145"/>
    <w:rsid w:val="00FD0198"/>
    <w:rsid w:val="00FD01D9"/>
    <w:rsid w:val="00FD01E7"/>
    <w:rsid w:val="00FD03FB"/>
    <w:rsid w:val="00FD04EB"/>
    <w:rsid w:val="00FD0576"/>
    <w:rsid w:val="00FD05F1"/>
    <w:rsid w:val="00FD07BE"/>
    <w:rsid w:val="00FD093E"/>
    <w:rsid w:val="00FD0988"/>
    <w:rsid w:val="00FD09FC"/>
    <w:rsid w:val="00FD0C46"/>
    <w:rsid w:val="00FD0CCA"/>
    <w:rsid w:val="00FD0CDB"/>
    <w:rsid w:val="00FD0D91"/>
    <w:rsid w:val="00FD0DE2"/>
    <w:rsid w:val="00FD0EEC"/>
    <w:rsid w:val="00FD0F2A"/>
    <w:rsid w:val="00FD0FCC"/>
    <w:rsid w:val="00FD138D"/>
    <w:rsid w:val="00FD15DA"/>
    <w:rsid w:val="00FD1920"/>
    <w:rsid w:val="00FD1984"/>
    <w:rsid w:val="00FD19AE"/>
    <w:rsid w:val="00FD1A2E"/>
    <w:rsid w:val="00FD1A42"/>
    <w:rsid w:val="00FD1AC3"/>
    <w:rsid w:val="00FD1C3D"/>
    <w:rsid w:val="00FD1D58"/>
    <w:rsid w:val="00FD1D62"/>
    <w:rsid w:val="00FD210C"/>
    <w:rsid w:val="00FD22C3"/>
    <w:rsid w:val="00FD2397"/>
    <w:rsid w:val="00FD23F1"/>
    <w:rsid w:val="00FD2674"/>
    <w:rsid w:val="00FD2807"/>
    <w:rsid w:val="00FD280C"/>
    <w:rsid w:val="00FD289B"/>
    <w:rsid w:val="00FD2A9E"/>
    <w:rsid w:val="00FD2CAF"/>
    <w:rsid w:val="00FD2E81"/>
    <w:rsid w:val="00FD2EB2"/>
    <w:rsid w:val="00FD2ED2"/>
    <w:rsid w:val="00FD2F11"/>
    <w:rsid w:val="00FD30CD"/>
    <w:rsid w:val="00FD3262"/>
    <w:rsid w:val="00FD333A"/>
    <w:rsid w:val="00FD346B"/>
    <w:rsid w:val="00FD36CA"/>
    <w:rsid w:val="00FD376B"/>
    <w:rsid w:val="00FD38C8"/>
    <w:rsid w:val="00FD3991"/>
    <w:rsid w:val="00FD3B0E"/>
    <w:rsid w:val="00FD3B52"/>
    <w:rsid w:val="00FD3C29"/>
    <w:rsid w:val="00FD3C67"/>
    <w:rsid w:val="00FD3CA4"/>
    <w:rsid w:val="00FD3E9E"/>
    <w:rsid w:val="00FD3F68"/>
    <w:rsid w:val="00FD4075"/>
    <w:rsid w:val="00FD43D1"/>
    <w:rsid w:val="00FD450E"/>
    <w:rsid w:val="00FD46F6"/>
    <w:rsid w:val="00FD4738"/>
    <w:rsid w:val="00FD47DB"/>
    <w:rsid w:val="00FD47F3"/>
    <w:rsid w:val="00FD47F6"/>
    <w:rsid w:val="00FD48C9"/>
    <w:rsid w:val="00FD4B74"/>
    <w:rsid w:val="00FD4CCC"/>
    <w:rsid w:val="00FD4DC6"/>
    <w:rsid w:val="00FD4EBB"/>
    <w:rsid w:val="00FD4FE7"/>
    <w:rsid w:val="00FD5160"/>
    <w:rsid w:val="00FD51F1"/>
    <w:rsid w:val="00FD522E"/>
    <w:rsid w:val="00FD560A"/>
    <w:rsid w:val="00FD5967"/>
    <w:rsid w:val="00FD5B08"/>
    <w:rsid w:val="00FD5B6C"/>
    <w:rsid w:val="00FD5B6D"/>
    <w:rsid w:val="00FD5F41"/>
    <w:rsid w:val="00FD5FEF"/>
    <w:rsid w:val="00FD60AC"/>
    <w:rsid w:val="00FD617A"/>
    <w:rsid w:val="00FD6298"/>
    <w:rsid w:val="00FD62BB"/>
    <w:rsid w:val="00FD656C"/>
    <w:rsid w:val="00FD676B"/>
    <w:rsid w:val="00FD689E"/>
    <w:rsid w:val="00FD68CC"/>
    <w:rsid w:val="00FD6928"/>
    <w:rsid w:val="00FD6ABD"/>
    <w:rsid w:val="00FD6B76"/>
    <w:rsid w:val="00FD6EE9"/>
    <w:rsid w:val="00FD6F3E"/>
    <w:rsid w:val="00FD703C"/>
    <w:rsid w:val="00FD715B"/>
    <w:rsid w:val="00FD721E"/>
    <w:rsid w:val="00FD7412"/>
    <w:rsid w:val="00FD777F"/>
    <w:rsid w:val="00FD7780"/>
    <w:rsid w:val="00FD7832"/>
    <w:rsid w:val="00FD7857"/>
    <w:rsid w:val="00FD7B7A"/>
    <w:rsid w:val="00FD7C60"/>
    <w:rsid w:val="00FD7F90"/>
    <w:rsid w:val="00FD7FF7"/>
    <w:rsid w:val="00FE06E8"/>
    <w:rsid w:val="00FE0906"/>
    <w:rsid w:val="00FE0A27"/>
    <w:rsid w:val="00FE0D1F"/>
    <w:rsid w:val="00FE0D4F"/>
    <w:rsid w:val="00FE0F17"/>
    <w:rsid w:val="00FE10CF"/>
    <w:rsid w:val="00FE1299"/>
    <w:rsid w:val="00FE12ED"/>
    <w:rsid w:val="00FE13B2"/>
    <w:rsid w:val="00FE16B8"/>
    <w:rsid w:val="00FE1936"/>
    <w:rsid w:val="00FE197E"/>
    <w:rsid w:val="00FE1AD3"/>
    <w:rsid w:val="00FE1DA3"/>
    <w:rsid w:val="00FE1E6D"/>
    <w:rsid w:val="00FE1EF5"/>
    <w:rsid w:val="00FE1FE6"/>
    <w:rsid w:val="00FE2012"/>
    <w:rsid w:val="00FE2060"/>
    <w:rsid w:val="00FE2200"/>
    <w:rsid w:val="00FE2208"/>
    <w:rsid w:val="00FE2394"/>
    <w:rsid w:val="00FE2444"/>
    <w:rsid w:val="00FE2521"/>
    <w:rsid w:val="00FE2611"/>
    <w:rsid w:val="00FE26E1"/>
    <w:rsid w:val="00FE280A"/>
    <w:rsid w:val="00FE282B"/>
    <w:rsid w:val="00FE29DB"/>
    <w:rsid w:val="00FE2BB0"/>
    <w:rsid w:val="00FE303E"/>
    <w:rsid w:val="00FE3058"/>
    <w:rsid w:val="00FE3532"/>
    <w:rsid w:val="00FE371B"/>
    <w:rsid w:val="00FE37C2"/>
    <w:rsid w:val="00FE3840"/>
    <w:rsid w:val="00FE39B0"/>
    <w:rsid w:val="00FE3BAA"/>
    <w:rsid w:val="00FE3ED1"/>
    <w:rsid w:val="00FE40C3"/>
    <w:rsid w:val="00FE40E1"/>
    <w:rsid w:val="00FE4217"/>
    <w:rsid w:val="00FE428D"/>
    <w:rsid w:val="00FE42E4"/>
    <w:rsid w:val="00FE43A1"/>
    <w:rsid w:val="00FE44DF"/>
    <w:rsid w:val="00FE470B"/>
    <w:rsid w:val="00FE472C"/>
    <w:rsid w:val="00FE4864"/>
    <w:rsid w:val="00FE4B90"/>
    <w:rsid w:val="00FE4C29"/>
    <w:rsid w:val="00FE4C44"/>
    <w:rsid w:val="00FE4C72"/>
    <w:rsid w:val="00FE4E1B"/>
    <w:rsid w:val="00FE4E93"/>
    <w:rsid w:val="00FE4F49"/>
    <w:rsid w:val="00FE4FD8"/>
    <w:rsid w:val="00FE5294"/>
    <w:rsid w:val="00FE5383"/>
    <w:rsid w:val="00FE55A6"/>
    <w:rsid w:val="00FE56BB"/>
    <w:rsid w:val="00FE5790"/>
    <w:rsid w:val="00FE5829"/>
    <w:rsid w:val="00FE590B"/>
    <w:rsid w:val="00FE594A"/>
    <w:rsid w:val="00FE5C8C"/>
    <w:rsid w:val="00FE5DB6"/>
    <w:rsid w:val="00FE6135"/>
    <w:rsid w:val="00FE6565"/>
    <w:rsid w:val="00FE6700"/>
    <w:rsid w:val="00FE68D1"/>
    <w:rsid w:val="00FE69F6"/>
    <w:rsid w:val="00FE6D65"/>
    <w:rsid w:val="00FE6D66"/>
    <w:rsid w:val="00FE6EC6"/>
    <w:rsid w:val="00FE6FA0"/>
    <w:rsid w:val="00FE704D"/>
    <w:rsid w:val="00FE7278"/>
    <w:rsid w:val="00FE7347"/>
    <w:rsid w:val="00FE74F3"/>
    <w:rsid w:val="00FE77B0"/>
    <w:rsid w:val="00FE77DA"/>
    <w:rsid w:val="00FE7842"/>
    <w:rsid w:val="00FE7A3B"/>
    <w:rsid w:val="00FE7AD9"/>
    <w:rsid w:val="00FE7C13"/>
    <w:rsid w:val="00FE7D03"/>
    <w:rsid w:val="00FE7D58"/>
    <w:rsid w:val="00FE7D78"/>
    <w:rsid w:val="00FE7E20"/>
    <w:rsid w:val="00FF019D"/>
    <w:rsid w:val="00FF02BD"/>
    <w:rsid w:val="00FF03B9"/>
    <w:rsid w:val="00FF0432"/>
    <w:rsid w:val="00FF0590"/>
    <w:rsid w:val="00FF05F3"/>
    <w:rsid w:val="00FF0705"/>
    <w:rsid w:val="00FF08DE"/>
    <w:rsid w:val="00FF099B"/>
    <w:rsid w:val="00FF0AD2"/>
    <w:rsid w:val="00FF0C3F"/>
    <w:rsid w:val="00FF0DCD"/>
    <w:rsid w:val="00FF0F60"/>
    <w:rsid w:val="00FF10EC"/>
    <w:rsid w:val="00FF1334"/>
    <w:rsid w:val="00FF1390"/>
    <w:rsid w:val="00FF1717"/>
    <w:rsid w:val="00FF1738"/>
    <w:rsid w:val="00FF18F8"/>
    <w:rsid w:val="00FF1A6D"/>
    <w:rsid w:val="00FF1A9F"/>
    <w:rsid w:val="00FF1C85"/>
    <w:rsid w:val="00FF1CA5"/>
    <w:rsid w:val="00FF1CD7"/>
    <w:rsid w:val="00FF1D57"/>
    <w:rsid w:val="00FF1E2F"/>
    <w:rsid w:val="00FF211E"/>
    <w:rsid w:val="00FF2583"/>
    <w:rsid w:val="00FF2640"/>
    <w:rsid w:val="00FF266A"/>
    <w:rsid w:val="00FF2716"/>
    <w:rsid w:val="00FF28F0"/>
    <w:rsid w:val="00FF2983"/>
    <w:rsid w:val="00FF29B0"/>
    <w:rsid w:val="00FF29F4"/>
    <w:rsid w:val="00FF2A23"/>
    <w:rsid w:val="00FF2AB8"/>
    <w:rsid w:val="00FF2BE7"/>
    <w:rsid w:val="00FF2C85"/>
    <w:rsid w:val="00FF2CB0"/>
    <w:rsid w:val="00FF2D8D"/>
    <w:rsid w:val="00FF2DF0"/>
    <w:rsid w:val="00FF2EA3"/>
    <w:rsid w:val="00FF311D"/>
    <w:rsid w:val="00FF312E"/>
    <w:rsid w:val="00FF31FC"/>
    <w:rsid w:val="00FF3200"/>
    <w:rsid w:val="00FF320E"/>
    <w:rsid w:val="00FF324D"/>
    <w:rsid w:val="00FF32F4"/>
    <w:rsid w:val="00FF34E7"/>
    <w:rsid w:val="00FF35DF"/>
    <w:rsid w:val="00FF35E7"/>
    <w:rsid w:val="00FF3707"/>
    <w:rsid w:val="00FF379C"/>
    <w:rsid w:val="00FF3816"/>
    <w:rsid w:val="00FF394E"/>
    <w:rsid w:val="00FF3B84"/>
    <w:rsid w:val="00FF3CDF"/>
    <w:rsid w:val="00FF3DAA"/>
    <w:rsid w:val="00FF3EC9"/>
    <w:rsid w:val="00FF3F15"/>
    <w:rsid w:val="00FF3F58"/>
    <w:rsid w:val="00FF3F5C"/>
    <w:rsid w:val="00FF3F68"/>
    <w:rsid w:val="00FF4055"/>
    <w:rsid w:val="00FF44A9"/>
    <w:rsid w:val="00FF460A"/>
    <w:rsid w:val="00FF461F"/>
    <w:rsid w:val="00FF4A54"/>
    <w:rsid w:val="00FF4A80"/>
    <w:rsid w:val="00FF4A96"/>
    <w:rsid w:val="00FF4AFB"/>
    <w:rsid w:val="00FF4B75"/>
    <w:rsid w:val="00FF4D0E"/>
    <w:rsid w:val="00FF4EA2"/>
    <w:rsid w:val="00FF4EEC"/>
    <w:rsid w:val="00FF4EFB"/>
    <w:rsid w:val="00FF5024"/>
    <w:rsid w:val="00FF5098"/>
    <w:rsid w:val="00FF5103"/>
    <w:rsid w:val="00FF5140"/>
    <w:rsid w:val="00FF539A"/>
    <w:rsid w:val="00FF550B"/>
    <w:rsid w:val="00FF55DC"/>
    <w:rsid w:val="00FF59F5"/>
    <w:rsid w:val="00FF5B4A"/>
    <w:rsid w:val="00FF5B78"/>
    <w:rsid w:val="00FF5D74"/>
    <w:rsid w:val="00FF5DF4"/>
    <w:rsid w:val="00FF5EEB"/>
    <w:rsid w:val="00FF603E"/>
    <w:rsid w:val="00FF6088"/>
    <w:rsid w:val="00FF6297"/>
    <w:rsid w:val="00FF62A8"/>
    <w:rsid w:val="00FF6651"/>
    <w:rsid w:val="00FF68FA"/>
    <w:rsid w:val="00FF6999"/>
    <w:rsid w:val="00FF6D9C"/>
    <w:rsid w:val="00FF6DA3"/>
    <w:rsid w:val="00FF6DCF"/>
    <w:rsid w:val="00FF6F76"/>
    <w:rsid w:val="00FF6F87"/>
    <w:rsid w:val="00FF711D"/>
    <w:rsid w:val="00FF724E"/>
    <w:rsid w:val="00FF73B3"/>
    <w:rsid w:val="00FF7627"/>
    <w:rsid w:val="00FF799B"/>
    <w:rsid w:val="00FF79BF"/>
    <w:rsid w:val="00FF7B15"/>
    <w:rsid w:val="00FF7C51"/>
    <w:rsid w:val="00FF7C59"/>
    <w:rsid w:val="00FF7DA2"/>
    <w:rsid w:val="00FF7DE4"/>
    <w:rsid w:val="00FF7E01"/>
    <w:rsid w:val="00FF7F19"/>
    <w:rsid w:val="00FF7F6A"/>
    <w:rsid w:val="0105E1C5"/>
    <w:rsid w:val="010E53A8"/>
    <w:rsid w:val="01219695"/>
    <w:rsid w:val="012633AC"/>
    <w:rsid w:val="012BA4FA"/>
    <w:rsid w:val="012FAF5C"/>
    <w:rsid w:val="014937C2"/>
    <w:rsid w:val="014E5660"/>
    <w:rsid w:val="0166073D"/>
    <w:rsid w:val="016D7DCA"/>
    <w:rsid w:val="016F85C4"/>
    <w:rsid w:val="0177247A"/>
    <w:rsid w:val="017CA020"/>
    <w:rsid w:val="019EE6B2"/>
    <w:rsid w:val="01A287E2"/>
    <w:rsid w:val="01B2C051"/>
    <w:rsid w:val="01B94C7C"/>
    <w:rsid w:val="01D1B470"/>
    <w:rsid w:val="01DAE456"/>
    <w:rsid w:val="01DBF0DD"/>
    <w:rsid w:val="01EE65F7"/>
    <w:rsid w:val="01F04F3D"/>
    <w:rsid w:val="01F55E5F"/>
    <w:rsid w:val="0209167D"/>
    <w:rsid w:val="021B1AA5"/>
    <w:rsid w:val="0221D211"/>
    <w:rsid w:val="0229DFD1"/>
    <w:rsid w:val="022F52C2"/>
    <w:rsid w:val="022FAC75"/>
    <w:rsid w:val="023B4CCF"/>
    <w:rsid w:val="023E2FCF"/>
    <w:rsid w:val="02446D88"/>
    <w:rsid w:val="0253F5A5"/>
    <w:rsid w:val="02571979"/>
    <w:rsid w:val="02666910"/>
    <w:rsid w:val="02A7D307"/>
    <w:rsid w:val="02B6843A"/>
    <w:rsid w:val="02CA2987"/>
    <w:rsid w:val="02D8701D"/>
    <w:rsid w:val="02E68289"/>
    <w:rsid w:val="02EA2FA8"/>
    <w:rsid w:val="02F529C8"/>
    <w:rsid w:val="02FC95F7"/>
    <w:rsid w:val="03148895"/>
    <w:rsid w:val="03162B41"/>
    <w:rsid w:val="031E9B2E"/>
    <w:rsid w:val="0333141A"/>
    <w:rsid w:val="033EA624"/>
    <w:rsid w:val="0359A35F"/>
    <w:rsid w:val="035AF521"/>
    <w:rsid w:val="035DBB0E"/>
    <w:rsid w:val="03629F9F"/>
    <w:rsid w:val="0372FC28"/>
    <w:rsid w:val="0374D1ED"/>
    <w:rsid w:val="037A8163"/>
    <w:rsid w:val="03A38E0C"/>
    <w:rsid w:val="03AA6610"/>
    <w:rsid w:val="03BD3DE3"/>
    <w:rsid w:val="03C8F69E"/>
    <w:rsid w:val="03DB83D8"/>
    <w:rsid w:val="03E0953F"/>
    <w:rsid w:val="03EAD7D9"/>
    <w:rsid w:val="03F36CE5"/>
    <w:rsid w:val="040CAC38"/>
    <w:rsid w:val="040FDB69"/>
    <w:rsid w:val="041DDA18"/>
    <w:rsid w:val="04237D73"/>
    <w:rsid w:val="042AE799"/>
    <w:rsid w:val="0435AC9E"/>
    <w:rsid w:val="04485B9C"/>
    <w:rsid w:val="045AC366"/>
    <w:rsid w:val="046C6F1A"/>
    <w:rsid w:val="0474147F"/>
    <w:rsid w:val="047AD7BE"/>
    <w:rsid w:val="0492A5B6"/>
    <w:rsid w:val="049597E2"/>
    <w:rsid w:val="04A13D27"/>
    <w:rsid w:val="04A34FD9"/>
    <w:rsid w:val="04A83F7C"/>
    <w:rsid w:val="04BE8DC5"/>
    <w:rsid w:val="04D92213"/>
    <w:rsid w:val="04E4B580"/>
    <w:rsid w:val="04F1D560"/>
    <w:rsid w:val="05004A76"/>
    <w:rsid w:val="0506DC45"/>
    <w:rsid w:val="05172473"/>
    <w:rsid w:val="051C361E"/>
    <w:rsid w:val="0547E14C"/>
    <w:rsid w:val="0549E158"/>
    <w:rsid w:val="0558D0E8"/>
    <w:rsid w:val="05680A5B"/>
    <w:rsid w:val="0580CE1B"/>
    <w:rsid w:val="058DA516"/>
    <w:rsid w:val="05903C1C"/>
    <w:rsid w:val="0591E065"/>
    <w:rsid w:val="0597353D"/>
    <w:rsid w:val="059BF0DA"/>
    <w:rsid w:val="059F428B"/>
    <w:rsid w:val="05A3D976"/>
    <w:rsid w:val="05B1DA8F"/>
    <w:rsid w:val="05B7D716"/>
    <w:rsid w:val="05C370CF"/>
    <w:rsid w:val="05CB908C"/>
    <w:rsid w:val="05D674EF"/>
    <w:rsid w:val="05E0DB16"/>
    <w:rsid w:val="05EA89DD"/>
    <w:rsid w:val="05F15C68"/>
    <w:rsid w:val="06006A22"/>
    <w:rsid w:val="060AFA48"/>
    <w:rsid w:val="0615E74E"/>
    <w:rsid w:val="06230F0C"/>
    <w:rsid w:val="062378CB"/>
    <w:rsid w:val="0624E6D8"/>
    <w:rsid w:val="06275187"/>
    <w:rsid w:val="062D50C2"/>
    <w:rsid w:val="063B7B61"/>
    <w:rsid w:val="064515BF"/>
    <w:rsid w:val="064777DD"/>
    <w:rsid w:val="0649A118"/>
    <w:rsid w:val="064C9B6B"/>
    <w:rsid w:val="064F1FD2"/>
    <w:rsid w:val="065189BD"/>
    <w:rsid w:val="065D6EDE"/>
    <w:rsid w:val="0668CC3B"/>
    <w:rsid w:val="066E2186"/>
    <w:rsid w:val="06700513"/>
    <w:rsid w:val="06740DEE"/>
    <w:rsid w:val="06751D82"/>
    <w:rsid w:val="06803C21"/>
    <w:rsid w:val="0687E894"/>
    <w:rsid w:val="06A228D6"/>
    <w:rsid w:val="06A797E5"/>
    <w:rsid w:val="06A8E081"/>
    <w:rsid w:val="06A9ADF0"/>
    <w:rsid w:val="06C416F9"/>
    <w:rsid w:val="06C89F30"/>
    <w:rsid w:val="06D9DE0E"/>
    <w:rsid w:val="06E36EA5"/>
    <w:rsid w:val="06EBEA13"/>
    <w:rsid w:val="06ED3A28"/>
    <w:rsid w:val="06F7DE83"/>
    <w:rsid w:val="06F91C2D"/>
    <w:rsid w:val="06FB044F"/>
    <w:rsid w:val="06FB41A9"/>
    <w:rsid w:val="0707B755"/>
    <w:rsid w:val="0707C8F5"/>
    <w:rsid w:val="070F60BB"/>
    <w:rsid w:val="07215B79"/>
    <w:rsid w:val="07356C5D"/>
    <w:rsid w:val="0741B629"/>
    <w:rsid w:val="07421DE7"/>
    <w:rsid w:val="074554FC"/>
    <w:rsid w:val="07501CE0"/>
    <w:rsid w:val="0762E98D"/>
    <w:rsid w:val="0772A5F1"/>
    <w:rsid w:val="077D527D"/>
    <w:rsid w:val="078CD616"/>
    <w:rsid w:val="078D8BFB"/>
    <w:rsid w:val="079A5361"/>
    <w:rsid w:val="079AA6D4"/>
    <w:rsid w:val="079B5918"/>
    <w:rsid w:val="07CBAD46"/>
    <w:rsid w:val="07D9B5B3"/>
    <w:rsid w:val="07E1DA12"/>
    <w:rsid w:val="07EA39F6"/>
    <w:rsid w:val="07F17F0F"/>
    <w:rsid w:val="08051A2B"/>
    <w:rsid w:val="0809D72B"/>
    <w:rsid w:val="080D9EDF"/>
    <w:rsid w:val="08232350"/>
    <w:rsid w:val="0831E5D2"/>
    <w:rsid w:val="0833212A"/>
    <w:rsid w:val="083538B2"/>
    <w:rsid w:val="083714AF"/>
    <w:rsid w:val="08482FD4"/>
    <w:rsid w:val="086124BB"/>
    <w:rsid w:val="08612FEA"/>
    <w:rsid w:val="087AA289"/>
    <w:rsid w:val="08904A84"/>
    <w:rsid w:val="08A77B27"/>
    <w:rsid w:val="08BFCE80"/>
    <w:rsid w:val="08C08A09"/>
    <w:rsid w:val="08D9ACA7"/>
    <w:rsid w:val="08E2CD4E"/>
    <w:rsid w:val="08E2E3D4"/>
    <w:rsid w:val="08E902B8"/>
    <w:rsid w:val="08EA72F2"/>
    <w:rsid w:val="08EAF78C"/>
    <w:rsid w:val="08ED0A3B"/>
    <w:rsid w:val="08ED4227"/>
    <w:rsid w:val="08EFCD75"/>
    <w:rsid w:val="08F4AA94"/>
    <w:rsid w:val="08FAD33F"/>
    <w:rsid w:val="09048AE9"/>
    <w:rsid w:val="090A193D"/>
    <w:rsid w:val="090EEB03"/>
    <w:rsid w:val="090F989E"/>
    <w:rsid w:val="0919B991"/>
    <w:rsid w:val="092F3A68"/>
    <w:rsid w:val="0931EC25"/>
    <w:rsid w:val="093854A3"/>
    <w:rsid w:val="094B5CE7"/>
    <w:rsid w:val="09558DE7"/>
    <w:rsid w:val="095B3607"/>
    <w:rsid w:val="096A134C"/>
    <w:rsid w:val="09710616"/>
    <w:rsid w:val="098046D6"/>
    <w:rsid w:val="098AC390"/>
    <w:rsid w:val="09A2B1F8"/>
    <w:rsid w:val="09B0AEED"/>
    <w:rsid w:val="09B95818"/>
    <w:rsid w:val="09BA1BED"/>
    <w:rsid w:val="09C0359B"/>
    <w:rsid w:val="09E14605"/>
    <w:rsid w:val="09E714F2"/>
    <w:rsid w:val="09E7570E"/>
    <w:rsid w:val="09EF3D71"/>
    <w:rsid w:val="0A0865D6"/>
    <w:rsid w:val="0A172A1A"/>
    <w:rsid w:val="0A1958AA"/>
    <w:rsid w:val="0A4AE5EB"/>
    <w:rsid w:val="0A586EED"/>
    <w:rsid w:val="0A61686E"/>
    <w:rsid w:val="0A67A8CD"/>
    <w:rsid w:val="0A6B3ADE"/>
    <w:rsid w:val="0A797839"/>
    <w:rsid w:val="0A7AA530"/>
    <w:rsid w:val="0A86BAA3"/>
    <w:rsid w:val="0A8E0634"/>
    <w:rsid w:val="0A9ABF43"/>
    <w:rsid w:val="0ABACF11"/>
    <w:rsid w:val="0AD14789"/>
    <w:rsid w:val="0AD1C56B"/>
    <w:rsid w:val="0AE88BC6"/>
    <w:rsid w:val="0AE89697"/>
    <w:rsid w:val="0AEC18A0"/>
    <w:rsid w:val="0AF705F0"/>
    <w:rsid w:val="0AFAC23B"/>
    <w:rsid w:val="0AFB8052"/>
    <w:rsid w:val="0AFBA0B8"/>
    <w:rsid w:val="0B01672B"/>
    <w:rsid w:val="0B22D75E"/>
    <w:rsid w:val="0B24CDBF"/>
    <w:rsid w:val="0B310CA4"/>
    <w:rsid w:val="0B3EC7E7"/>
    <w:rsid w:val="0B440606"/>
    <w:rsid w:val="0B46DC90"/>
    <w:rsid w:val="0B4C8B3B"/>
    <w:rsid w:val="0B5B78C4"/>
    <w:rsid w:val="0B73E6E1"/>
    <w:rsid w:val="0B7731B9"/>
    <w:rsid w:val="0B7BA5BB"/>
    <w:rsid w:val="0B822F2D"/>
    <w:rsid w:val="0BA07E39"/>
    <w:rsid w:val="0BA239B8"/>
    <w:rsid w:val="0BA51FDD"/>
    <w:rsid w:val="0BA58906"/>
    <w:rsid w:val="0BA68B74"/>
    <w:rsid w:val="0BA93D52"/>
    <w:rsid w:val="0BDC99DD"/>
    <w:rsid w:val="0BE126C4"/>
    <w:rsid w:val="0BE2532F"/>
    <w:rsid w:val="0BE3CA1E"/>
    <w:rsid w:val="0BE8C4D8"/>
    <w:rsid w:val="0BEAB2E9"/>
    <w:rsid w:val="0BF13E52"/>
    <w:rsid w:val="0BFD3CF6"/>
    <w:rsid w:val="0C0516BB"/>
    <w:rsid w:val="0C073DB4"/>
    <w:rsid w:val="0C0AD93C"/>
    <w:rsid w:val="0C12C58D"/>
    <w:rsid w:val="0C1E96FB"/>
    <w:rsid w:val="0C20BD9C"/>
    <w:rsid w:val="0C2BFC2D"/>
    <w:rsid w:val="0C39D1ED"/>
    <w:rsid w:val="0C472C90"/>
    <w:rsid w:val="0C55A334"/>
    <w:rsid w:val="0C6135F2"/>
    <w:rsid w:val="0C68C7B6"/>
    <w:rsid w:val="0C6BF1AA"/>
    <w:rsid w:val="0C6CBAF0"/>
    <w:rsid w:val="0C6E2D5F"/>
    <w:rsid w:val="0C7A74AA"/>
    <w:rsid w:val="0C861E1E"/>
    <w:rsid w:val="0C962A57"/>
    <w:rsid w:val="0C98C954"/>
    <w:rsid w:val="0CB9209A"/>
    <w:rsid w:val="0CBC1CCF"/>
    <w:rsid w:val="0CCED520"/>
    <w:rsid w:val="0CD18037"/>
    <w:rsid w:val="0CD79CE4"/>
    <w:rsid w:val="0CDDE966"/>
    <w:rsid w:val="0CE0DB19"/>
    <w:rsid w:val="0CE8A909"/>
    <w:rsid w:val="0CEB8E69"/>
    <w:rsid w:val="0CF48547"/>
    <w:rsid w:val="0CFF18CB"/>
    <w:rsid w:val="0D04190C"/>
    <w:rsid w:val="0D087E83"/>
    <w:rsid w:val="0D11E95C"/>
    <w:rsid w:val="0D17032D"/>
    <w:rsid w:val="0D3398EF"/>
    <w:rsid w:val="0D3AD92B"/>
    <w:rsid w:val="0D3BDB29"/>
    <w:rsid w:val="0D4BDED1"/>
    <w:rsid w:val="0D542FD1"/>
    <w:rsid w:val="0D604401"/>
    <w:rsid w:val="0D67ACBC"/>
    <w:rsid w:val="0D6D5668"/>
    <w:rsid w:val="0D6EC816"/>
    <w:rsid w:val="0D71B7CB"/>
    <w:rsid w:val="0D7ED52B"/>
    <w:rsid w:val="0D95059B"/>
    <w:rsid w:val="0DBDD52B"/>
    <w:rsid w:val="0DBE8585"/>
    <w:rsid w:val="0DC83814"/>
    <w:rsid w:val="0DC8CD3B"/>
    <w:rsid w:val="0DCC897B"/>
    <w:rsid w:val="0DD7E3DF"/>
    <w:rsid w:val="0DDEF4A2"/>
    <w:rsid w:val="0DE4FAC7"/>
    <w:rsid w:val="0DEB3C5A"/>
    <w:rsid w:val="0DF07220"/>
    <w:rsid w:val="0E00C5AA"/>
    <w:rsid w:val="0E072306"/>
    <w:rsid w:val="0E088AB0"/>
    <w:rsid w:val="0E0DE30D"/>
    <w:rsid w:val="0E182F7C"/>
    <w:rsid w:val="0E2FE830"/>
    <w:rsid w:val="0E3977B8"/>
    <w:rsid w:val="0E57A37B"/>
    <w:rsid w:val="0E5A848C"/>
    <w:rsid w:val="0E5B0A81"/>
    <w:rsid w:val="0E7C02B6"/>
    <w:rsid w:val="0E7EF6B2"/>
    <w:rsid w:val="0E811BAD"/>
    <w:rsid w:val="0E823A40"/>
    <w:rsid w:val="0E85206A"/>
    <w:rsid w:val="0E88BE47"/>
    <w:rsid w:val="0EA0E3EB"/>
    <w:rsid w:val="0EA20CA0"/>
    <w:rsid w:val="0EC0C43E"/>
    <w:rsid w:val="0ED6DB49"/>
    <w:rsid w:val="0EEA0BDD"/>
    <w:rsid w:val="0EEF326C"/>
    <w:rsid w:val="0EF9DA4B"/>
    <w:rsid w:val="0EFE1D73"/>
    <w:rsid w:val="0F00B34B"/>
    <w:rsid w:val="0F1047A9"/>
    <w:rsid w:val="0F1DF9A1"/>
    <w:rsid w:val="0F29D73B"/>
    <w:rsid w:val="0F2C21C5"/>
    <w:rsid w:val="0F3A412C"/>
    <w:rsid w:val="0F509505"/>
    <w:rsid w:val="0F59FB1C"/>
    <w:rsid w:val="0F663BC9"/>
    <w:rsid w:val="0F6A3292"/>
    <w:rsid w:val="0F75CE8B"/>
    <w:rsid w:val="0F7ACE0B"/>
    <w:rsid w:val="0F814784"/>
    <w:rsid w:val="0F846068"/>
    <w:rsid w:val="0F93616E"/>
    <w:rsid w:val="0F94EE85"/>
    <w:rsid w:val="0F97F1B3"/>
    <w:rsid w:val="0FA2C166"/>
    <w:rsid w:val="0FA394A4"/>
    <w:rsid w:val="0FACF7B8"/>
    <w:rsid w:val="0FB0325D"/>
    <w:rsid w:val="0FB1C241"/>
    <w:rsid w:val="0FD259F3"/>
    <w:rsid w:val="0FDB0641"/>
    <w:rsid w:val="0FDDA560"/>
    <w:rsid w:val="0FEF4E0A"/>
    <w:rsid w:val="0FFC2F6E"/>
    <w:rsid w:val="10071853"/>
    <w:rsid w:val="100FD904"/>
    <w:rsid w:val="101C7E29"/>
    <w:rsid w:val="10257D0A"/>
    <w:rsid w:val="1050A9D7"/>
    <w:rsid w:val="105C4FD5"/>
    <w:rsid w:val="10619242"/>
    <w:rsid w:val="1064BBAB"/>
    <w:rsid w:val="106A2358"/>
    <w:rsid w:val="1072FE15"/>
    <w:rsid w:val="108BD99D"/>
    <w:rsid w:val="109B1FF7"/>
    <w:rsid w:val="10AE5ECD"/>
    <w:rsid w:val="10CD5119"/>
    <w:rsid w:val="10CE5497"/>
    <w:rsid w:val="10E0F21A"/>
    <w:rsid w:val="10E80F83"/>
    <w:rsid w:val="11003F47"/>
    <w:rsid w:val="11043330"/>
    <w:rsid w:val="110AF48C"/>
    <w:rsid w:val="1119D6F3"/>
    <w:rsid w:val="112F27B8"/>
    <w:rsid w:val="11319F10"/>
    <w:rsid w:val="11362769"/>
    <w:rsid w:val="113B6ECD"/>
    <w:rsid w:val="114608FD"/>
    <w:rsid w:val="1149C8A9"/>
    <w:rsid w:val="1153379C"/>
    <w:rsid w:val="11547574"/>
    <w:rsid w:val="1157DCFB"/>
    <w:rsid w:val="1167E88A"/>
    <w:rsid w:val="116C53FC"/>
    <w:rsid w:val="1174045D"/>
    <w:rsid w:val="117B0668"/>
    <w:rsid w:val="118BFFFC"/>
    <w:rsid w:val="119AA28F"/>
    <w:rsid w:val="119B8C62"/>
    <w:rsid w:val="11ADE347"/>
    <w:rsid w:val="11E233BE"/>
    <w:rsid w:val="11E99199"/>
    <w:rsid w:val="120E6ED2"/>
    <w:rsid w:val="122A22CB"/>
    <w:rsid w:val="122DD22A"/>
    <w:rsid w:val="12308E60"/>
    <w:rsid w:val="124246D1"/>
    <w:rsid w:val="1248C7EF"/>
    <w:rsid w:val="12537A42"/>
    <w:rsid w:val="126EA1A8"/>
    <w:rsid w:val="126EA8C5"/>
    <w:rsid w:val="127D7787"/>
    <w:rsid w:val="12890100"/>
    <w:rsid w:val="128CB24B"/>
    <w:rsid w:val="12A1FA04"/>
    <w:rsid w:val="12B849D4"/>
    <w:rsid w:val="12B8DC1F"/>
    <w:rsid w:val="12C0BFED"/>
    <w:rsid w:val="12C67BF1"/>
    <w:rsid w:val="12C8D596"/>
    <w:rsid w:val="12EADB07"/>
    <w:rsid w:val="12FA36E3"/>
    <w:rsid w:val="13095ECD"/>
    <w:rsid w:val="130E301B"/>
    <w:rsid w:val="130F4536"/>
    <w:rsid w:val="13149CE3"/>
    <w:rsid w:val="13280582"/>
    <w:rsid w:val="132DAAB2"/>
    <w:rsid w:val="1339A6F0"/>
    <w:rsid w:val="133C5468"/>
    <w:rsid w:val="13441DDE"/>
    <w:rsid w:val="1350E72A"/>
    <w:rsid w:val="135AED93"/>
    <w:rsid w:val="13615601"/>
    <w:rsid w:val="13627267"/>
    <w:rsid w:val="136723CD"/>
    <w:rsid w:val="1368F162"/>
    <w:rsid w:val="13699D83"/>
    <w:rsid w:val="1371D9C3"/>
    <w:rsid w:val="13773E03"/>
    <w:rsid w:val="1378917B"/>
    <w:rsid w:val="137A14B8"/>
    <w:rsid w:val="1385EB52"/>
    <w:rsid w:val="13892CEB"/>
    <w:rsid w:val="138FBC40"/>
    <w:rsid w:val="13945400"/>
    <w:rsid w:val="13A1D55C"/>
    <w:rsid w:val="13A834D1"/>
    <w:rsid w:val="13AB78FF"/>
    <w:rsid w:val="13AFDD73"/>
    <w:rsid w:val="13B93F5E"/>
    <w:rsid w:val="13BB114B"/>
    <w:rsid w:val="13C16E0D"/>
    <w:rsid w:val="13C42198"/>
    <w:rsid w:val="13C5D43C"/>
    <w:rsid w:val="13C73898"/>
    <w:rsid w:val="13CC1572"/>
    <w:rsid w:val="13D6A8A2"/>
    <w:rsid w:val="13DE5D6F"/>
    <w:rsid w:val="13E01647"/>
    <w:rsid w:val="13E2E9A0"/>
    <w:rsid w:val="13ED6523"/>
    <w:rsid w:val="14047BBE"/>
    <w:rsid w:val="1414A816"/>
    <w:rsid w:val="1415CEA8"/>
    <w:rsid w:val="1424B862"/>
    <w:rsid w:val="14284ED2"/>
    <w:rsid w:val="142A9B30"/>
    <w:rsid w:val="143A68D2"/>
    <w:rsid w:val="14484D9F"/>
    <w:rsid w:val="1457D03B"/>
    <w:rsid w:val="145E9308"/>
    <w:rsid w:val="14650394"/>
    <w:rsid w:val="1469B919"/>
    <w:rsid w:val="147F3836"/>
    <w:rsid w:val="1485EA98"/>
    <w:rsid w:val="14885BA8"/>
    <w:rsid w:val="148B2B5A"/>
    <w:rsid w:val="149B2349"/>
    <w:rsid w:val="14A83B2C"/>
    <w:rsid w:val="14AB28CF"/>
    <w:rsid w:val="14AFBFB1"/>
    <w:rsid w:val="14B420B2"/>
    <w:rsid w:val="14C63C91"/>
    <w:rsid w:val="14C90362"/>
    <w:rsid w:val="14CE4989"/>
    <w:rsid w:val="14D73DE6"/>
    <w:rsid w:val="14D8F275"/>
    <w:rsid w:val="14DAF0AC"/>
    <w:rsid w:val="14E41C82"/>
    <w:rsid w:val="14FA8012"/>
    <w:rsid w:val="15044350"/>
    <w:rsid w:val="1515BD35"/>
    <w:rsid w:val="1523DDD4"/>
    <w:rsid w:val="15257D41"/>
    <w:rsid w:val="1531BF9A"/>
    <w:rsid w:val="15367274"/>
    <w:rsid w:val="1539BDA8"/>
    <w:rsid w:val="15544C39"/>
    <w:rsid w:val="1569056A"/>
    <w:rsid w:val="15693DFB"/>
    <w:rsid w:val="1574BCB3"/>
    <w:rsid w:val="158456D9"/>
    <w:rsid w:val="15995616"/>
    <w:rsid w:val="15A6CF04"/>
    <w:rsid w:val="15AB32F1"/>
    <w:rsid w:val="15B4B963"/>
    <w:rsid w:val="15B69982"/>
    <w:rsid w:val="15CAD49A"/>
    <w:rsid w:val="15E66873"/>
    <w:rsid w:val="15E8AAD7"/>
    <w:rsid w:val="15F17390"/>
    <w:rsid w:val="15F72AEF"/>
    <w:rsid w:val="1601B25F"/>
    <w:rsid w:val="160B003B"/>
    <w:rsid w:val="160EB2AE"/>
    <w:rsid w:val="161B35FA"/>
    <w:rsid w:val="1621D983"/>
    <w:rsid w:val="162C83FE"/>
    <w:rsid w:val="1634D87F"/>
    <w:rsid w:val="1644F44C"/>
    <w:rsid w:val="1647B0B1"/>
    <w:rsid w:val="164A4C66"/>
    <w:rsid w:val="164F8383"/>
    <w:rsid w:val="165A4442"/>
    <w:rsid w:val="1677FA0A"/>
    <w:rsid w:val="16813198"/>
    <w:rsid w:val="16ADBFAD"/>
    <w:rsid w:val="16BC938B"/>
    <w:rsid w:val="16C12109"/>
    <w:rsid w:val="16C5AFDD"/>
    <w:rsid w:val="16C8C8F5"/>
    <w:rsid w:val="16D7AF00"/>
    <w:rsid w:val="16DB0913"/>
    <w:rsid w:val="16DC2D1F"/>
    <w:rsid w:val="1700B260"/>
    <w:rsid w:val="17037F19"/>
    <w:rsid w:val="17050AF0"/>
    <w:rsid w:val="170B239C"/>
    <w:rsid w:val="17124DF6"/>
    <w:rsid w:val="1716AB0F"/>
    <w:rsid w:val="17198D32"/>
    <w:rsid w:val="1727890C"/>
    <w:rsid w:val="17281E7A"/>
    <w:rsid w:val="172D354D"/>
    <w:rsid w:val="1746A6F1"/>
    <w:rsid w:val="1749C92A"/>
    <w:rsid w:val="175322BC"/>
    <w:rsid w:val="176032D7"/>
    <w:rsid w:val="17658626"/>
    <w:rsid w:val="176CCABC"/>
    <w:rsid w:val="176D649C"/>
    <w:rsid w:val="176F4AB7"/>
    <w:rsid w:val="17934349"/>
    <w:rsid w:val="179620D4"/>
    <w:rsid w:val="17A3425B"/>
    <w:rsid w:val="17E159D7"/>
    <w:rsid w:val="17E38CA5"/>
    <w:rsid w:val="17F7F7C2"/>
    <w:rsid w:val="1813D035"/>
    <w:rsid w:val="181E8F0A"/>
    <w:rsid w:val="182A683B"/>
    <w:rsid w:val="1834866C"/>
    <w:rsid w:val="186073F3"/>
    <w:rsid w:val="186D1040"/>
    <w:rsid w:val="18806F39"/>
    <w:rsid w:val="188A4BC9"/>
    <w:rsid w:val="18A86E2F"/>
    <w:rsid w:val="18A8949D"/>
    <w:rsid w:val="18B33F8A"/>
    <w:rsid w:val="18C11331"/>
    <w:rsid w:val="18C61587"/>
    <w:rsid w:val="18D1745B"/>
    <w:rsid w:val="18D60AB6"/>
    <w:rsid w:val="18DCDC62"/>
    <w:rsid w:val="18DE9C99"/>
    <w:rsid w:val="18EA6919"/>
    <w:rsid w:val="18F01E89"/>
    <w:rsid w:val="18F0C7AC"/>
    <w:rsid w:val="18FD74A7"/>
    <w:rsid w:val="190B7B2E"/>
    <w:rsid w:val="191D4F94"/>
    <w:rsid w:val="19216EA8"/>
    <w:rsid w:val="1923A9A2"/>
    <w:rsid w:val="19346377"/>
    <w:rsid w:val="193D6954"/>
    <w:rsid w:val="19421A74"/>
    <w:rsid w:val="1959E624"/>
    <w:rsid w:val="195A500C"/>
    <w:rsid w:val="19657F78"/>
    <w:rsid w:val="197A0C4A"/>
    <w:rsid w:val="1995A315"/>
    <w:rsid w:val="19B16366"/>
    <w:rsid w:val="19B2D395"/>
    <w:rsid w:val="19B90431"/>
    <w:rsid w:val="19BD7805"/>
    <w:rsid w:val="19E5C625"/>
    <w:rsid w:val="19E7798C"/>
    <w:rsid w:val="19EA10B9"/>
    <w:rsid w:val="19F07B28"/>
    <w:rsid w:val="19FA6B1B"/>
    <w:rsid w:val="19FC53A8"/>
    <w:rsid w:val="19FFED02"/>
    <w:rsid w:val="1A10E9EA"/>
    <w:rsid w:val="1A1BB334"/>
    <w:rsid w:val="1A3CB332"/>
    <w:rsid w:val="1A459E3F"/>
    <w:rsid w:val="1A53BDDF"/>
    <w:rsid w:val="1A6C77F1"/>
    <w:rsid w:val="1A78F348"/>
    <w:rsid w:val="1A7C4FAC"/>
    <w:rsid w:val="1A7D789D"/>
    <w:rsid w:val="1A85E11B"/>
    <w:rsid w:val="1A8D22C4"/>
    <w:rsid w:val="1A944724"/>
    <w:rsid w:val="1A983ACF"/>
    <w:rsid w:val="1A9BDFEE"/>
    <w:rsid w:val="1AA0461B"/>
    <w:rsid w:val="1AA878FE"/>
    <w:rsid w:val="1AA9C0EA"/>
    <w:rsid w:val="1AB3C3E9"/>
    <w:rsid w:val="1AB9D82F"/>
    <w:rsid w:val="1AC10F32"/>
    <w:rsid w:val="1AD7FAC4"/>
    <w:rsid w:val="1ADA6FEE"/>
    <w:rsid w:val="1ADC9D71"/>
    <w:rsid w:val="1AF21326"/>
    <w:rsid w:val="1AF21510"/>
    <w:rsid w:val="1AF99520"/>
    <w:rsid w:val="1B053C06"/>
    <w:rsid w:val="1B217019"/>
    <w:rsid w:val="1B2840BA"/>
    <w:rsid w:val="1B2AF05A"/>
    <w:rsid w:val="1B3037F8"/>
    <w:rsid w:val="1B367BD7"/>
    <w:rsid w:val="1B38894D"/>
    <w:rsid w:val="1B3B922A"/>
    <w:rsid w:val="1B483DF6"/>
    <w:rsid w:val="1B578659"/>
    <w:rsid w:val="1B591384"/>
    <w:rsid w:val="1B5B1267"/>
    <w:rsid w:val="1B744D7F"/>
    <w:rsid w:val="1B79A709"/>
    <w:rsid w:val="1B804DFD"/>
    <w:rsid w:val="1BA2D962"/>
    <w:rsid w:val="1BA7353A"/>
    <w:rsid w:val="1BAAB5E9"/>
    <w:rsid w:val="1BB8D1A2"/>
    <w:rsid w:val="1BBAFD6C"/>
    <w:rsid w:val="1BDAB528"/>
    <w:rsid w:val="1BE15772"/>
    <w:rsid w:val="1C017186"/>
    <w:rsid w:val="1C0514F8"/>
    <w:rsid w:val="1C0CEE2D"/>
    <w:rsid w:val="1C122A86"/>
    <w:rsid w:val="1C214DC4"/>
    <w:rsid w:val="1C23FB5A"/>
    <w:rsid w:val="1C2735A0"/>
    <w:rsid w:val="1C33554E"/>
    <w:rsid w:val="1C37A2EF"/>
    <w:rsid w:val="1C3A1204"/>
    <w:rsid w:val="1C3AACE3"/>
    <w:rsid w:val="1C3B9712"/>
    <w:rsid w:val="1C43ACD7"/>
    <w:rsid w:val="1C484E7F"/>
    <w:rsid w:val="1C5524BB"/>
    <w:rsid w:val="1C66B212"/>
    <w:rsid w:val="1C67A36B"/>
    <w:rsid w:val="1C6C1336"/>
    <w:rsid w:val="1C6D7E02"/>
    <w:rsid w:val="1C7302F8"/>
    <w:rsid w:val="1C7AB935"/>
    <w:rsid w:val="1C851941"/>
    <w:rsid w:val="1C8679C6"/>
    <w:rsid w:val="1C890444"/>
    <w:rsid w:val="1C9F2BEE"/>
    <w:rsid w:val="1CB364FB"/>
    <w:rsid w:val="1CDA3903"/>
    <w:rsid w:val="1CDF5DB5"/>
    <w:rsid w:val="1CF72E26"/>
    <w:rsid w:val="1D07E815"/>
    <w:rsid w:val="1D12044F"/>
    <w:rsid w:val="1D149720"/>
    <w:rsid w:val="1D1763CB"/>
    <w:rsid w:val="1D2A535B"/>
    <w:rsid w:val="1D2B2F83"/>
    <w:rsid w:val="1D2FBC1A"/>
    <w:rsid w:val="1D33677C"/>
    <w:rsid w:val="1D4946B8"/>
    <w:rsid w:val="1D5023A6"/>
    <w:rsid w:val="1D56F5BA"/>
    <w:rsid w:val="1D5ACDE8"/>
    <w:rsid w:val="1D623045"/>
    <w:rsid w:val="1D787907"/>
    <w:rsid w:val="1D9236B3"/>
    <w:rsid w:val="1D9AB6B4"/>
    <w:rsid w:val="1DA2978B"/>
    <w:rsid w:val="1DA48E8A"/>
    <w:rsid w:val="1DA895AF"/>
    <w:rsid w:val="1DB16886"/>
    <w:rsid w:val="1DBBF3B8"/>
    <w:rsid w:val="1DD1DCB7"/>
    <w:rsid w:val="1DE1FB2A"/>
    <w:rsid w:val="1DE6B528"/>
    <w:rsid w:val="1DEE859F"/>
    <w:rsid w:val="1E0528D4"/>
    <w:rsid w:val="1E12F4B6"/>
    <w:rsid w:val="1E26BFDA"/>
    <w:rsid w:val="1E2F4E69"/>
    <w:rsid w:val="1E33EDF2"/>
    <w:rsid w:val="1E38B362"/>
    <w:rsid w:val="1E3CA53E"/>
    <w:rsid w:val="1E3E8037"/>
    <w:rsid w:val="1E482C3A"/>
    <w:rsid w:val="1E537608"/>
    <w:rsid w:val="1E5E74A5"/>
    <w:rsid w:val="1E60B6BA"/>
    <w:rsid w:val="1E613802"/>
    <w:rsid w:val="1E6CFCF8"/>
    <w:rsid w:val="1E845848"/>
    <w:rsid w:val="1E9F3967"/>
    <w:rsid w:val="1E9F818C"/>
    <w:rsid w:val="1E9F9478"/>
    <w:rsid w:val="1EADE29D"/>
    <w:rsid w:val="1EB2C2AB"/>
    <w:rsid w:val="1EB52135"/>
    <w:rsid w:val="1EB57367"/>
    <w:rsid w:val="1ED88CAF"/>
    <w:rsid w:val="1EE9C210"/>
    <w:rsid w:val="1EF5DDE4"/>
    <w:rsid w:val="1F0D9EC8"/>
    <w:rsid w:val="1F10DCEE"/>
    <w:rsid w:val="1F1982B9"/>
    <w:rsid w:val="1F2531F4"/>
    <w:rsid w:val="1F289CD1"/>
    <w:rsid w:val="1F455588"/>
    <w:rsid w:val="1F500CF4"/>
    <w:rsid w:val="1F54B088"/>
    <w:rsid w:val="1F57C67C"/>
    <w:rsid w:val="1F6BB293"/>
    <w:rsid w:val="1F6C902C"/>
    <w:rsid w:val="1F780E89"/>
    <w:rsid w:val="1F82294F"/>
    <w:rsid w:val="1F8788CE"/>
    <w:rsid w:val="1F900C8D"/>
    <w:rsid w:val="1F968239"/>
    <w:rsid w:val="1FB140DA"/>
    <w:rsid w:val="1FBA3F30"/>
    <w:rsid w:val="1FC1A072"/>
    <w:rsid w:val="1FC7BE88"/>
    <w:rsid w:val="1FC9A21C"/>
    <w:rsid w:val="1FD3C566"/>
    <w:rsid w:val="1FD54C93"/>
    <w:rsid w:val="1FD76A16"/>
    <w:rsid w:val="1FEBEFA7"/>
    <w:rsid w:val="1FF5708A"/>
    <w:rsid w:val="1FF87713"/>
    <w:rsid w:val="201C78EF"/>
    <w:rsid w:val="202B2CF2"/>
    <w:rsid w:val="2046C337"/>
    <w:rsid w:val="2051D439"/>
    <w:rsid w:val="205356C0"/>
    <w:rsid w:val="2053B221"/>
    <w:rsid w:val="20597DBC"/>
    <w:rsid w:val="20720121"/>
    <w:rsid w:val="2076449A"/>
    <w:rsid w:val="2082D0B0"/>
    <w:rsid w:val="208664F7"/>
    <w:rsid w:val="20A21725"/>
    <w:rsid w:val="20A3E0A0"/>
    <w:rsid w:val="20A893AD"/>
    <w:rsid w:val="20AB5AE1"/>
    <w:rsid w:val="20B66E2D"/>
    <w:rsid w:val="20BEB925"/>
    <w:rsid w:val="20C90966"/>
    <w:rsid w:val="20D17565"/>
    <w:rsid w:val="20D42D11"/>
    <w:rsid w:val="20D446B9"/>
    <w:rsid w:val="20E0C486"/>
    <w:rsid w:val="21047293"/>
    <w:rsid w:val="2108BB36"/>
    <w:rsid w:val="2109C040"/>
    <w:rsid w:val="2111E4DD"/>
    <w:rsid w:val="211B195C"/>
    <w:rsid w:val="2135DAC2"/>
    <w:rsid w:val="21380224"/>
    <w:rsid w:val="213F3C5C"/>
    <w:rsid w:val="2147922A"/>
    <w:rsid w:val="2149B469"/>
    <w:rsid w:val="214DBA59"/>
    <w:rsid w:val="2158601C"/>
    <w:rsid w:val="215B855B"/>
    <w:rsid w:val="216ADEBF"/>
    <w:rsid w:val="216BDE75"/>
    <w:rsid w:val="216F362D"/>
    <w:rsid w:val="21752021"/>
    <w:rsid w:val="217CF550"/>
    <w:rsid w:val="217EE4FC"/>
    <w:rsid w:val="21831E96"/>
    <w:rsid w:val="218382C1"/>
    <w:rsid w:val="219A79A5"/>
    <w:rsid w:val="21AA61A7"/>
    <w:rsid w:val="21BC418F"/>
    <w:rsid w:val="21BCB683"/>
    <w:rsid w:val="21C26A74"/>
    <w:rsid w:val="21D976B0"/>
    <w:rsid w:val="21ED199E"/>
    <w:rsid w:val="21F3E8AD"/>
    <w:rsid w:val="2207261E"/>
    <w:rsid w:val="2214E561"/>
    <w:rsid w:val="221691AF"/>
    <w:rsid w:val="2248753A"/>
    <w:rsid w:val="225F1AC9"/>
    <w:rsid w:val="2263F70B"/>
    <w:rsid w:val="226E7148"/>
    <w:rsid w:val="227B5B9A"/>
    <w:rsid w:val="2292308C"/>
    <w:rsid w:val="2296B75C"/>
    <w:rsid w:val="229FC0A9"/>
    <w:rsid w:val="22A3652A"/>
    <w:rsid w:val="22A51026"/>
    <w:rsid w:val="22AC2A57"/>
    <w:rsid w:val="22BC3F12"/>
    <w:rsid w:val="22BD853A"/>
    <w:rsid w:val="22D2F654"/>
    <w:rsid w:val="22D8B969"/>
    <w:rsid w:val="22E2884D"/>
    <w:rsid w:val="22EFCA23"/>
    <w:rsid w:val="23022C84"/>
    <w:rsid w:val="2319B056"/>
    <w:rsid w:val="23279FD8"/>
    <w:rsid w:val="23394938"/>
    <w:rsid w:val="23397385"/>
    <w:rsid w:val="233E5F18"/>
    <w:rsid w:val="23485B25"/>
    <w:rsid w:val="234F4ECB"/>
    <w:rsid w:val="2357459A"/>
    <w:rsid w:val="236690DC"/>
    <w:rsid w:val="236B73EA"/>
    <w:rsid w:val="2374F71A"/>
    <w:rsid w:val="23A01907"/>
    <w:rsid w:val="23A92031"/>
    <w:rsid w:val="23AED344"/>
    <w:rsid w:val="23B2F133"/>
    <w:rsid w:val="23B93E29"/>
    <w:rsid w:val="23BA02A3"/>
    <w:rsid w:val="23C0E1CF"/>
    <w:rsid w:val="23C3950C"/>
    <w:rsid w:val="23C81BCD"/>
    <w:rsid w:val="23C8E4E2"/>
    <w:rsid w:val="23D5C464"/>
    <w:rsid w:val="23D74E5B"/>
    <w:rsid w:val="23E49908"/>
    <w:rsid w:val="23E937B8"/>
    <w:rsid w:val="23F3085E"/>
    <w:rsid w:val="23FF1CFF"/>
    <w:rsid w:val="240B2611"/>
    <w:rsid w:val="2411867C"/>
    <w:rsid w:val="2419578D"/>
    <w:rsid w:val="241FE679"/>
    <w:rsid w:val="24274C1E"/>
    <w:rsid w:val="242FE318"/>
    <w:rsid w:val="24328195"/>
    <w:rsid w:val="24329669"/>
    <w:rsid w:val="243F5B92"/>
    <w:rsid w:val="244A9A72"/>
    <w:rsid w:val="244BE8DA"/>
    <w:rsid w:val="244E83E6"/>
    <w:rsid w:val="2461C1E1"/>
    <w:rsid w:val="246202BE"/>
    <w:rsid w:val="2470C39E"/>
    <w:rsid w:val="248815F8"/>
    <w:rsid w:val="2495F053"/>
    <w:rsid w:val="2496B1C1"/>
    <w:rsid w:val="24AF6514"/>
    <w:rsid w:val="24B63BF6"/>
    <w:rsid w:val="24BA1223"/>
    <w:rsid w:val="24C0E515"/>
    <w:rsid w:val="24CDDBB7"/>
    <w:rsid w:val="24D7E22E"/>
    <w:rsid w:val="24D9C210"/>
    <w:rsid w:val="24DD6C3E"/>
    <w:rsid w:val="24E9BFB2"/>
    <w:rsid w:val="24EBB729"/>
    <w:rsid w:val="24FAD275"/>
    <w:rsid w:val="25225BC5"/>
    <w:rsid w:val="25275DA8"/>
    <w:rsid w:val="25278D3A"/>
    <w:rsid w:val="25285E6F"/>
    <w:rsid w:val="2530658B"/>
    <w:rsid w:val="2538D649"/>
    <w:rsid w:val="253BFE59"/>
    <w:rsid w:val="2540C248"/>
    <w:rsid w:val="2541A237"/>
    <w:rsid w:val="2542C609"/>
    <w:rsid w:val="2544966A"/>
    <w:rsid w:val="254C0A3B"/>
    <w:rsid w:val="254DA7DC"/>
    <w:rsid w:val="2551C555"/>
    <w:rsid w:val="255A3A9F"/>
    <w:rsid w:val="2579ED2D"/>
    <w:rsid w:val="257A76E6"/>
    <w:rsid w:val="257B9CEB"/>
    <w:rsid w:val="258ADC4E"/>
    <w:rsid w:val="2590D3D1"/>
    <w:rsid w:val="25924DF3"/>
    <w:rsid w:val="2599AE9F"/>
    <w:rsid w:val="25A16A6D"/>
    <w:rsid w:val="25A19962"/>
    <w:rsid w:val="25AE8E72"/>
    <w:rsid w:val="25B71D20"/>
    <w:rsid w:val="25C3C6AD"/>
    <w:rsid w:val="25CA10EC"/>
    <w:rsid w:val="25D7A937"/>
    <w:rsid w:val="25DBD4CE"/>
    <w:rsid w:val="25E52D76"/>
    <w:rsid w:val="25E87CB5"/>
    <w:rsid w:val="25F4F1AC"/>
    <w:rsid w:val="25F8C5E6"/>
    <w:rsid w:val="25FBA8FA"/>
    <w:rsid w:val="26062F5D"/>
    <w:rsid w:val="260F878F"/>
    <w:rsid w:val="262A0CEA"/>
    <w:rsid w:val="262BCE84"/>
    <w:rsid w:val="262FB31C"/>
    <w:rsid w:val="2636771C"/>
    <w:rsid w:val="26385DC5"/>
    <w:rsid w:val="263C7637"/>
    <w:rsid w:val="2641963A"/>
    <w:rsid w:val="2645B712"/>
    <w:rsid w:val="2646993B"/>
    <w:rsid w:val="264B4E12"/>
    <w:rsid w:val="265B80DE"/>
    <w:rsid w:val="26785F6C"/>
    <w:rsid w:val="267ECC10"/>
    <w:rsid w:val="268E67DB"/>
    <w:rsid w:val="2697C116"/>
    <w:rsid w:val="26AD9039"/>
    <w:rsid w:val="26BB8A80"/>
    <w:rsid w:val="26BC9960"/>
    <w:rsid w:val="26DE15A7"/>
    <w:rsid w:val="26E76C1A"/>
    <w:rsid w:val="26EEDB98"/>
    <w:rsid w:val="26F1379A"/>
    <w:rsid w:val="26F8563D"/>
    <w:rsid w:val="26F94EF6"/>
    <w:rsid w:val="2702290F"/>
    <w:rsid w:val="271106A5"/>
    <w:rsid w:val="27168F50"/>
    <w:rsid w:val="271FF8EC"/>
    <w:rsid w:val="27269258"/>
    <w:rsid w:val="27342D14"/>
    <w:rsid w:val="2749A889"/>
    <w:rsid w:val="276C363A"/>
    <w:rsid w:val="277C2939"/>
    <w:rsid w:val="27805472"/>
    <w:rsid w:val="278B3480"/>
    <w:rsid w:val="2794A356"/>
    <w:rsid w:val="279CA7E5"/>
    <w:rsid w:val="27A2468C"/>
    <w:rsid w:val="27B4C7A4"/>
    <w:rsid w:val="27B9DF91"/>
    <w:rsid w:val="27BA9174"/>
    <w:rsid w:val="27BB8478"/>
    <w:rsid w:val="27CB58E9"/>
    <w:rsid w:val="27E0D46B"/>
    <w:rsid w:val="27E552B2"/>
    <w:rsid w:val="27E5A17A"/>
    <w:rsid w:val="27EB691A"/>
    <w:rsid w:val="27FA3D60"/>
    <w:rsid w:val="28082D9F"/>
    <w:rsid w:val="280AC297"/>
    <w:rsid w:val="28176529"/>
    <w:rsid w:val="281CA47E"/>
    <w:rsid w:val="28377110"/>
    <w:rsid w:val="285CCE9C"/>
    <w:rsid w:val="285F6927"/>
    <w:rsid w:val="2865A7D6"/>
    <w:rsid w:val="287E5594"/>
    <w:rsid w:val="289F8F8E"/>
    <w:rsid w:val="28BF4F53"/>
    <w:rsid w:val="28C63F24"/>
    <w:rsid w:val="28CC59F5"/>
    <w:rsid w:val="28CE6901"/>
    <w:rsid w:val="28D22E33"/>
    <w:rsid w:val="28D81925"/>
    <w:rsid w:val="28E44E94"/>
    <w:rsid w:val="28F16A0B"/>
    <w:rsid w:val="28F63844"/>
    <w:rsid w:val="292C3A7E"/>
    <w:rsid w:val="2932FAEF"/>
    <w:rsid w:val="29383C56"/>
    <w:rsid w:val="29388787"/>
    <w:rsid w:val="294BA43D"/>
    <w:rsid w:val="29547FEA"/>
    <w:rsid w:val="29576DC8"/>
    <w:rsid w:val="295F59B3"/>
    <w:rsid w:val="2960223D"/>
    <w:rsid w:val="2978B978"/>
    <w:rsid w:val="297C3F32"/>
    <w:rsid w:val="29803F69"/>
    <w:rsid w:val="2981380E"/>
    <w:rsid w:val="298E919C"/>
    <w:rsid w:val="29934FB7"/>
    <w:rsid w:val="29A0EA9E"/>
    <w:rsid w:val="29BB0B1C"/>
    <w:rsid w:val="29C0D4B7"/>
    <w:rsid w:val="29DBADA9"/>
    <w:rsid w:val="29DC2FC7"/>
    <w:rsid w:val="29E38362"/>
    <w:rsid w:val="2A0244EB"/>
    <w:rsid w:val="2A0A3087"/>
    <w:rsid w:val="2A0BA1D1"/>
    <w:rsid w:val="2A29C189"/>
    <w:rsid w:val="2A35377F"/>
    <w:rsid w:val="2A370A20"/>
    <w:rsid w:val="2A39BD45"/>
    <w:rsid w:val="2A4C0B52"/>
    <w:rsid w:val="2A5CB9D0"/>
    <w:rsid w:val="2A74BA8C"/>
    <w:rsid w:val="2A752919"/>
    <w:rsid w:val="2A81DF07"/>
    <w:rsid w:val="2A834822"/>
    <w:rsid w:val="2A93F5AD"/>
    <w:rsid w:val="2AC1F98C"/>
    <w:rsid w:val="2ACCA8B9"/>
    <w:rsid w:val="2ACE2B94"/>
    <w:rsid w:val="2AD28A6E"/>
    <w:rsid w:val="2AD7C8E0"/>
    <w:rsid w:val="2AE6B249"/>
    <w:rsid w:val="2AE6E002"/>
    <w:rsid w:val="2AF0DF6B"/>
    <w:rsid w:val="2AF29C73"/>
    <w:rsid w:val="2AF3C95D"/>
    <w:rsid w:val="2B0B3A79"/>
    <w:rsid w:val="2B0EB5A3"/>
    <w:rsid w:val="2B12C84F"/>
    <w:rsid w:val="2B1BD98A"/>
    <w:rsid w:val="2B1C3906"/>
    <w:rsid w:val="2B20190B"/>
    <w:rsid w:val="2B22A04D"/>
    <w:rsid w:val="2B280750"/>
    <w:rsid w:val="2B3F1BD7"/>
    <w:rsid w:val="2B465153"/>
    <w:rsid w:val="2B575D19"/>
    <w:rsid w:val="2B799E97"/>
    <w:rsid w:val="2B9E2945"/>
    <w:rsid w:val="2B9E9D49"/>
    <w:rsid w:val="2BAC98A2"/>
    <w:rsid w:val="2BB709CB"/>
    <w:rsid w:val="2BCE4955"/>
    <w:rsid w:val="2BCFE4D1"/>
    <w:rsid w:val="2BE36E30"/>
    <w:rsid w:val="2BFD99D2"/>
    <w:rsid w:val="2C00C619"/>
    <w:rsid w:val="2C0372E8"/>
    <w:rsid w:val="2C184330"/>
    <w:rsid w:val="2C3B2DD0"/>
    <w:rsid w:val="2C4F8E93"/>
    <w:rsid w:val="2C51A7AD"/>
    <w:rsid w:val="2C57EA1C"/>
    <w:rsid w:val="2C6767F0"/>
    <w:rsid w:val="2C6BF410"/>
    <w:rsid w:val="2C7A4D55"/>
    <w:rsid w:val="2C93EFDC"/>
    <w:rsid w:val="2CA09F9D"/>
    <w:rsid w:val="2CA10527"/>
    <w:rsid w:val="2CA6074D"/>
    <w:rsid w:val="2CAA2312"/>
    <w:rsid w:val="2CAC07EB"/>
    <w:rsid w:val="2CCF9544"/>
    <w:rsid w:val="2CD33A2E"/>
    <w:rsid w:val="2CDFE449"/>
    <w:rsid w:val="2CE0306E"/>
    <w:rsid w:val="2CE1D5A2"/>
    <w:rsid w:val="2CE2615A"/>
    <w:rsid w:val="2CE56792"/>
    <w:rsid w:val="2CE8F37E"/>
    <w:rsid w:val="2CF38672"/>
    <w:rsid w:val="2CFA60F7"/>
    <w:rsid w:val="2D061552"/>
    <w:rsid w:val="2D122831"/>
    <w:rsid w:val="2D189E77"/>
    <w:rsid w:val="2D25604A"/>
    <w:rsid w:val="2D2EA8C7"/>
    <w:rsid w:val="2D3BF478"/>
    <w:rsid w:val="2D3F636B"/>
    <w:rsid w:val="2D4B5716"/>
    <w:rsid w:val="2D4D104B"/>
    <w:rsid w:val="2D5538F2"/>
    <w:rsid w:val="2D56FC4D"/>
    <w:rsid w:val="2D5DDB9B"/>
    <w:rsid w:val="2D65CAA2"/>
    <w:rsid w:val="2D699FC8"/>
    <w:rsid w:val="2D75E047"/>
    <w:rsid w:val="2D857370"/>
    <w:rsid w:val="2D92F653"/>
    <w:rsid w:val="2D971913"/>
    <w:rsid w:val="2D976FC5"/>
    <w:rsid w:val="2D999181"/>
    <w:rsid w:val="2D9F6B33"/>
    <w:rsid w:val="2DCBDB71"/>
    <w:rsid w:val="2DE6FCC4"/>
    <w:rsid w:val="2DF3BD27"/>
    <w:rsid w:val="2E042EEB"/>
    <w:rsid w:val="2E132D3E"/>
    <w:rsid w:val="2E15ABDF"/>
    <w:rsid w:val="2E1D4AA8"/>
    <w:rsid w:val="2E27AC4A"/>
    <w:rsid w:val="2E41B9B9"/>
    <w:rsid w:val="2E4C3279"/>
    <w:rsid w:val="2E5B32DA"/>
    <w:rsid w:val="2E5D5AB6"/>
    <w:rsid w:val="2E60BE8B"/>
    <w:rsid w:val="2E724BFB"/>
    <w:rsid w:val="2E7756EA"/>
    <w:rsid w:val="2E87FF66"/>
    <w:rsid w:val="2E8AE14B"/>
    <w:rsid w:val="2E8F77B8"/>
    <w:rsid w:val="2E97E141"/>
    <w:rsid w:val="2E9A2399"/>
    <w:rsid w:val="2EAF068E"/>
    <w:rsid w:val="2EB81D7D"/>
    <w:rsid w:val="2EC5FBE1"/>
    <w:rsid w:val="2ED07EE7"/>
    <w:rsid w:val="2EDFC1EA"/>
    <w:rsid w:val="2EFDF813"/>
    <w:rsid w:val="2F0540D4"/>
    <w:rsid w:val="2F090E95"/>
    <w:rsid w:val="2F10ADC3"/>
    <w:rsid w:val="2F1F5B8A"/>
    <w:rsid w:val="2F3CDB7F"/>
    <w:rsid w:val="2F41D387"/>
    <w:rsid w:val="2F46CCD3"/>
    <w:rsid w:val="2F4AECFE"/>
    <w:rsid w:val="2F5C738A"/>
    <w:rsid w:val="2F8325B2"/>
    <w:rsid w:val="2F864E85"/>
    <w:rsid w:val="2F8D2BDC"/>
    <w:rsid w:val="2F957B16"/>
    <w:rsid w:val="2F977806"/>
    <w:rsid w:val="2FB85DEB"/>
    <w:rsid w:val="2FCB9D76"/>
    <w:rsid w:val="2FDE5DD0"/>
    <w:rsid w:val="2FE5BDE4"/>
    <w:rsid w:val="2FE6C5E5"/>
    <w:rsid w:val="2FEB3283"/>
    <w:rsid w:val="3013187D"/>
    <w:rsid w:val="30147C13"/>
    <w:rsid w:val="30202220"/>
    <w:rsid w:val="3023C6E6"/>
    <w:rsid w:val="303B13C6"/>
    <w:rsid w:val="304D11E9"/>
    <w:rsid w:val="305E5BA8"/>
    <w:rsid w:val="306733E4"/>
    <w:rsid w:val="306E3049"/>
    <w:rsid w:val="307EAED3"/>
    <w:rsid w:val="308664AA"/>
    <w:rsid w:val="30AEC610"/>
    <w:rsid w:val="30D00613"/>
    <w:rsid w:val="30DA8BFC"/>
    <w:rsid w:val="30DC2BE6"/>
    <w:rsid w:val="30E0FB47"/>
    <w:rsid w:val="30E207F3"/>
    <w:rsid w:val="30E2C92A"/>
    <w:rsid w:val="30F37D5C"/>
    <w:rsid w:val="30FA43E0"/>
    <w:rsid w:val="30FAA706"/>
    <w:rsid w:val="310813EB"/>
    <w:rsid w:val="311ABC99"/>
    <w:rsid w:val="312A037E"/>
    <w:rsid w:val="312F7308"/>
    <w:rsid w:val="3133CA77"/>
    <w:rsid w:val="3134C046"/>
    <w:rsid w:val="3137DA9F"/>
    <w:rsid w:val="31386E35"/>
    <w:rsid w:val="314C83C6"/>
    <w:rsid w:val="315CF0D7"/>
    <w:rsid w:val="315FAA0A"/>
    <w:rsid w:val="316BAFE7"/>
    <w:rsid w:val="31750AD4"/>
    <w:rsid w:val="3176C78E"/>
    <w:rsid w:val="31862D7D"/>
    <w:rsid w:val="318DAD9D"/>
    <w:rsid w:val="31AB8B6B"/>
    <w:rsid w:val="31ADDBD3"/>
    <w:rsid w:val="31DEC665"/>
    <w:rsid w:val="31E3D62A"/>
    <w:rsid w:val="31E8E836"/>
    <w:rsid w:val="31F7B6BF"/>
    <w:rsid w:val="31FEB23A"/>
    <w:rsid w:val="32043AEB"/>
    <w:rsid w:val="3221B264"/>
    <w:rsid w:val="3226355F"/>
    <w:rsid w:val="322F5ECF"/>
    <w:rsid w:val="3256B663"/>
    <w:rsid w:val="3259DF57"/>
    <w:rsid w:val="325E8ECE"/>
    <w:rsid w:val="32601886"/>
    <w:rsid w:val="3260D9D4"/>
    <w:rsid w:val="32627AB2"/>
    <w:rsid w:val="3265FD26"/>
    <w:rsid w:val="32714142"/>
    <w:rsid w:val="328142AB"/>
    <w:rsid w:val="3284E288"/>
    <w:rsid w:val="32902BCF"/>
    <w:rsid w:val="32935182"/>
    <w:rsid w:val="329F9611"/>
    <w:rsid w:val="32B09A06"/>
    <w:rsid w:val="32B9BA1E"/>
    <w:rsid w:val="32CA737F"/>
    <w:rsid w:val="32DE1766"/>
    <w:rsid w:val="32F8241C"/>
    <w:rsid w:val="32FFE3D8"/>
    <w:rsid w:val="33056BB1"/>
    <w:rsid w:val="330965A0"/>
    <w:rsid w:val="330D548D"/>
    <w:rsid w:val="330DD802"/>
    <w:rsid w:val="33263F98"/>
    <w:rsid w:val="332BF0F2"/>
    <w:rsid w:val="333A5EDC"/>
    <w:rsid w:val="334C65BF"/>
    <w:rsid w:val="334D2471"/>
    <w:rsid w:val="3358F6AA"/>
    <w:rsid w:val="3367A0E1"/>
    <w:rsid w:val="336841E1"/>
    <w:rsid w:val="337149AB"/>
    <w:rsid w:val="3378D7F2"/>
    <w:rsid w:val="337A39A0"/>
    <w:rsid w:val="338DB0F6"/>
    <w:rsid w:val="3395790B"/>
    <w:rsid w:val="33982B70"/>
    <w:rsid w:val="339ADFD5"/>
    <w:rsid w:val="33AD0B1B"/>
    <w:rsid w:val="33B662C7"/>
    <w:rsid w:val="33CA9EA6"/>
    <w:rsid w:val="33D9EF4C"/>
    <w:rsid w:val="33EC70A4"/>
    <w:rsid w:val="33EE292D"/>
    <w:rsid w:val="33F53C6A"/>
    <w:rsid w:val="33F6AD7B"/>
    <w:rsid w:val="3406B8BD"/>
    <w:rsid w:val="3408DE4F"/>
    <w:rsid w:val="341BE963"/>
    <w:rsid w:val="34245E43"/>
    <w:rsid w:val="342C9DB9"/>
    <w:rsid w:val="3437A5BE"/>
    <w:rsid w:val="34631CF4"/>
    <w:rsid w:val="34819914"/>
    <w:rsid w:val="348407E6"/>
    <w:rsid w:val="3486943E"/>
    <w:rsid w:val="34A50B0C"/>
    <w:rsid w:val="34B030EF"/>
    <w:rsid w:val="34D2A364"/>
    <w:rsid w:val="34DF5024"/>
    <w:rsid w:val="34E0B81A"/>
    <w:rsid w:val="34E7CA14"/>
    <w:rsid w:val="34EB67C8"/>
    <w:rsid w:val="34EB7F30"/>
    <w:rsid w:val="34EC7A51"/>
    <w:rsid w:val="34F6A0F8"/>
    <w:rsid w:val="34FEA11D"/>
    <w:rsid w:val="3508C4A3"/>
    <w:rsid w:val="3511B98D"/>
    <w:rsid w:val="3519CB82"/>
    <w:rsid w:val="35226B78"/>
    <w:rsid w:val="35234291"/>
    <w:rsid w:val="35296C99"/>
    <w:rsid w:val="353772A6"/>
    <w:rsid w:val="353B7B1B"/>
    <w:rsid w:val="3541196E"/>
    <w:rsid w:val="35416735"/>
    <w:rsid w:val="3548E353"/>
    <w:rsid w:val="354DA98C"/>
    <w:rsid w:val="354E7745"/>
    <w:rsid w:val="356971C6"/>
    <w:rsid w:val="357145B8"/>
    <w:rsid w:val="358526F6"/>
    <w:rsid w:val="358B9D7A"/>
    <w:rsid w:val="3591D595"/>
    <w:rsid w:val="35A2F995"/>
    <w:rsid w:val="35B713D7"/>
    <w:rsid w:val="35C4BC82"/>
    <w:rsid w:val="35CACD35"/>
    <w:rsid w:val="35D7AEB6"/>
    <w:rsid w:val="35E65B6D"/>
    <w:rsid w:val="35F1A5CB"/>
    <w:rsid w:val="36089C19"/>
    <w:rsid w:val="360B92E9"/>
    <w:rsid w:val="361DA075"/>
    <w:rsid w:val="361E500E"/>
    <w:rsid w:val="3626FC79"/>
    <w:rsid w:val="362CA8A9"/>
    <w:rsid w:val="363D72C6"/>
    <w:rsid w:val="36584A8D"/>
    <w:rsid w:val="3658C52B"/>
    <w:rsid w:val="3679D3E7"/>
    <w:rsid w:val="3679DFF0"/>
    <w:rsid w:val="368D73A2"/>
    <w:rsid w:val="369E422F"/>
    <w:rsid w:val="36A06A78"/>
    <w:rsid w:val="36A5617E"/>
    <w:rsid w:val="36AC9D40"/>
    <w:rsid w:val="36C45094"/>
    <w:rsid w:val="36C8186F"/>
    <w:rsid w:val="36CEFB57"/>
    <w:rsid w:val="36D070D0"/>
    <w:rsid w:val="36E8694E"/>
    <w:rsid w:val="36EA4B3C"/>
    <w:rsid w:val="36F063EF"/>
    <w:rsid w:val="3703A6C9"/>
    <w:rsid w:val="370B532D"/>
    <w:rsid w:val="370E12CC"/>
    <w:rsid w:val="370F0723"/>
    <w:rsid w:val="371B0D72"/>
    <w:rsid w:val="376B99F1"/>
    <w:rsid w:val="37721B7A"/>
    <w:rsid w:val="377A3EED"/>
    <w:rsid w:val="37816CA5"/>
    <w:rsid w:val="3784E9D2"/>
    <w:rsid w:val="378E24BF"/>
    <w:rsid w:val="378FA2DC"/>
    <w:rsid w:val="37A1C4AF"/>
    <w:rsid w:val="37A4DC5B"/>
    <w:rsid w:val="37A70F25"/>
    <w:rsid w:val="37AE85DD"/>
    <w:rsid w:val="37BBE1BA"/>
    <w:rsid w:val="37C93719"/>
    <w:rsid w:val="37CED402"/>
    <w:rsid w:val="37D292F4"/>
    <w:rsid w:val="37EC5C36"/>
    <w:rsid w:val="37ED1A4C"/>
    <w:rsid w:val="37F16E01"/>
    <w:rsid w:val="37F25401"/>
    <w:rsid w:val="380684AD"/>
    <w:rsid w:val="3810D80B"/>
    <w:rsid w:val="3817219A"/>
    <w:rsid w:val="3819630D"/>
    <w:rsid w:val="38232D09"/>
    <w:rsid w:val="3824A55F"/>
    <w:rsid w:val="382DD81B"/>
    <w:rsid w:val="3833E3AE"/>
    <w:rsid w:val="383C6951"/>
    <w:rsid w:val="383CC357"/>
    <w:rsid w:val="383DF74B"/>
    <w:rsid w:val="38460F4C"/>
    <w:rsid w:val="385C44E1"/>
    <w:rsid w:val="385F2300"/>
    <w:rsid w:val="38670576"/>
    <w:rsid w:val="386FF4B6"/>
    <w:rsid w:val="3889FAC0"/>
    <w:rsid w:val="38A2A85E"/>
    <w:rsid w:val="38A6E8EE"/>
    <w:rsid w:val="38A86D11"/>
    <w:rsid w:val="38BAB9AE"/>
    <w:rsid w:val="38C3CF98"/>
    <w:rsid w:val="38C66B54"/>
    <w:rsid w:val="38C90BD3"/>
    <w:rsid w:val="38D77FB9"/>
    <w:rsid w:val="38D849C3"/>
    <w:rsid w:val="38D8C23D"/>
    <w:rsid w:val="38E73FAA"/>
    <w:rsid w:val="38E9989B"/>
    <w:rsid w:val="38EDD465"/>
    <w:rsid w:val="39041FB4"/>
    <w:rsid w:val="391EB429"/>
    <w:rsid w:val="392305C4"/>
    <w:rsid w:val="392AC124"/>
    <w:rsid w:val="392F351B"/>
    <w:rsid w:val="393E0F5F"/>
    <w:rsid w:val="3959441B"/>
    <w:rsid w:val="39646319"/>
    <w:rsid w:val="396689E3"/>
    <w:rsid w:val="3974CDC5"/>
    <w:rsid w:val="3991CCEA"/>
    <w:rsid w:val="39A6F140"/>
    <w:rsid w:val="39B1F1D3"/>
    <w:rsid w:val="39D248FA"/>
    <w:rsid w:val="39DD1899"/>
    <w:rsid w:val="3A059CD0"/>
    <w:rsid w:val="3A100EDC"/>
    <w:rsid w:val="3A145F05"/>
    <w:rsid w:val="3A333AC8"/>
    <w:rsid w:val="3A3B97C2"/>
    <w:rsid w:val="3A3D2FCB"/>
    <w:rsid w:val="3A4E87F4"/>
    <w:rsid w:val="3A4E8F36"/>
    <w:rsid w:val="3A517AC0"/>
    <w:rsid w:val="3A678906"/>
    <w:rsid w:val="3A8C7A38"/>
    <w:rsid w:val="3A909BE6"/>
    <w:rsid w:val="3A9586BB"/>
    <w:rsid w:val="3A995157"/>
    <w:rsid w:val="3AA9BF25"/>
    <w:rsid w:val="3AC14DC4"/>
    <w:rsid w:val="3AC1CB72"/>
    <w:rsid w:val="3AC5326B"/>
    <w:rsid w:val="3ACB20E4"/>
    <w:rsid w:val="3ACFF1F1"/>
    <w:rsid w:val="3AD4B840"/>
    <w:rsid w:val="3ADA88AB"/>
    <w:rsid w:val="3ADADEBD"/>
    <w:rsid w:val="3AEC1574"/>
    <w:rsid w:val="3AEEC050"/>
    <w:rsid w:val="3AFB8710"/>
    <w:rsid w:val="3B02DFDF"/>
    <w:rsid w:val="3B215C16"/>
    <w:rsid w:val="3B22492B"/>
    <w:rsid w:val="3B24E4D7"/>
    <w:rsid w:val="3B5306C9"/>
    <w:rsid w:val="3B5D0D70"/>
    <w:rsid w:val="3B727530"/>
    <w:rsid w:val="3B74F99A"/>
    <w:rsid w:val="3B953146"/>
    <w:rsid w:val="3B9E9F67"/>
    <w:rsid w:val="3BA12945"/>
    <w:rsid w:val="3BBD7E96"/>
    <w:rsid w:val="3BCF31B5"/>
    <w:rsid w:val="3BD6D5A9"/>
    <w:rsid w:val="3BF209EE"/>
    <w:rsid w:val="3BF56C53"/>
    <w:rsid w:val="3BF6ADDC"/>
    <w:rsid w:val="3C00CE88"/>
    <w:rsid w:val="3C0343CE"/>
    <w:rsid w:val="3C09C3C0"/>
    <w:rsid w:val="3C112BCD"/>
    <w:rsid w:val="3C16F8A6"/>
    <w:rsid w:val="3C202F77"/>
    <w:rsid w:val="3C356805"/>
    <w:rsid w:val="3C47DE0A"/>
    <w:rsid w:val="3C52D1DF"/>
    <w:rsid w:val="3C5520B3"/>
    <w:rsid w:val="3C560F00"/>
    <w:rsid w:val="3C5788D4"/>
    <w:rsid w:val="3C5BE97E"/>
    <w:rsid w:val="3C5C0896"/>
    <w:rsid w:val="3C5F88ED"/>
    <w:rsid w:val="3C6B62B7"/>
    <w:rsid w:val="3C881140"/>
    <w:rsid w:val="3CB5AE34"/>
    <w:rsid w:val="3CBC1878"/>
    <w:rsid w:val="3CCED844"/>
    <w:rsid w:val="3CD7542F"/>
    <w:rsid w:val="3CD7C62D"/>
    <w:rsid w:val="3CE6CCF2"/>
    <w:rsid w:val="3CEC3CBA"/>
    <w:rsid w:val="3CF2C9CE"/>
    <w:rsid w:val="3CFC7E82"/>
    <w:rsid w:val="3D05839A"/>
    <w:rsid w:val="3D149767"/>
    <w:rsid w:val="3D1803A5"/>
    <w:rsid w:val="3D45BD6D"/>
    <w:rsid w:val="3D4F6591"/>
    <w:rsid w:val="3D54B7BC"/>
    <w:rsid w:val="3D5C8F14"/>
    <w:rsid w:val="3D7DF30A"/>
    <w:rsid w:val="3D84DC57"/>
    <w:rsid w:val="3D9383B1"/>
    <w:rsid w:val="3D9A330E"/>
    <w:rsid w:val="3DC01042"/>
    <w:rsid w:val="3DCA7FCF"/>
    <w:rsid w:val="3DD34115"/>
    <w:rsid w:val="3DE23C51"/>
    <w:rsid w:val="3DE7EF7A"/>
    <w:rsid w:val="3DF43A41"/>
    <w:rsid w:val="3DFFE8DF"/>
    <w:rsid w:val="3E009110"/>
    <w:rsid w:val="3E17ED54"/>
    <w:rsid w:val="3E358284"/>
    <w:rsid w:val="3E44E605"/>
    <w:rsid w:val="3E4827A0"/>
    <w:rsid w:val="3E5E2561"/>
    <w:rsid w:val="3E5FA085"/>
    <w:rsid w:val="3E6A1B44"/>
    <w:rsid w:val="3E71C19B"/>
    <w:rsid w:val="3E77D556"/>
    <w:rsid w:val="3E86D5AC"/>
    <w:rsid w:val="3E86F5C5"/>
    <w:rsid w:val="3E8B97AA"/>
    <w:rsid w:val="3E8C7605"/>
    <w:rsid w:val="3E9294CA"/>
    <w:rsid w:val="3EA0432B"/>
    <w:rsid w:val="3EA50873"/>
    <w:rsid w:val="3EA8AF61"/>
    <w:rsid w:val="3EB735BA"/>
    <w:rsid w:val="3EB918AF"/>
    <w:rsid w:val="3EB9DCAB"/>
    <w:rsid w:val="3ECB3830"/>
    <w:rsid w:val="3EDC3A9C"/>
    <w:rsid w:val="3EE8802C"/>
    <w:rsid w:val="3EF0B766"/>
    <w:rsid w:val="3EFA68F3"/>
    <w:rsid w:val="3EFF3FD2"/>
    <w:rsid w:val="3F0F82F1"/>
    <w:rsid w:val="3F12DFFE"/>
    <w:rsid w:val="3F194DA5"/>
    <w:rsid w:val="3F1D6E27"/>
    <w:rsid w:val="3F1EA731"/>
    <w:rsid w:val="3F241F3E"/>
    <w:rsid w:val="3F274886"/>
    <w:rsid w:val="3F33ED7D"/>
    <w:rsid w:val="3F4CBA30"/>
    <w:rsid w:val="3F59336D"/>
    <w:rsid w:val="3F618BBF"/>
    <w:rsid w:val="3F6453DB"/>
    <w:rsid w:val="3F815519"/>
    <w:rsid w:val="3F87C4CA"/>
    <w:rsid w:val="3F8A0B50"/>
    <w:rsid w:val="3F92D36D"/>
    <w:rsid w:val="3F972A1C"/>
    <w:rsid w:val="3FAA44BB"/>
    <w:rsid w:val="3FB4B0A8"/>
    <w:rsid w:val="3FBAFAE8"/>
    <w:rsid w:val="3FC421FC"/>
    <w:rsid w:val="3FCFD02B"/>
    <w:rsid w:val="3FD7FF2D"/>
    <w:rsid w:val="3FD89454"/>
    <w:rsid w:val="3FDB3F55"/>
    <w:rsid w:val="3FDF0BB7"/>
    <w:rsid w:val="3FE382BA"/>
    <w:rsid w:val="3FEAEE80"/>
    <w:rsid w:val="3FF37BE6"/>
    <w:rsid w:val="3FFCB86A"/>
    <w:rsid w:val="3FFD6123"/>
    <w:rsid w:val="400A378B"/>
    <w:rsid w:val="400D9DED"/>
    <w:rsid w:val="402CB619"/>
    <w:rsid w:val="4030DFA5"/>
    <w:rsid w:val="403CCD9E"/>
    <w:rsid w:val="40474160"/>
    <w:rsid w:val="4052EC4E"/>
    <w:rsid w:val="405B1449"/>
    <w:rsid w:val="4073F22A"/>
    <w:rsid w:val="40876432"/>
    <w:rsid w:val="408A6502"/>
    <w:rsid w:val="408D06F0"/>
    <w:rsid w:val="4090128D"/>
    <w:rsid w:val="4093F7D0"/>
    <w:rsid w:val="409E5B80"/>
    <w:rsid w:val="40B54CA6"/>
    <w:rsid w:val="40BD8596"/>
    <w:rsid w:val="40C1695C"/>
    <w:rsid w:val="40C648F8"/>
    <w:rsid w:val="40C9F5B6"/>
    <w:rsid w:val="40DD394D"/>
    <w:rsid w:val="40EC2BF1"/>
    <w:rsid w:val="40F2C1C4"/>
    <w:rsid w:val="40F684CB"/>
    <w:rsid w:val="4105FC5D"/>
    <w:rsid w:val="41085836"/>
    <w:rsid w:val="41158505"/>
    <w:rsid w:val="411EC9A5"/>
    <w:rsid w:val="41214D0F"/>
    <w:rsid w:val="412822E0"/>
    <w:rsid w:val="41324C52"/>
    <w:rsid w:val="4147B2F7"/>
    <w:rsid w:val="4149BEFC"/>
    <w:rsid w:val="41553AD0"/>
    <w:rsid w:val="41597921"/>
    <w:rsid w:val="415CFF69"/>
    <w:rsid w:val="41664230"/>
    <w:rsid w:val="416A08E7"/>
    <w:rsid w:val="418C36DE"/>
    <w:rsid w:val="41A69406"/>
    <w:rsid w:val="41BCFB76"/>
    <w:rsid w:val="41C34EF4"/>
    <w:rsid w:val="41C37290"/>
    <w:rsid w:val="41D57EDD"/>
    <w:rsid w:val="41D77528"/>
    <w:rsid w:val="41D9A715"/>
    <w:rsid w:val="41DBCBC0"/>
    <w:rsid w:val="41DD776F"/>
    <w:rsid w:val="41DF13B6"/>
    <w:rsid w:val="41E0B58E"/>
    <w:rsid w:val="41E70AC5"/>
    <w:rsid w:val="41FC5CFD"/>
    <w:rsid w:val="4201CA07"/>
    <w:rsid w:val="42100CE7"/>
    <w:rsid w:val="4223962C"/>
    <w:rsid w:val="4224BDB5"/>
    <w:rsid w:val="42282527"/>
    <w:rsid w:val="422CAFCA"/>
    <w:rsid w:val="423F6FE6"/>
    <w:rsid w:val="42444FB6"/>
    <w:rsid w:val="4247133A"/>
    <w:rsid w:val="4247154A"/>
    <w:rsid w:val="42530F5C"/>
    <w:rsid w:val="42531139"/>
    <w:rsid w:val="42590BE5"/>
    <w:rsid w:val="426306D1"/>
    <w:rsid w:val="42644871"/>
    <w:rsid w:val="42652F1E"/>
    <w:rsid w:val="42655ECA"/>
    <w:rsid w:val="427AB497"/>
    <w:rsid w:val="4280A778"/>
    <w:rsid w:val="4293A01C"/>
    <w:rsid w:val="429ADFD7"/>
    <w:rsid w:val="42A9DCD6"/>
    <w:rsid w:val="42B43494"/>
    <w:rsid w:val="42C8F963"/>
    <w:rsid w:val="42CC2C31"/>
    <w:rsid w:val="42CE0C8E"/>
    <w:rsid w:val="42D904AA"/>
    <w:rsid w:val="42D937D3"/>
    <w:rsid w:val="42EFACFA"/>
    <w:rsid w:val="42F63596"/>
    <w:rsid w:val="430B9FAC"/>
    <w:rsid w:val="4310938E"/>
    <w:rsid w:val="43122577"/>
    <w:rsid w:val="4316B7E2"/>
    <w:rsid w:val="431E37AA"/>
    <w:rsid w:val="4327E45D"/>
    <w:rsid w:val="43330572"/>
    <w:rsid w:val="4335C628"/>
    <w:rsid w:val="433B34FE"/>
    <w:rsid w:val="4342239F"/>
    <w:rsid w:val="43486EF9"/>
    <w:rsid w:val="435CB777"/>
    <w:rsid w:val="43623AE5"/>
    <w:rsid w:val="436735D0"/>
    <w:rsid w:val="436AB431"/>
    <w:rsid w:val="436B8E7F"/>
    <w:rsid w:val="436E1116"/>
    <w:rsid w:val="438764C8"/>
    <w:rsid w:val="438B0567"/>
    <w:rsid w:val="439A9C47"/>
    <w:rsid w:val="439F7031"/>
    <w:rsid w:val="43A0A09F"/>
    <w:rsid w:val="43A59A74"/>
    <w:rsid w:val="43AA5DF6"/>
    <w:rsid w:val="43EAADA9"/>
    <w:rsid w:val="43EE4D08"/>
    <w:rsid w:val="43F0CD49"/>
    <w:rsid w:val="43F32FF5"/>
    <w:rsid w:val="440BBBE8"/>
    <w:rsid w:val="441E37A1"/>
    <w:rsid w:val="44210793"/>
    <w:rsid w:val="44291F27"/>
    <w:rsid w:val="44428F28"/>
    <w:rsid w:val="444A172B"/>
    <w:rsid w:val="444F05A2"/>
    <w:rsid w:val="444FBF4F"/>
    <w:rsid w:val="44510C58"/>
    <w:rsid w:val="4457AAB8"/>
    <w:rsid w:val="4479EE63"/>
    <w:rsid w:val="447DDDFD"/>
    <w:rsid w:val="4485C194"/>
    <w:rsid w:val="44880EEC"/>
    <w:rsid w:val="449092D4"/>
    <w:rsid w:val="4493A33E"/>
    <w:rsid w:val="44966F10"/>
    <w:rsid w:val="44993ECA"/>
    <w:rsid w:val="44A27E6E"/>
    <w:rsid w:val="44A2D1A2"/>
    <w:rsid w:val="44AD6BA1"/>
    <w:rsid w:val="44B02406"/>
    <w:rsid w:val="44B4B103"/>
    <w:rsid w:val="44B80A87"/>
    <w:rsid w:val="44C9B5E0"/>
    <w:rsid w:val="44D44792"/>
    <w:rsid w:val="44DFD134"/>
    <w:rsid w:val="44E3A64F"/>
    <w:rsid w:val="44F45CE7"/>
    <w:rsid w:val="44F8620F"/>
    <w:rsid w:val="44FFB99B"/>
    <w:rsid w:val="45111504"/>
    <w:rsid w:val="4511E136"/>
    <w:rsid w:val="45283AE5"/>
    <w:rsid w:val="452E008B"/>
    <w:rsid w:val="453AF508"/>
    <w:rsid w:val="453B8941"/>
    <w:rsid w:val="453C1A17"/>
    <w:rsid w:val="454B34A5"/>
    <w:rsid w:val="454DF26C"/>
    <w:rsid w:val="4564FFD5"/>
    <w:rsid w:val="456B0019"/>
    <w:rsid w:val="45719072"/>
    <w:rsid w:val="45729926"/>
    <w:rsid w:val="4595C4B3"/>
    <w:rsid w:val="459B6CDD"/>
    <w:rsid w:val="45BE114C"/>
    <w:rsid w:val="45C3C731"/>
    <w:rsid w:val="45C9BA2F"/>
    <w:rsid w:val="45C9C634"/>
    <w:rsid w:val="45E76464"/>
    <w:rsid w:val="45E76828"/>
    <w:rsid w:val="45F279AA"/>
    <w:rsid w:val="45F316A4"/>
    <w:rsid w:val="45FC20FE"/>
    <w:rsid w:val="46012DAB"/>
    <w:rsid w:val="4604EE04"/>
    <w:rsid w:val="46090DAD"/>
    <w:rsid w:val="4609297D"/>
    <w:rsid w:val="4643EA09"/>
    <w:rsid w:val="464C5159"/>
    <w:rsid w:val="466C16A0"/>
    <w:rsid w:val="46837939"/>
    <w:rsid w:val="46C8AE0A"/>
    <w:rsid w:val="46CA95CC"/>
    <w:rsid w:val="46D9A1A3"/>
    <w:rsid w:val="46F880E0"/>
    <w:rsid w:val="46FF9CF7"/>
    <w:rsid w:val="47043891"/>
    <w:rsid w:val="4705D1F3"/>
    <w:rsid w:val="47076349"/>
    <w:rsid w:val="470A55DC"/>
    <w:rsid w:val="470D6BD2"/>
    <w:rsid w:val="47180632"/>
    <w:rsid w:val="472137C7"/>
    <w:rsid w:val="472177D3"/>
    <w:rsid w:val="47285193"/>
    <w:rsid w:val="4729DDEC"/>
    <w:rsid w:val="4735AB73"/>
    <w:rsid w:val="475063D0"/>
    <w:rsid w:val="475686EC"/>
    <w:rsid w:val="47688444"/>
    <w:rsid w:val="4774C9CE"/>
    <w:rsid w:val="47870DDC"/>
    <w:rsid w:val="478CA8F1"/>
    <w:rsid w:val="47A3D079"/>
    <w:rsid w:val="47B064FA"/>
    <w:rsid w:val="47DAD308"/>
    <w:rsid w:val="47DE0F14"/>
    <w:rsid w:val="47E1BE26"/>
    <w:rsid w:val="47E1D654"/>
    <w:rsid w:val="47E4711D"/>
    <w:rsid w:val="48190B42"/>
    <w:rsid w:val="4822BD6E"/>
    <w:rsid w:val="482F9B6D"/>
    <w:rsid w:val="4840264B"/>
    <w:rsid w:val="4844C05D"/>
    <w:rsid w:val="484A37D1"/>
    <w:rsid w:val="484DB8CF"/>
    <w:rsid w:val="48985E87"/>
    <w:rsid w:val="48AADA0E"/>
    <w:rsid w:val="48AB657E"/>
    <w:rsid w:val="48B4D01A"/>
    <w:rsid w:val="48BAB921"/>
    <w:rsid w:val="48BC8E15"/>
    <w:rsid w:val="48E11E30"/>
    <w:rsid w:val="48E27CED"/>
    <w:rsid w:val="48F3FF9D"/>
    <w:rsid w:val="48F472CA"/>
    <w:rsid w:val="48F8F825"/>
    <w:rsid w:val="49055D8C"/>
    <w:rsid w:val="491214A7"/>
    <w:rsid w:val="491F8301"/>
    <w:rsid w:val="49266ABD"/>
    <w:rsid w:val="492F2E38"/>
    <w:rsid w:val="492F5479"/>
    <w:rsid w:val="49396CB8"/>
    <w:rsid w:val="49476094"/>
    <w:rsid w:val="4949206E"/>
    <w:rsid w:val="494CE69E"/>
    <w:rsid w:val="49531633"/>
    <w:rsid w:val="49591222"/>
    <w:rsid w:val="495BBBD6"/>
    <w:rsid w:val="4975CB81"/>
    <w:rsid w:val="4976027F"/>
    <w:rsid w:val="497FD60A"/>
    <w:rsid w:val="4981FC64"/>
    <w:rsid w:val="498C45B8"/>
    <w:rsid w:val="498D91DE"/>
    <w:rsid w:val="499F274C"/>
    <w:rsid w:val="49A1A92D"/>
    <w:rsid w:val="49A5FD13"/>
    <w:rsid w:val="49C891D1"/>
    <w:rsid w:val="49D66463"/>
    <w:rsid w:val="49DA507B"/>
    <w:rsid w:val="49E2E4CB"/>
    <w:rsid w:val="49F4F658"/>
    <w:rsid w:val="4A00F7EB"/>
    <w:rsid w:val="4A1F7C8D"/>
    <w:rsid w:val="4A21AE3F"/>
    <w:rsid w:val="4A284803"/>
    <w:rsid w:val="4A2BA164"/>
    <w:rsid w:val="4A306183"/>
    <w:rsid w:val="4A40F42F"/>
    <w:rsid w:val="4A497171"/>
    <w:rsid w:val="4A4C4341"/>
    <w:rsid w:val="4A4C9053"/>
    <w:rsid w:val="4A4EFBE6"/>
    <w:rsid w:val="4A4F7426"/>
    <w:rsid w:val="4A5E247F"/>
    <w:rsid w:val="4A60E020"/>
    <w:rsid w:val="4A6D8EEC"/>
    <w:rsid w:val="4A7A9A42"/>
    <w:rsid w:val="4A836090"/>
    <w:rsid w:val="4A87AB59"/>
    <w:rsid w:val="4AB343D9"/>
    <w:rsid w:val="4ABAAE43"/>
    <w:rsid w:val="4AC9CD97"/>
    <w:rsid w:val="4AD51FF5"/>
    <w:rsid w:val="4AD8CC3F"/>
    <w:rsid w:val="4ADC6E5F"/>
    <w:rsid w:val="4AE5FBAE"/>
    <w:rsid w:val="4AFA0012"/>
    <w:rsid w:val="4AFD9267"/>
    <w:rsid w:val="4B051E3F"/>
    <w:rsid w:val="4B07A164"/>
    <w:rsid w:val="4B080A57"/>
    <w:rsid w:val="4B182DA1"/>
    <w:rsid w:val="4B20AD09"/>
    <w:rsid w:val="4B2A6F4A"/>
    <w:rsid w:val="4B31C81C"/>
    <w:rsid w:val="4B335AA3"/>
    <w:rsid w:val="4B380B61"/>
    <w:rsid w:val="4B589BEA"/>
    <w:rsid w:val="4B5FF574"/>
    <w:rsid w:val="4B7633F0"/>
    <w:rsid w:val="4B7B5581"/>
    <w:rsid w:val="4B7E82A2"/>
    <w:rsid w:val="4BB160E1"/>
    <w:rsid w:val="4BB2670C"/>
    <w:rsid w:val="4BCAE6A8"/>
    <w:rsid w:val="4BCAEBAE"/>
    <w:rsid w:val="4BCD430F"/>
    <w:rsid w:val="4BD15D15"/>
    <w:rsid w:val="4BD3FA5C"/>
    <w:rsid w:val="4BDB89AF"/>
    <w:rsid w:val="4BE730E1"/>
    <w:rsid w:val="4BF270BD"/>
    <w:rsid w:val="4BF79E91"/>
    <w:rsid w:val="4C040B84"/>
    <w:rsid w:val="4C09C5D3"/>
    <w:rsid w:val="4C10C355"/>
    <w:rsid w:val="4C233F5D"/>
    <w:rsid w:val="4C2C4EBE"/>
    <w:rsid w:val="4C66C500"/>
    <w:rsid w:val="4C759C4A"/>
    <w:rsid w:val="4C870BEF"/>
    <w:rsid w:val="4C91F461"/>
    <w:rsid w:val="4CA6999D"/>
    <w:rsid w:val="4CB65BFC"/>
    <w:rsid w:val="4CC0AFE0"/>
    <w:rsid w:val="4CCF8CE5"/>
    <w:rsid w:val="4CE81407"/>
    <w:rsid w:val="4D012A0D"/>
    <w:rsid w:val="4D16F9FB"/>
    <w:rsid w:val="4D17285E"/>
    <w:rsid w:val="4D19DA7A"/>
    <w:rsid w:val="4D245B3B"/>
    <w:rsid w:val="4D2A764B"/>
    <w:rsid w:val="4D3FAB57"/>
    <w:rsid w:val="4D496A0D"/>
    <w:rsid w:val="4D4AD804"/>
    <w:rsid w:val="4D694367"/>
    <w:rsid w:val="4D7073B3"/>
    <w:rsid w:val="4D719609"/>
    <w:rsid w:val="4D90DB39"/>
    <w:rsid w:val="4D955EAF"/>
    <w:rsid w:val="4DAD7E7C"/>
    <w:rsid w:val="4DAF494D"/>
    <w:rsid w:val="4DB4967B"/>
    <w:rsid w:val="4DB9D2A8"/>
    <w:rsid w:val="4DCE2A56"/>
    <w:rsid w:val="4DD4AD13"/>
    <w:rsid w:val="4DE1BCDE"/>
    <w:rsid w:val="4DEC5E1A"/>
    <w:rsid w:val="4DF19538"/>
    <w:rsid w:val="4E013C13"/>
    <w:rsid w:val="4E163E7F"/>
    <w:rsid w:val="4E1D4814"/>
    <w:rsid w:val="4E223CBB"/>
    <w:rsid w:val="4E388018"/>
    <w:rsid w:val="4E46EB68"/>
    <w:rsid w:val="4E4CD24E"/>
    <w:rsid w:val="4E55F3AA"/>
    <w:rsid w:val="4E8B5A86"/>
    <w:rsid w:val="4E9653E6"/>
    <w:rsid w:val="4E9C5D43"/>
    <w:rsid w:val="4EA01CCF"/>
    <w:rsid w:val="4EACC50C"/>
    <w:rsid w:val="4EAEEDF6"/>
    <w:rsid w:val="4EB074B8"/>
    <w:rsid w:val="4EB15ACD"/>
    <w:rsid w:val="4EB50A3C"/>
    <w:rsid w:val="4EBFE411"/>
    <w:rsid w:val="4EC4C298"/>
    <w:rsid w:val="4EE0235F"/>
    <w:rsid w:val="4EE18156"/>
    <w:rsid w:val="4EE8B185"/>
    <w:rsid w:val="4F0B723B"/>
    <w:rsid w:val="4F0E2026"/>
    <w:rsid w:val="4F104694"/>
    <w:rsid w:val="4F14D353"/>
    <w:rsid w:val="4F2002F2"/>
    <w:rsid w:val="4F2D6F83"/>
    <w:rsid w:val="4F386C53"/>
    <w:rsid w:val="4F3C9710"/>
    <w:rsid w:val="4F41E0C4"/>
    <w:rsid w:val="4F4722BF"/>
    <w:rsid w:val="4F4B3327"/>
    <w:rsid w:val="4F53624F"/>
    <w:rsid w:val="4F6BF581"/>
    <w:rsid w:val="4F70D124"/>
    <w:rsid w:val="4F7AB1E9"/>
    <w:rsid w:val="4F9647C3"/>
    <w:rsid w:val="4FA0880E"/>
    <w:rsid w:val="4FC7E2C0"/>
    <w:rsid w:val="4FCE9E4A"/>
    <w:rsid w:val="4FD85DDE"/>
    <w:rsid w:val="4FDF2EA9"/>
    <w:rsid w:val="4FE00216"/>
    <w:rsid w:val="4FE06F23"/>
    <w:rsid w:val="4FE90F44"/>
    <w:rsid w:val="4FF17EBE"/>
    <w:rsid w:val="4FF622CC"/>
    <w:rsid w:val="5019915D"/>
    <w:rsid w:val="50322E32"/>
    <w:rsid w:val="5050E82D"/>
    <w:rsid w:val="50680DDF"/>
    <w:rsid w:val="5072F9B1"/>
    <w:rsid w:val="507CE268"/>
    <w:rsid w:val="508A6904"/>
    <w:rsid w:val="508D033B"/>
    <w:rsid w:val="50A222EA"/>
    <w:rsid w:val="50A26A20"/>
    <w:rsid w:val="50A2C15A"/>
    <w:rsid w:val="50A644C7"/>
    <w:rsid w:val="50ADDCFE"/>
    <w:rsid w:val="50B3026D"/>
    <w:rsid w:val="50BFD5FF"/>
    <w:rsid w:val="50EC9B72"/>
    <w:rsid w:val="50ED8067"/>
    <w:rsid w:val="50F4845B"/>
    <w:rsid w:val="51078876"/>
    <w:rsid w:val="5108E5B2"/>
    <w:rsid w:val="51122E57"/>
    <w:rsid w:val="511D1D07"/>
    <w:rsid w:val="511DA922"/>
    <w:rsid w:val="511EA76C"/>
    <w:rsid w:val="5122449E"/>
    <w:rsid w:val="512EF8AB"/>
    <w:rsid w:val="5135A353"/>
    <w:rsid w:val="513EBBBA"/>
    <w:rsid w:val="5142375F"/>
    <w:rsid w:val="5154E120"/>
    <w:rsid w:val="516CE98D"/>
    <w:rsid w:val="519794C5"/>
    <w:rsid w:val="51C44163"/>
    <w:rsid w:val="51CAF95D"/>
    <w:rsid w:val="51D68A78"/>
    <w:rsid w:val="51D9A99E"/>
    <w:rsid w:val="51DEB07D"/>
    <w:rsid w:val="51E12BEF"/>
    <w:rsid w:val="51F069FA"/>
    <w:rsid w:val="51F87C0D"/>
    <w:rsid w:val="51FEC10F"/>
    <w:rsid w:val="52093D39"/>
    <w:rsid w:val="520FDD3F"/>
    <w:rsid w:val="522A1186"/>
    <w:rsid w:val="522F578C"/>
    <w:rsid w:val="5242FE70"/>
    <w:rsid w:val="524B1665"/>
    <w:rsid w:val="524C0B8A"/>
    <w:rsid w:val="524C2FE5"/>
    <w:rsid w:val="5266517B"/>
    <w:rsid w:val="526D31B2"/>
    <w:rsid w:val="52708DC4"/>
    <w:rsid w:val="5277859A"/>
    <w:rsid w:val="527E829C"/>
    <w:rsid w:val="5281257A"/>
    <w:rsid w:val="52D3E031"/>
    <w:rsid w:val="52DC3875"/>
    <w:rsid w:val="52E8CF6C"/>
    <w:rsid w:val="52EF354A"/>
    <w:rsid w:val="52F3EB75"/>
    <w:rsid w:val="52F9406E"/>
    <w:rsid w:val="52FA12C8"/>
    <w:rsid w:val="53042F2B"/>
    <w:rsid w:val="53133E59"/>
    <w:rsid w:val="5318FFE2"/>
    <w:rsid w:val="531AAF64"/>
    <w:rsid w:val="5322822D"/>
    <w:rsid w:val="532568BD"/>
    <w:rsid w:val="532CEA70"/>
    <w:rsid w:val="53539EC5"/>
    <w:rsid w:val="5366631B"/>
    <w:rsid w:val="536F39B7"/>
    <w:rsid w:val="53720996"/>
    <w:rsid w:val="53729E44"/>
    <w:rsid w:val="53742492"/>
    <w:rsid w:val="537C821E"/>
    <w:rsid w:val="538CCA60"/>
    <w:rsid w:val="53937A9F"/>
    <w:rsid w:val="5395CDF1"/>
    <w:rsid w:val="539C92AD"/>
    <w:rsid w:val="53D64814"/>
    <w:rsid w:val="53DB5B4A"/>
    <w:rsid w:val="53DFDEE7"/>
    <w:rsid w:val="53F86D90"/>
    <w:rsid w:val="54047839"/>
    <w:rsid w:val="54117477"/>
    <w:rsid w:val="54168C81"/>
    <w:rsid w:val="5417B529"/>
    <w:rsid w:val="542832E0"/>
    <w:rsid w:val="54334169"/>
    <w:rsid w:val="5486BEFF"/>
    <w:rsid w:val="54A73B39"/>
    <w:rsid w:val="54A81ADC"/>
    <w:rsid w:val="54B5BFEF"/>
    <w:rsid w:val="54CCEB9D"/>
    <w:rsid w:val="54D16EDB"/>
    <w:rsid w:val="54D75E6B"/>
    <w:rsid w:val="54E17FC2"/>
    <w:rsid w:val="54E4BA9C"/>
    <w:rsid w:val="54E5417E"/>
    <w:rsid w:val="54EA9C1C"/>
    <w:rsid w:val="54F71D8C"/>
    <w:rsid w:val="55002F5F"/>
    <w:rsid w:val="550743E0"/>
    <w:rsid w:val="551594BD"/>
    <w:rsid w:val="5515BFB3"/>
    <w:rsid w:val="551916EC"/>
    <w:rsid w:val="5521E009"/>
    <w:rsid w:val="55352CAC"/>
    <w:rsid w:val="55364D3D"/>
    <w:rsid w:val="554D800E"/>
    <w:rsid w:val="5557CDD8"/>
    <w:rsid w:val="555D5766"/>
    <w:rsid w:val="55764391"/>
    <w:rsid w:val="5576E70B"/>
    <w:rsid w:val="5576F97F"/>
    <w:rsid w:val="5581E3DD"/>
    <w:rsid w:val="558D06ED"/>
    <w:rsid w:val="5590549B"/>
    <w:rsid w:val="55920D0B"/>
    <w:rsid w:val="55925E74"/>
    <w:rsid w:val="5595482D"/>
    <w:rsid w:val="55970F5A"/>
    <w:rsid w:val="559D659A"/>
    <w:rsid w:val="55A4A488"/>
    <w:rsid w:val="55A5DA9C"/>
    <w:rsid w:val="55A69BA7"/>
    <w:rsid w:val="55ACB5ED"/>
    <w:rsid w:val="55AE9175"/>
    <w:rsid w:val="55BA83F9"/>
    <w:rsid w:val="55CA753A"/>
    <w:rsid w:val="55CB67DD"/>
    <w:rsid w:val="55CBF010"/>
    <w:rsid w:val="55E6AC01"/>
    <w:rsid w:val="55E80E99"/>
    <w:rsid w:val="55EA4D07"/>
    <w:rsid w:val="55ECBC39"/>
    <w:rsid w:val="55F874DA"/>
    <w:rsid w:val="5605A4D8"/>
    <w:rsid w:val="5606F685"/>
    <w:rsid w:val="560ECEAB"/>
    <w:rsid w:val="560F21EC"/>
    <w:rsid w:val="561C4F85"/>
    <w:rsid w:val="562540E1"/>
    <w:rsid w:val="5630B3BB"/>
    <w:rsid w:val="56355BA7"/>
    <w:rsid w:val="5645A6A8"/>
    <w:rsid w:val="5650B62A"/>
    <w:rsid w:val="56619D05"/>
    <w:rsid w:val="56652E37"/>
    <w:rsid w:val="5667A78A"/>
    <w:rsid w:val="5668455E"/>
    <w:rsid w:val="5690CFC6"/>
    <w:rsid w:val="56948606"/>
    <w:rsid w:val="569D8A3F"/>
    <w:rsid w:val="56A0C88D"/>
    <w:rsid w:val="56A617A8"/>
    <w:rsid w:val="56AE3453"/>
    <w:rsid w:val="56B814AF"/>
    <w:rsid w:val="56BB84FD"/>
    <w:rsid w:val="56C8BBC6"/>
    <w:rsid w:val="56CE1AFF"/>
    <w:rsid w:val="570C81C4"/>
    <w:rsid w:val="570D0401"/>
    <w:rsid w:val="572CAED9"/>
    <w:rsid w:val="57365223"/>
    <w:rsid w:val="5752F4FE"/>
    <w:rsid w:val="5753299E"/>
    <w:rsid w:val="57568202"/>
    <w:rsid w:val="5757BC15"/>
    <w:rsid w:val="5759E055"/>
    <w:rsid w:val="575AEE54"/>
    <w:rsid w:val="576157DD"/>
    <w:rsid w:val="57680594"/>
    <w:rsid w:val="577DD63E"/>
    <w:rsid w:val="5780F18D"/>
    <w:rsid w:val="57850AAE"/>
    <w:rsid w:val="5794725D"/>
    <w:rsid w:val="579924EB"/>
    <w:rsid w:val="579FC4E7"/>
    <w:rsid w:val="57A314CF"/>
    <w:rsid w:val="57B61990"/>
    <w:rsid w:val="57C031E1"/>
    <w:rsid w:val="57C0DC50"/>
    <w:rsid w:val="57C840F7"/>
    <w:rsid w:val="57CB4CC1"/>
    <w:rsid w:val="57DCB12C"/>
    <w:rsid w:val="57EA0988"/>
    <w:rsid w:val="580E0D54"/>
    <w:rsid w:val="5810A3D1"/>
    <w:rsid w:val="581483C8"/>
    <w:rsid w:val="58157B8B"/>
    <w:rsid w:val="5815E3B3"/>
    <w:rsid w:val="581F6042"/>
    <w:rsid w:val="5827780F"/>
    <w:rsid w:val="583090AD"/>
    <w:rsid w:val="583A6F44"/>
    <w:rsid w:val="583B0D4B"/>
    <w:rsid w:val="583BD97E"/>
    <w:rsid w:val="58432A94"/>
    <w:rsid w:val="585063C8"/>
    <w:rsid w:val="58596852"/>
    <w:rsid w:val="58659C1C"/>
    <w:rsid w:val="58669DF8"/>
    <w:rsid w:val="5867EB5E"/>
    <w:rsid w:val="586B3F9B"/>
    <w:rsid w:val="586FB996"/>
    <w:rsid w:val="5874A3ED"/>
    <w:rsid w:val="5883F757"/>
    <w:rsid w:val="5885B865"/>
    <w:rsid w:val="5885FE30"/>
    <w:rsid w:val="588CE21C"/>
    <w:rsid w:val="588DE125"/>
    <w:rsid w:val="58AD72EE"/>
    <w:rsid w:val="58BF7295"/>
    <w:rsid w:val="58CFD052"/>
    <w:rsid w:val="58D1E5B5"/>
    <w:rsid w:val="58E7CEAB"/>
    <w:rsid w:val="58EFF09D"/>
    <w:rsid w:val="58F29A21"/>
    <w:rsid w:val="5916D43E"/>
    <w:rsid w:val="591FC849"/>
    <w:rsid w:val="59271A31"/>
    <w:rsid w:val="592BCFE9"/>
    <w:rsid w:val="5941E787"/>
    <w:rsid w:val="5949CF05"/>
    <w:rsid w:val="594FE2AB"/>
    <w:rsid w:val="5953F6A6"/>
    <w:rsid w:val="595E5A9A"/>
    <w:rsid w:val="596F9FF7"/>
    <w:rsid w:val="5975EA66"/>
    <w:rsid w:val="598436E1"/>
    <w:rsid w:val="598EBFEA"/>
    <w:rsid w:val="599223E5"/>
    <w:rsid w:val="59A45534"/>
    <w:rsid w:val="59A63B21"/>
    <w:rsid w:val="59AC3FEE"/>
    <w:rsid w:val="59B2132E"/>
    <w:rsid w:val="59B6779F"/>
    <w:rsid w:val="59C34F68"/>
    <w:rsid w:val="59C7F7E7"/>
    <w:rsid w:val="59C96649"/>
    <w:rsid w:val="59CD5E11"/>
    <w:rsid w:val="59D7FDF3"/>
    <w:rsid w:val="59DFCDE7"/>
    <w:rsid w:val="59E7A18B"/>
    <w:rsid w:val="59F6FBAC"/>
    <w:rsid w:val="5A012F3E"/>
    <w:rsid w:val="5A074339"/>
    <w:rsid w:val="5A105880"/>
    <w:rsid w:val="5A25E8FD"/>
    <w:rsid w:val="5A30143A"/>
    <w:rsid w:val="5A41E117"/>
    <w:rsid w:val="5A448305"/>
    <w:rsid w:val="5A56638C"/>
    <w:rsid w:val="5A65B5A5"/>
    <w:rsid w:val="5A66354D"/>
    <w:rsid w:val="5A79EDD3"/>
    <w:rsid w:val="5A86819C"/>
    <w:rsid w:val="5A8A2EB2"/>
    <w:rsid w:val="5AAE826B"/>
    <w:rsid w:val="5AAF0B0D"/>
    <w:rsid w:val="5AB8B6E9"/>
    <w:rsid w:val="5AB8D2C2"/>
    <w:rsid w:val="5ACC4704"/>
    <w:rsid w:val="5AD4590E"/>
    <w:rsid w:val="5ADA824A"/>
    <w:rsid w:val="5ADB9724"/>
    <w:rsid w:val="5AE0421D"/>
    <w:rsid w:val="5AE28568"/>
    <w:rsid w:val="5AF0405D"/>
    <w:rsid w:val="5AF5CAAC"/>
    <w:rsid w:val="5AFFD55B"/>
    <w:rsid w:val="5B0C2D7E"/>
    <w:rsid w:val="5B103EF0"/>
    <w:rsid w:val="5B3001FF"/>
    <w:rsid w:val="5B391072"/>
    <w:rsid w:val="5B52B5DA"/>
    <w:rsid w:val="5B5919B6"/>
    <w:rsid w:val="5B5A3CD5"/>
    <w:rsid w:val="5B5D1D78"/>
    <w:rsid w:val="5B6C8DF2"/>
    <w:rsid w:val="5B71055D"/>
    <w:rsid w:val="5B7191B0"/>
    <w:rsid w:val="5B721985"/>
    <w:rsid w:val="5B753C54"/>
    <w:rsid w:val="5B97A9DB"/>
    <w:rsid w:val="5B9E09CE"/>
    <w:rsid w:val="5BA6ABC3"/>
    <w:rsid w:val="5BB77E38"/>
    <w:rsid w:val="5BC5D652"/>
    <w:rsid w:val="5BD5818C"/>
    <w:rsid w:val="5BD8239A"/>
    <w:rsid w:val="5BD84C7C"/>
    <w:rsid w:val="5BF173C9"/>
    <w:rsid w:val="5BFE0A84"/>
    <w:rsid w:val="5C09549F"/>
    <w:rsid w:val="5C0B9523"/>
    <w:rsid w:val="5C13C75D"/>
    <w:rsid w:val="5C25B115"/>
    <w:rsid w:val="5C2CC604"/>
    <w:rsid w:val="5C466241"/>
    <w:rsid w:val="5C62254B"/>
    <w:rsid w:val="5C6E1E16"/>
    <w:rsid w:val="5C772B90"/>
    <w:rsid w:val="5C7B4874"/>
    <w:rsid w:val="5C90C5D8"/>
    <w:rsid w:val="5CA18BA4"/>
    <w:rsid w:val="5CB0A16E"/>
    <w:rsid w:val="5CCD9B9E"/>
    <w:rsid w:val="5CCE3E78"/>
    <w:rsid w:val="5CDCBFD6"/>
    <w:rsid w:val="5CE020B9"/>
    <w:rsid w:val="5CE1AA97"/>
    <w:rsid w:val="5CE514F4"/>
    <w:rsid w:val="5CED2333"/>
    <w:rsid w:val="5D0FA152"/>
    <w:rsid w:val="5D25674C"/>
    <w:rsid w:val="5D295A75"/>
    <w:rsid w:val="5D3A8F7D"/>
    <w:rsid w:val="5D3C8858"/>
    <w:rsid w:val="5D433D10"/>
    <w:rsid w:val="5D435EF3"/>
    <w:rsid w:val="5D50B795"/>
    <w:rsid w:val="5D5489DF"/>
    <w:rsid w:val="5D618F40"/>
    <w:rsid w:val="5D746834"/>
    <w:rsid w:val="5D7EB230"/>
    <w:rsid w:val="5D8B48E5"/>
    <w:rsid w:val="5D8F3DDF"/>
    <w:rsid w:val="5D8FE127"/>
    <w:rsid w:val="5DAF66F0"/>
    <w:rsid w:val="5DB16179"/>
    <w:rsid w:val="5DD72423"/>
    <w:rsid w:val="5DDAB006"/>
    <w:rsid w:val="5DE3E647"/>
    <w:rsid w:val="5DEB1B62"/>
    <w:rsid w:val="5DED3D17"/>
    <w:rsid w:val="5DF80BFF"/>
    <w:rsid w:val="5DFBC3A2"/>
    <w:rsid w:val="5E0CDC53"/>
    <w:rsid w:val="5E1241FB"/>
    <w:rsid w:val="5E20371A"/>
    <w:rsid w:val="5E228AA7"/>
    <w:rsid w:val="5E365741"/>
    <w:rsid w:val="5E3BB11E"/>
    <w:rsid w:val="5E502A8A"/>
    <w:rsid w:val="5E5139B9"/>
    <w:rsid w:val="5E726D23"/>
    <w:rsid w:val="5E7D4EBE"/>
    <w:rsid w:val="5E80E2C3"/>
    <w:rsid w:val="5E83FBA3"/>
    <w:rsid w:val="5E98EB41"/>
    <w:rsid w:val="5E9BDF89"/>
    <w:rsid w:val="5EA13BE3"/>
    <w:rsid w:val="5EB73E19"/>
    <w:rsid w:val="5EC5B180"/>
    <w:rsid w:val="5EC7BBE6"/>
    <w:rsid w:val="5EFE4D35"/>
    <w:rsid w:val="5F010AD8"/>
    <w:rsid w:val="5F245BFD"/>
    <w:rsid w:val="5F42A163"/>
    <w:rsid w:val="5F54468E"/>
    <w:rsid w:val="5F5B6079"/>
    <w:rsid w:val="5F723C4B"/>
    <w:rsid w:val="5F7CE2B6"/>
    <w:rsid w:val="5F859DB3"/>
    <w:rsid w:val="5F8970E2"/>
    <w:rsid w:val="5F8D21F6"/>
    <w:rsid w:val="5F8FB539"/>
    <w:rsid w:val="5F910271"/>
    <w:rsid w:val="5F94F300"/>
    <w:rsid w:val="5F96E18A"/>
    <w:rsid w:val="5F97D4C0"/>
    <w:rsid w:val="5F9A44C2"/>
    <w:rsid w:val="5FA6A627"/>
    <w:rsid w:val="5FAC4471"/>
    <w:rsid w:val="5FAF82B6"/>
    <w:rsid w:val="5FAFAAA0"/>
    <w:rsid w:val="5FBDB300"/>
    <w:rsid w:val="5FBEC33C"/>
    <w:rsid w:val="5FC12A66"/>
    <w:rsid w:val="5FE5F8B2"/>
    <w:rsid w:val="5FE9E624"/>
    <w:rsid w:val="600860E9"/>
    <w:rsid w:val="60099C78"/>
    <w:rsid w:val="600C7778"/>
    <w:rsid w:val="60343934"/>
    <w:rsid w:val="604D9875"/>
    <w:rsid w:val="6063FEBB"/>
    <w:rsid w:val="60687795"/>
    <w:rsid w:val="608C3110"/>
    <w:rsid w:val="608FD99C"/>
    <w:rsid w:val="609E36D4"/>
    <w:rsid w:val="609F2B32"/>
    <w:rsid w:val="60A73194"/>
    <w:rsid w:val="60A7C77C"/>
    <w:rsid w:val="60A9CCB1"/>
    <w:rsid w:val="60D1564B"/>
    <w:rsid w:val="60D9612A"/>
    <w:rsid w:val="60E6031A"/>
    <w:rsid w:val="60E87E1A"/>
    <w:rsid w:val="60ED6B6D"/>
    <w:rsid w:val="60EEB3CA"/>
    <w:rsid w:val="60FD42AC"/>
    <w:rsid w:val="61022DD8"/>
    <w:rsid w:val="61185FBC"/>
    <w:rsid w:val="611B18CA"/>
    <w:rsid w:val="612ED7FB"/>
    <w:rsid w:val="6139201F"/>
    <w:rsid w:val="61433C7A"/>
    <w:rsid w:val="61646875"/>
    <w:rsid w:val="61716F43"/>
    <w:rsid w:val="619D4BF1"/>
    <w:rsid w:val="61A1E65E"/>
    <w:rsid w:val="61BB6271"/>
    <w:rsid w:val="61C57408"/>
    <w:rsid w:val="61CEFF5A"/>
    <w:rsid w:val="61E91712"/>
    <w:rsid w:val="61EF4606"/>
    <w:rsid w:val="61F0D681"/>
    <w:rsid w:val="61F6DA36"/>
    <w:rsid w:val="61F7D443"/>
    <w:rsid w:val="61F7DC17"/>
    <w:rsid w:val="61FF0958"/>
    <w:rsid w:val="62024D10"/>
    <w:rsid w:val="62104AFE"/>
    <w:rsid w:val="62250B2E"/>
    <w:rsid w:val="622753BF"/>
    <w:rsid w:val="6240958C"/>
    <w:rsid w:val="624CB4E2"/>
    <w:rsid w:val="62698ED3"/>
    <w:rsid w:val="6271F8CE"/>
    <w:rsid w:val="627E5812"/>
    <w:rsid w:val="628C1251"/>
    <w:rsid w:val="628D10F0"/>
    <w:rsid w:val="62A1600F"/>
    <w:rsid w:val="62A4535C"/>
    <w:rsid w:val="62A972FA"/>
    <w:rsid w:val="62ADD514"/>
    <w:rsid w:val="62C0CC74"/>
    <w:rsid w:val="62C2EF77"/>
    <w:rsid w:val="62D642F7"/>
    <w:rsid w:val="62E574DB"/>
    <w:rsid w:val="62F21612"/>
    <w:rsid w:val="62F8795F"/>
    <w:rsid w:val="62FCE39C"/>
    <w:rsid w:val="62FEF3F5"/>
    <w:rsid w:val="63005607"/>
    <w:rsid w:val="630A6C0A"/>
    <w:rsid w:val="630ADA74"/>
    <w:rsid w:val="6324A2F3"/>
    <w:rsid w:val="6338F681"/>
    <w:rsid w:val="633FD6A8"/>
    <w:rsid w:val="634403C4"/>
    <w:rsid w:val="634919CB"/>
    <w:rsid w:val="634E30F3"/>
    <w:rsid w:val="6357E0F5"/>
    <w:rsid w:val="6371AEC5"/>
    <w:rsid w:val="639F0BA4"/>
    <w:rsid w:val="63B1CBEA"/>
    <w:rsid w:val="63CD1939"/>
    <w:rsid w:val="63CD9C89"/>
    <w:rsid w:val="63D58F66"/>
    <w:rsid w:val="63D9F857"/>
    <w:rsid w:val="63E9DF23"/>
    <w:rsid w:val="63ED0410"/>
    <w:rsid w:val="63ED231B"/>
    <w:rsid w:val="63F2DBAC"/>
    <w:rsid w:val="63F6E9C8"/>
    <w:rsid w:val="63F7EF12"/>
    <w:rsid w:val="640136F7"/>
    <w:rsid w:val="6401929F"/>
    <w:rsid w:val="640BC133"/>
    <w:rsid w:val="64194B80"/>
    <w:rsid w:val="64386951"/>
    <w:rsid w:val="643C84E2"/>
    <w:rsid w:val="643CF25A"/>
    <w:rsid w:val="64402531"/>
    <w:rsid w:val="6441A8E8"/>
    <w:rsid w:val="644AA0F3"/>
    <w:rsid w:val="644C47DD"/>
    <w:rsid w:val="645AD54D"/>
    <w:rsid w:val="645C0CC1"/>
    <w:rsid w:val="64655D3B"/>
    <w:rsid w:val="64679A1E"/>
    <w:rsid w:val="647EE147"/>
    <w:rsid w:val="64961C61"/>
    <w:rsid w:val="64999885"/>
    <w:rsid w:val="649C08AC"/>
    <w:rsid w:val="64A24D10"/>
    <w:rsid w:val="64ADE729"/>
    <w:rsid w:val="64B20AE7"/>
    <w:rsid w:val="64BAE1F1"/>
    <w:rsid w:val="64C2FD15"/>
    <w:rsid w:val="64C63373"/>
    <w:rsid w:val="64CD990F"/>
    <w:rsid w:val="64D71554"/>
    <w:rsid w:val="64DBDEA3"/>
    <w:rsid w:val="64DCA598"/>
    <w:rsid w:val="64E31DC7"/>
    <w:rsid w:val="64E5E25F"/>
    <w:rsid w:val="64FA9FFB"/>
    <w:rsid w:val="64FFD8ED"/>
    <w:rsid w:val="6517C616"/>
    <w:rsid w:val="6521D0C2"/>
    <w:rsid w:val="65225F31"/>
    <w:rsid w:val="652B195E"/>
    <w:rsid w:val="655595B3"/>
    <w:rsid w:val="655D3FAA"/>
    <w:rsid w:val="655DC14A"/>
    <w:rsid w:val="6567BB83"/>
    <w:rsid w:val="657D716A"/>
    <w:rsid w:val="65833926"/>
    <w:rsid w:val="658F0C6F"/>
    <w:rsid w:val="65914129"/>
    <w:rsid w:val="65BDC4E0"/>
    <w:rsid w:val="65D193A1"/>
    <w:rsid w:val="65F69EE1"/>
    <w:rsid w:val="65FE9E1C"/>
    <w:rsid w:val="65FF3855"/>
    <w:rsid w:val="6606ECA6"/>
    <w:rsid w:val="660AC71A"/>
    <w:rsid w:val="660FA574"/>
    <w:rsid w:val="66101623"/>
    <w:rsid w:val="6613C275"/>
    <w:rsid w:val="6618DAF1"/>
    <w:rsid w:val="664A4B92"/>
    <w:rsid w:val="66510E98"/>
    <w:rsid w:val="66710884"/>
    <w:rsid w:val="66981A12"/>
    <w:rsid w:val="669A2089"/>
    <w:rsid w:val="66B34922"/>
    <w:rsid w:val="66C1483D"/>
    <w:rsid w:val="66C49D52"/>
    <w:rsid w:val="66DA10FA"/>
    <w:rsid w:val="66DD8A51"/>
    <w:rsid w:val="66DF1F37"/>
    <w:rsid w:val="66E6DA79"/>
    <w:rsid w:val="66F43011"/>
    <w:rsid w:val="66F8916D"/>
    <w:rsid w:val="6706291E"/>
    <w:rsid w:val="670C203E"/>
    <w:rsid w:val="671BE4CC"/>
    <w:rsid w:val="671CBF2C"/>
    <w:rsid w:val="671F7EC9"/>
    <w:rsid w:val="6726CD1D"/>
    <w:rsid w:val="673788FD"/>
    <w:rsid w:val="67378902"/>
    <w:rsid w:val="673CABD9"/>
    <w:rsid w:val="67436C77"/>
    <w:rsid w:val="6752A025"/>
    <w:rsid w:val="67549DFF"/>
    <w:rsid w:val="675B6D5B"/>
    <w:rsid w:val="67629260"/>
    <w:rsid w:val="67700F7C"/>
    <w:rsid w:val="677075D7"/>
    <w:rsid w:val="67710434"/>
    <w:rsid w:val="677B682C"/>
    <w:rsid w:val="67860A73"/>
    <w:rsid w:val="678BE2D4"/>
    <w:rsid w:val="678D9DEB"/>
    <w:rsid w:val="679F5C96"/>
    <w:rsid w:val="67A74806"/>
    <w:rsid w:val="67AAD8D2"/>
    <w:rsid w:val="67C0B95B"/>
    <w:rsid w:val="67C89477"/>
    <w:rsid w:val="67DD6A7C"/>
    <w:rsid w:val="68157B20"/>
    <w:rsid w:val="6818D0EF"/>
    <w:rsid w:val="681F127A"/>
    <w:rsid w:val="68326354"/>
    <w:rsid w:val="6832C13D"/>
    <w:rsid w:val="6832D02E"/>
    <w:rsid w:val="6835E9CF"/>
    <w:rsid w:val="684DC169"/>
    <w:rsid w:val="686790E0"/>
    <w:rsid w:val="686EA328"/>
    <w:rsid w:val="6875EE15"/>
    <w:rsid w:val="687B745F"/>
    <w:rsid w:val="6883D91E"/>
    <w:rsid w:val="6889265E"/>
    <w:rsid w:val="6890491B"/>
    <w:rsid w:val="689D9C0D"/>
    <w:rsid w:val="68CAF4B1"/>
    <w:rsid w:val="68EF8536"/>
    <w:rsid w:val="68F697D7"/>
    <w:rsid w:val="690D1344"/>
    <w:rsid w:val="691B1CC2"/>
    <w:rsid w:val="6927B080"/>
    <w:rsid w:val="692A4AB8"/>
    <w:rsid w:val="6934BF44"/>
    <w:rsid w:val="6948D6CA"/>
    <w:rsid w:val="694F6537"/>
    <w:rsid w:val="69607FEA"/>
    <w:rsid w:val="696719E7"/>
    <w:rsid w:val="6969963C"/>
    <w:rsid w:val="69753CBB"/>
    <w:rsid w:val="6979677A"/>
    <w:rsid w:val="697F1A08"/>
    <w:rsid w:val="69881654"/>
    <w:rsid w:val="6989601D"/>
    <w:rsid w:val="6992448F"/>
    <w:rsid w:val="6992F702"/>
    <w:rsid w:val="69BB3DDD"/>
    <w:rsid w:val="69C609EF"/>
    <w:rsid w:val="69D0A98C"/>
    <w:rsid w:val="69D4AF7C"/>
    <w:rsid w:val="69E29E8C"/>
    <w:rsid w:val="69EC9222"/>
    <w:rsid w:val="69ECAB57"/>
    <w:rsid w:val="69EF1511"/>
    <w:rsid w:val="6A005609"/>
    <w:rsid w:val="6A0EE660"/>
    <w:rsid w:val="6A158973"/>
    <w:rsid w:val="6A16108F"/>
    <w:rsid w:val="6A2C3948"/>
    <w:rsid w:val="6A3129EB"/>
    <w:rsid w:val="6A41EC9E"/>
    <w:rsid w:val="6A51BF46"/>
    <w:rsid w:val="6A539674"/>
    <w:rsid w:val="6A53C1EE"/>
    <w:rsid w:val="6A5A9362"/>
    <w:rsid w:val="6A5AD224"/>
    <w:rsid w:val="6A77D298"/>
    <w:rsid w:val="6A82C9C7"/>
    <w:rsid w:val="6A980CA7"/>
    <w:rsid w:val="6A9CD51B"/>
    <w:rsid w:val="6A9F201E"/>
    <w:rsid w:val="6AA09DA5"/>
    <w:rsid w:val="6AA89E16"/>
    <w:rsid w:val="6AAF7E58"/>
    <w:rsid w:val="6AB2447E"/>
    <w:rsid w:val="6AB7B864"/>
    <w:rsid w:val="6ABADAD7"/>
    <w:rsid w:val="6ABC3F13"/>
    <w:rsid w:val="6ACC46D4"/>
    <w:rsid w:val="6ACE71F9"/>
    <w:rsid w:val="6ADED155"/>
    <w:rsid w:val="6AE8BF4C"/>
    <w:rsid w:val="6AEA5521"/>
    <w:rsid w:val="6AEA6EF1"/>
    <w:rsid w:val="6AED624C"/>
    <w:rsid w:val="6AFE458D"/>
    <w:rsid w:val="6B05779A"/>
    <w:rsid w:val="6B08736F"/>
    <w:rsid w:val="6B08C966"/>
    <w:rsid w:val="6B092ADD"/>
    <w:rsid w:val="6B1D7163"/>
    <w:rsid w:val="6B378A1A"/>
    <w:rsid w:val="6B3896CF"/>
    <w:rsid w:val="6B41E3F0"/>
    <w:rsid w:val="6B42E3C9"/>
    <w:rsid w:val="6B45D959"/>
    <w:rsid w:val="6B46BF5B"/>
    <w:rsid w:val="6B52281A"/>
    <w:rsid w:val="6B6001BD"/>
    <w:rsid w:val="6B6764FB"/>
    <w:rsid w:val="6B76FD73"/>
    <w:rsid w:val="6B7D11AA"/>
    <w:rsid w:val="6B7FF4B9"/>
    <w:rsid w:val="6B8536EE"/>
    <w:rsid w:val="6B8B480D"/>
    <w:rsid w:val="6B8EAF64"/>
    <w:rsid w:val="6B986758"/>
    <w:rsid w:val="6BAB45EA"/>
    <w:rsid w:val="6BCA986C"/>
    <w:rsid w:val="6BD65A30"/>
    <w:rsid w:val="6BDBBC72"/>
    <w:rsid w:val="6BFBA47F"/>
    <w:rsid w:val="6BFE6293"/>
    <w:rsid w:val="6BFF1E26"/>
    <w:rsid w:val="6C1A7C46"/>
    <w:rsid w:val="6C23B0B4"/>
    <w:rsid w:val="6C23B28C"/>
    <w:rsid w:val="6C25032F"/>
    <w:rsid w:val="6C2535D6"/>
    <w:rsid w:val="6C2A2BBC"/>
    <w:rsid w:val="6C2D8195"/>
    <w:rsid w:val="6C39C6CD"/>
    <w:rsid w:val="6C4793F7"/>
    <w:rsid w:val="6C547B4E"/>
    <w:rsid w:val="6C54B1BD"/>
    <w:rsid w:val="6C5E87B3"/>
    <w:rsid w:val="6C7276C7"/>
    <w:rsid w:val="6C749BF7"/>
    <w:rsid w:val="6C7B7BBB"/>
    <w:rsid w:val="6C810552"/>
    <w:rsid w:val="6C8EB95F"/>
    <w:rsid w:val="6C9C34C8"/>
    <w:rsid w:val="6CC2A2D9"/>
    <w:rsid w:val="6CC51C78"/>
    <w:rsid w:val="6CD5B1A3"/>
    <w:rsid w:val="6CD6B3A7"/>
    <w:rsid w:val="6CDD915C"/>
    <w:rsid w:val="6CF0C34D"/>
    <w:rsid w:val="6CFC26DB"/>
    <w:rsid w:val="6D0D5827"/>
    <w:rsid w:val="6D0EA5EE"/>
    <w:rsid w:val="6D137856"/>
    <w:rsid w:val="6D158AE9"/>
    <w:rsid w:val="6D1C0B53"/>
    <w:rsid w:val="6D2DCB84"/>
    <w:rsid w:val="6D3F0C72"/>
    <w:rsid w:val="6D40ECA1"/>
    <w:rsid w:val="6D4EE67C"/>
    <w:rsid w:val="6D5C845B"/>
    <w:rsid w:val="6D7E8957"/>
    <w:rsid w:val="6D8FB152"/>
    <w:rsid w:val="6DA50436"/>
    <w:rsid w:val="6DA9FB95"/>
    <w:rsid w:val="6DAED7D0"/>
    <w:rsid w:val="6DB8A963"/>
    <w:rsid w:val="6DBB03FB"/>
    <w:rsid w:val="6DBD1680"/>
    <w:rsid w:val="6DC6BF4B"/>
    <w:rsid w:val="6DDC78E5"/>
    <w:rsid w:val="6DDE6F4D"/>
    <w:rsid w:val="6E054CE5"/>
    <w:rsid w:val="6E0DA8F1"/>
    <w:rsid w:val="6E20DBD2"/>
    <w:rsid w:val="6E32E5B3"/>
    <w:rsid w:val="6E6DB414"/>
    <w:rsid w:val="6E78D7BC"/>
    <w:rsid w:val="6E7FF4B5"/>
    <w:rsid w:val="6E8FACD7"/>
    <w:rsid w:val="6E951BCD"/>
    <w:rsid w:val="6E9CAE1D"/>
    <w:rsid w:val="6EA4FA55"/>
    <w:rsid w:val="6EA7A55C"/>
    <w:rsid w:val="6EADF510"/>
    <w:rsid w:val="6EB68511"/>
    <w:rsid w:val="6EBAC17A"/>
    <w:rsid w:val="6EBD9600"/>
    <w:rsid w:val="6ED29936"/>
    <w:rsid w:val="6ED29AB4"/>
    <w:rsid w:val="6EE01E52"/>
    <w:rsid w:val="6EE8BBDB"/>
    <w:rsid w:val="6EFF7B93"/>
    <w:rsid w:val="6F00DF64"/>
    <w:rsid w:val="6F02376D"/>
    <w:rsid w:val="6F0B1655"/>
    <w:rsid w:val="6F11AA0F"/>
    <w:rsid w:val="6F14977D"/>
    <w:rsid w:val="6F1F6C2A"/>
    <w:rsid w:val="6F2FFB63"/>
    <w:rsid w:val="6F4385BD"/>
    <w:rsid w:val="6F44D17C"/>
    <w:rsid w:val="6F49B405"/>
    <w:rsid w:val="6F5AC331"/>
    <w:rsid w:val="6F718A9D"/>
    <w:rsid w:val="6F7837C2"/>
    <w:rsid w:val="6F8C9EFC"/>
    <w:rsid w:val="6F8EA7B8"/>
    <w:rsid w:val="6F9A39C3"/>
    <w:rsid w:val="6F9DEAC0"/>
    <w:rsid w:val="6F9FE788"/>
    <w:rsid w:val="6FA1571A"/>
    <w:rsid w:val="6FA5BECD"/>
    <w:rsid w:val="6FB0705D"/>
    <w:rsid w:val="6FB6319F"/>
    <w:rsid w:val="6FBBA268"/>
    <w:rsid w:val="6FDABD86"/>
    <w:rsid w:val="6FE6E99C"/>
    <w:rsid w:val="6FF18403"/>
    <w:rsid w:val="7005BED0"/>
    <w:rsid w:val="700C3B01"/>
    <w:rsid w:val="702E30C5"/>
    <w:rsid w:val="7036DC06"/>
    <w:rsid w:val="704A453E"/>
    <w:rsid w:val="705056D7"/>
    <w:rsid w:val="70517B23"/>
    <w:rsid w:val="70615690"/>
    <w:rsid w:val="7062033B"/>
    <w:rsid w:val="706D8871"/>
    <w:rsid w:val="70714160"/>
    <w:rsid w:val="7074532B"/>
    <w:rsid w:val="70755FC9"/>
    <w:rsid w:val="70817BFB"/>
    <w:rsid w:val="7094999A"/>
    <w:rsid w:val="70B9C231"/>
    <w:rsid w:val="70CEDC95"/>
    <w:rsid w:val="70DB8608"/>
    <w:rsid w:val="70E8FEAE"/>
    <w:rsid w:val="70F2EC1D"/>
    <w:rsid w:val="70F78AAC"/>
    <w:rsid w:val="7130B6BF"/>
    <w:rsid w:val="714FF535"/>
    <w:rsid w:val="7169E459"/>
    <w:rsid w:val="716D000C"/>
    <w:rsid w:val="7174FE42"/>
    <w:rsid w:val="7176CD26"/>
    <w:rsid w:val="718B744C"/>
    <w:rsid w:val="7191799D"/>
    <w:rsid w:val="71933A5D"/>
    <w:rsid w:val="719BB423"/>
    <w:rsid w:val="71A1CC7B"/>
    <w:rsid w:val="71B91E58"/>
    <w:rsid w:val="71BE5D74"/>
    <w:rsid w:val="71CAD2B5"/>
    <w:rsid w:val="71D6682D"/>
    <w:rsid w:val="71E63B25"/>
    <w:rsid w:val="71E81966"/>
    <w:rsid w:val="71E841C4"/>
    <w:rsid w:val="71E8F34F"/>
    <w:rsid w:val="71F20080"/>
    <w:rsid w:val="71F365E2"/>
    <w:rsid w:val="71F49895"/>
    <w:rsid w:val="720EE91D"/>
    <w:rsid w:val="7212BDF1"/>
    <w:rsid w:val="7215871E"/>
    <w:rsid w:val="7216D875"/>
    <w:rsid w:val="721A0FB6"/>
    <w:rsid w:val="721D18C8"/>
    <w:rsid w:val="722156DF"/>
    <w:rsid w:val="7229A6C1"/>
    <w:rsid w:val="7248588D"/>
    <w:rsid w:val="7250072C"/>
    <w:rsid w:val="7254B439"/>
    <w:rsid w:val="7270FD4B"/>
    <w:rsid w:val="72747A95"/>
    <w:rsid w:val="72752CE3"/>
    <w:rsid w:val="727CFCC8"/>
    <w:rsid w:val="727EB031"/>
    <w:rsid w:val="728B17E2"/>
    <w:rsid w:val="7296C4AC"/>
    <w:rsid w:val="729AAC64"/>
    <w:rsid w:val="729E3EE6"/>
    <w:rsid w:val="72A2A3D2"/>
    <w:rsid w:val="72A900FE"/>
    <w:rsid w:val="72C6B843"/>
    <w:rsid w:val="72C934D2"/>
    <w:rsid w:val="72D08D5F"/>
    <w:rsid w:val="72E944E6"/>
    <w:rsid w:val="72EAEDCC"/>
    <w:rsid w:val="72EE9E79"/>
    <w:rsid w:val="72F5B08A"/>
    <w:rsid w:val="72F9F526"/>
    <w:rsid w:val="73031BC2"/>
    <w:rsid w:val="730DDBB0"/>
    <w:rsid w:val="730E6CB6"/>
    <w:rsid w:val="731C8056"/>
    <w:rsid w:val="7332917B"/>
    <w:rsid w:val="734C73D5"/>
    <w:rsid w:val="735F84B0"/>
    <w:rsid w:val="736ABCCE"/>
    <w:rsid w:val="736C1EBF"/>
    <w:rsid w:val="7375267A"/>
    <w:rsid w:val="738358A5"/>
    <w:rsid w:val="7394BFCF"/>
    <w:rsid w:val="739DBBB2"/>
    <w:rsid w:val="73AC8E75"/>
    <w:rsid w:val="73C6A597"/>
    <w:rsid w:val="73D87CE6"/>
    <w:rsid w:val="73DC029C"/>
    <w:rsid w:val="73E522FB"/>
    <w:rsid w:val="73EB8915"/>
    <w:rsid w:val="73ED2580"/>
    <w:rsid w:val="7406091E"/>
    <w:rsid w:val="7418E223"/>
    <w:rsid w:val="74225459"/>
    <w:rsid w:val="742F7E8F"/>
    <w:rsid w:val="74350B86"/>
    <w:rsid w:val="7441AD10"/>
    <w:rsid w:val="74425F38"/>
    <w:rsid w:val="744D90E5"/>
    <w:rsid w:val="74549513"/>
    <w:rsid w:val="7454EE5A"/>
    <w:rsid w:val="745F460F"/>
    <w:rsid w:val="7462F9F3"/>
    <w:rsid w:val="746A9388"/>
    <w:rsid w:val="7474107C"/>
    <w:rsid w:val="7480EB50"/>
    <w:rsid w:val="7491D533"/>
    <w:rsid w:val="74B8A2E1"/>
    <w:rsid w:val="74B8B364"/>
    <w:rsid w:val="74D2027F"/>
    <w:rsid w:val="74D393FD"/>
    <w:rsid w:val="74DE0F43"/>
    <w:rsid w:val="74E7C102"/>
    <w:rsid w:val="74F61EE1"/>
    <w:rsid w:val="75074F88"/>
    <w:rsid w:val="751F7F2A"/>
    <w:rsid w:val="75220462"/>
    <w:rsid w:val="7525E8B9"/>
    <w:rsid w:val="752859AA"/>
    <w:rsid w:val="752C3BC0"/>
    <w:rsid w:val="752E5510"/>
    <w:rsid w:val="7531FA64"/>
    <w:rsid w:val="754FE02D"/>
    <w:rsid w:val="755A6A4E"/>
    <w:rsid w:val="75693010"/>
    <w:rsid w:val="75699874"/>
    <w:rsid w:val="7571F51B"/>
    <w:rsid w:val="7572F4E1"/>
    <w:rsid w:val="7575BAA5"/>
    <w:rsid w:val="7576BC52"/>
    <w:rsid w:val="75791675"/>
    <w:rsid w:val="757F5DB8"/>
    <w:rsid w:val="7588EEBF"/>
    <w:rsid w:val="7591F6B5"/>
    <w:rsid w:val="75920A52"/>
    <w:rsid w:val="7593C2A6"/>
    <w:rsid w:val="75ABFBC9"/>
    <w:rsid w:val="75D0DFFA"/>
    <w:rsid w:val="75E7C416"/>
    <w:rsid w:val="76012F00"/>
    <w:rsid w:val="76096AE0"/>
    <w:rsid w:val="760AD7A4"/>
    <w:rsid w:val="7616EEE3"/>
    <w:rsid w:val="76173700"/>
    <w:rsid w:val="761DDC10"/>
    <w:rsid w:val="762E4C90"/>
    <w:rsid w:val="7637301F"/>
    <w:rsid w:val="76387379"/>
    <w:rsid w:val="764B3F6A"/>
    <w:rsid w:val="764D9431"/>
    <w:rsid w:val="76562D47"/>
    <w:rsid w:val="765D4240"/>
    <w:rsid w:val="7664DA1D"/>
    <w:rsid w:val="7678151F"/>
    <w:rsid w:val="769640AA"/>
    <w:rsid w:val="769CE506"/>
    <w:rsid w:val="769D98B9"/>
    <w:rsid w:val="76A14B64"/>
    <w:rsid w:val="76AE0CF3"/>
    <w:rsid w:val="76E6AF9E"/>
    <w:rsid w:val="76EC8CA8"/>
    <w:rsid w:val="7706B73F"/>
    <w:rsid w:val="7710AD69"/>
    <w:rsid w:val="77136B5C"/>
    <w:rsid w:val="771F053E"/>
    <w:rsid w:val="7724F546"/>
    <w:rsid w:val="773A2FD2"/>
    <w:rsid w:val="773F0A88"/>
    <w:rsid w:val="774C12CB"/>
    <w:rsid w:val="77595043"/>
    <w:rsid w:val="775FEDA1"/>
    <w:rsid w:val="7761C063"/>
    <w:rsid w:val="777BA428"/>
    <w:rsid w:val="777D23B1"/>
    <w:rsid w:val="77838EEC"/>
    <w:rsid w:val="77853577"/>
    <w:rsid w:val="77879882"/>
    <w:rsid w:val="779FB5AE"/>
    <w:rsid w:val="77B72D54"/>
    <w:rsid w:val="77C4496F"/>
    <w:rsid w:val="77C6C2E8"/>
    <w:rsid w:val="77D4EC2D"/>
    <w:rsid w:val="77D7C918"/>
    <w:rsid w:val="77E1E1D8"/>
    <w:rsid w:val="77F06001"/>
    <w:rsid w:val="77F1499A"/>
    <w:rsid w:val="781095C7"/>
    <w:rsid w:val="7812ED13"/>
    <w:rsid w:val="781B5B01"/>
    <w:rsid w:val="78248847"/>
    <w:rsid w:val="784C7319"/>
    <w:rsid w:val="7865E271"/>
    <w:rsid w:val="78805725"/>
    <w:rsid w:val="788E9654"/>
    <w:rsid w:val="78A2E3FE"/>
    <w:rsid w:val="78A7B9B1"/>
    <w:rsid w:val="78BA6266"/>
    <w:rsid w:val="78BB5570"/>
    <w:rsid w:val="78BDA39B"/>
    <w:rsid w:val="78CBEEF3"/>
    <w:rsid w:val="78D51F51"/>
    <w:rsid w:val="78F192E2"/>
    <w:rsid w:val="78F3C38F"/>
    <w:rsid w:val="790455DB"/>
    <w:rsid w:val="79088A3C"/>
    <w:rsid w:val="791F5216"/>
    <w:rsid w:val="792CACF2"/>
    <w:rsid w:val="7935E089"/>
    <w:rsid w:val="79551080"/>
    <w:rsid w:val="7957524F"/>
    <w:rsid w:val="795ED90C"/>
    <w:rsid w:val="796151FD"/>
    <w:rsid w:val="796B8E39"/>
    <w:rsid w:val="7975017D"/>
    <w:rsid w:val="79766FEA"/>
    <w:rsid w:val="797928A5"/>
    <w:rsid w:val="797AA157"/>
    <w:rsid w:val="798AE465"/>
    <w:rsid w:val="799C3D5E"/>
    <w:rsid w:val="79AB7BE1"/>
    <w:rsid w:val="79AC7AFD"/>
    <w:rsid w:val="79B403FF"/>
    <w:rsid w:val="79C3C7E2"/>
    <w:rsid w:val="79DDFE29"/>
    <w:rsid w:val="79E6688B"/>
    <w:rsid w:val="79E8D9A1"/>
    <w:rsid w:val="79EED683"/>
    <w:rsid w:val="79F5F291"/>
    <w:rsid w:val="79F83CE9"/>
    <w:rsid w:val="7A16FBB7"/>
    <w:rsid w:val="7A27169D"/>
    <w:rsid w:val="7A4D7AA0"/>
    <w:rsid w:val="7A5528DD"/>
    <w:rsid w:val="7A705DBC"/>
    <w:rsid w:val="7A7A8D05"/>
    <w:rsid w:val="7A8B28D9"/>
    <w:rsid w:val="7A9CB9C8"/>
    <w:rsid w:val="7AA30051"/>
    <w:rsid w:val="7AA74EA6"/>
    <w:rsid w:val="7AAA3EB2"/>
    <w:rsid w:val="7AAB7B74"/>
    <w:rsid w:val="7AADEAC6"/>
    <w:rsid w:val="7AAF0FD4"/>
    <w:rsid w:val="7AB04B86"/>
    <w:rsid w:val="7ABA1BF0"/>
    <w:rsid w:val="7AC1C6BE"/>
    <w:rsid w:val="7AC779F1"/>
    <w:rsid w:val="7AC8CAB4"/>
    <w:rsid w:val="7ACECBA4"/>
    <w:rsid w:val="7AD5AE5F"/>
    <w:rsid w:val="7AEE5369"/>
    <w:rsid w:val="7AF73023"/>
    <w:rsid w:val="7AFDB7F7"/>
    <w:rsid w:val="7AFFF7AE"/>
    <w:rsid w:val="7B07F3D5"/>
    <w:rsid w:val="7B07FBD9"/>
    <w:rsid w:val="7B0D0E29"/>
    <w:rsid w:val="7B30DB66"/>
    <w:rsid w:val="7B338874"/>
    <w:rsid w:val="7B3BEC8A"/>
    <w:rsid w:val="7B4E1F69"/>
    <w:rsid w:val="7B592BBC"/>
    <w:rsid w:val="7B62D7AC"/>
    <w:rsid w:val="7B7197D4"/>
    <w:rsid w:val="7BA22342"/>
    <w:rsid w:val="7BA5809E"/>
    <w:rsid w:val="7BB2678D"/>
    <w:rsid w:val="7BC09AC0"/>
    <w:rsid w:val="7BDF9671"/>
    <w:rsid w:val="7C08C1C4"/>
    <w:rsid w:val="7C136D4D"/>
    <w:rsid w:val="7C2779A3"/>
    <w:rsid w:val="7C2C5272"/>
    <w:rsid w:val="7C3D9089"/>
    <w:rsid w:val="7C4A9583"/>
    <w:rsid w:val="7C4D0FEB"/>
    <w:rsid w:val="7C57DA63"/>
    <w:rsid w:val="7C5AA4EF"/>
    <w:rsid w:val="7C5D13F7"/>
    <w:rsid w:val="7C64E840"/>
    <w:rsid w:val="7C67AE86"/>
    <w:rsid w:val="7C6981F0"/>
    <w:rsid w:val="7C77A463"/>
    <w:rsid w:val="7C8AD5E5"/>
    <w:rsid w:val="7C8FE020"/>
    <w:rsid w:val="7CA1B7C5"/>
    <w:rsid w:val="7CA2D016"/>
    <w:rsid w:val="7CA75A1E"/>
    <w:rsid w:val="7CB16AB6"/>
    <w:rsid w:val="7CBE1525"/>
    <w:rsid w:val="7CC456F6"/>
    <w:rsid w:val="7CCB8D7C"/>
    <w:rsid w:val="7CCEB7A0"/>
    <w:rsid w:val="7CE65120"/>
    <w:rsid w:val="7CF7B0EC"/>
    <w:rsid w:val="7D07CB65"/>
    <w:rsid w:val="7D0BDEB2"/>
    <w:rsid w:val="7D0CB05A"/>
    <w:rsid w:val="7D0F3B34"/>
    <w:rsid w:val="7D14804B"/>
    <w:rsid w:val="7D1F1356"/>
    <w:rsid w:val="7D242415"/>
    <w:rsid w:val="7D3ABF00"/>
    <w:rsid w:val="7D3DB0AB"/>
    <w:rsid w:val="7D459FB2"/>
    <w:rsid w:val="7D4A94FD"/>
    <w:rsid w:val="7D56A4EB"/>
    <w:rsid w:val="7D64C465"/>
    <w:rsid w:val="7D682337"/>
    <w:rsid w:val="7D739B50"/>
    <w:rsid w:val="7D791601"/>
    <w:rsid w:val="7D8E71D4"/>
    <w:rsid w:val="7DA4CB26"/>
    <w:rsid w:val="7DAC57CB"/>
    <w:rsid w:val="7DB74D1C"/>
    <w:rsid w:val="7DC1C51A"/>
    <w:rsid w:val="7DC405A9"/>
    <w:rsid w:val="7DC8AE87"/>
    <w:rsid w:val="7DD39003"/>
    <w:rsid w:val="7DD6EB5A"/>
    <w:rsid w:val="7DD7D2AC"/>
    <w:rsid w:val="7DDB30A1"/>
    <w:rsid w:val="7DE1FEAB"/>
    <w:rsid w:val="7DE39AF1"/>
    <w:rsid w:val="7DFB288F"/>
    <w:rsid w:val="7E18E1AF"/>
    <w:rsid w:val="7E2E7E84"/>
    <w:rsid w:val="7E3B1B40"/>
    <w:rsid w:val="7E57C33C"/>
    <w:rsid w:val="7E71CACE"/>
    <w:rsid w:val="7E72F17D"/>
    <w:rsid w:val="7E7F3FA4"/>
    <w:rsid w:val="7E89D937"/>
    <w:rsid w:val="7E8F5DA5"/>
    <w:rsid w:val="7E94F520"/>
    <w:rsid w:val="7EA535CE"/>
    <w:rsid w:val="7EB903DD"/>
    <w:rsid w:val="7ECF6589"/>
    <w:rsid w:val="7ED20DE7"/>
    <w:rsid w:val="7ED85363"/>
    <w:rsid w:val="7F03FB76"/>
    <w:rsid w:val="7F0F2538"/>
    <w:rsid w:val="7F11030D"/>
    <w:rsid w:val="7F17A1E7"/>
    <w:rsid w:val="7F31AC06"/>
    <w:rsid w:val="7F345B67"/>
    <w:rsid w:val="7F3B2799"/>
    <w:rsid w:val="7F3EB836"/>
    <w:rsid w:val="7F45788A"/>
    <w:rsid w:val="7F69571F"/>
    <w:rsid w:val="7F69BC12"/>
    <w:rsid w:val="7F6C93FF"/>
    <w:rsid w:val="7F81A470"/>
    <w:rsid w:val="7F8BDCEF"/>
    <w:rsid w:val="7F95596A"/>
    <w:rsid w:val="7F96C4BF"/>
    <w:rsid w:val="7FA3DB05"/>
    <w:rsid w:val="7FA7D955"/>
    <w:rsid w:val="7FABEA7F"/>
    <w:rsid w:val="7FB00F13"/>
    <w:rsid w:val="7FB1CD0D"/>
    <w:rsid w:val="7FB81016"/>
    <w:rsid w:val="7FC5962A"/>
    <w:rsid w:val="7FF3FEBA"/>
    <w:rsid w:val="7FFFE68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BBFCFA8"/>
  <w15:chartTrackingRefBased/>
  <w15:docId w15:val="{4F6F91C8-4A92-4AA1-8C24-1A3E54A4A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D6B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D6B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6B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6B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D6B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6B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6B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6B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6B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6B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6B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6B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6B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6B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6B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6B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6B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6B2D"/>
    <w:rPr>
      <w:rFonts w:eastAsiaTheme="majorEastAsia" w:cstheme="majorBidi"/>
      <w:color w:val="272727" w:themeColor="text1" w:themeTint="D8"/>
    </w:rPr>
  </w:style>
  <w:style w:type="paragraph" w:styleId="Title">
    <w:name w:val="Title"/>
    <w:basedOn w:val="Normal"/>
    <w:next w:val="Normal"/>
    <w:link w:val="TitleChar"/>
    <w:uiPriority w:val="10"/>
    <w:qFormat/>
    <w:rsid w:val="009D6B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6B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6B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6B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6B2D"/>
    <w:pPr>
      <w:spacing w:before="160"/>
      <w:jc w:val="center"/>
    </w:pPr>
    <w:rPr>
      <w:i/>
      <w:iCs/>
      <w:color w:val="404040" w:themeColor="text1" w:themeTint="BF"/>
    </w:rPr>
  </w:style>
  <w:style w:type="character" w:customStyle="1" w:styleId="QuoteChar">
    <w:name w:val="Quote Char"/>
    <w:basedOn w:val="DefaultParagraphFont"/>
    <w:link w:val="Quote"/>
    <w:uiPriority w:val="29"/>
    <w:rsid w:val="009D6B2D"/>
    <w:rPr>
      <w:i/>
      <w:iCs/>
      <w:color w:val="404040" w:themeColor="text1" w:themeTint="BF"/>
    </w:rPr>
  </w:style>
  <w:style w:type="paragraph" w:styleId="ListParagraph">
    <w:name w:val="List Paragraph"/>
    <w:aliases w:val="List1,List11,OM numbered bullets,1st level - Bullet List Paragraph,Lettre d'introduction,Normal bullet 2,Bullet list,Listenabsatz1,Table of contents numbered,F5 List Paragraph,Paragraph,Bullet EY,List Paragraph11,Normal bullet 21,Bullet,b"/>
    <w:basedOn w:val="Normal"/>
    <w:link w:val="ListParagraphChar"/>
    <w:uiPriority w:val="34"/>
    <w:qFormat/>
    <w:rsid w:val="009D6B2D"/>
    <w:pPr>
      <w:ind w:left="720"/>
      <w:contextualSpacing/>
    </w:pPr>
  </w:style>
  <w:style w:type="character" w:styleId="IntenseEmphasis">
    <w:name w:val="Intense Emphasis"/>
    <w:basedOn w:val="DefaultParagraphFont"/>
    <w:uiPriority w:val="21"/>
    <w:qFormat/>
    <w:rsid w:val="009D6B2D"/>
    <w:rPr>
      <w:i/>
      <w:iCs/>
      <w:color w:val="0F4761" w:themeColor="accent1" w:themeShade="BF"/>
    </w:rPr>
  </w:style>
  <w:style w:type="paragraph" w:styleId="IntenseQuote">
    <w:name w:val="Intense Quote"/>
    <w:basedOn w:val="Normal"/>
    <w:next w:val="Normal"/>
    <w:link w:val="IntenseQuoteChar"/>
    <w:uiPriority w:val="30"/>
    <w:qFormat/>
    <w:rsid w:val="009D6B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6B2D"/>
    <w:rPr>
      <w:i/>
      <w:iCs/>
      <w:color w:val="0F4761" w:themeColor="accent1" w:themeShade="BF"/>
    </w:rPr>
  </w:style>
  <w:style w:type="character" w:styleId="IntenseReference">
    <w:name w:val="Intense Reference"/>
    <w:basedOn w:val="DefaultParagraphFont"/>
    <w:uiPriority w:val="32"/>
    <w:qFormat/>
    <w:rsid w:val="009D6B2D"/>
    <w:rPr>
      <w:b/>
      <w:bCs/>
      <w:smallCaps/>
      <w:color w:val="0F4761" w:themeColor="accent1" w:themeShade="BF"/>
      <w:spacing w:val="5"/>
    </w:rPr>
  </w:style>
  <w:style w:type="character" w:customStyle="1" w:styleId="Marker">
    <w:name w:val="Marker"/>
    <w:basedOn w:val="DefaultParagraphFont"/>
    <w:rsid w:val="009D6B2D"/>
    <w:rPr>
      <w:color w:val="0000FF"/>
      <w:shd w:val="clear" w:color="auto" w:fill="auto"/>
    </w:rPr>
  </w:style>
  <w:style w:type="paragraph" w:styleId="Header">
    <w:name w:val="header"/>
    <w:basedOn w:val="Normal"/>
    <w:link w:val="HeaderChar"/>
    <w:uiPriority w:val="99"/>
    <w:unhideWhenUsed/>
    <w:rsid w:val="009D6B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6B2D"/>
  </w:style>
  <w:style w:type="paragraph" w:styleId="Footer">
    <w:name w:val="footer"/>
    <w:basedOn w:val="Normal"/>
    <w:link w:val="FooterChar"/>
    <w:uiPriority w:val="99"/>
    <w:unhideWhenUsed/>
    <w:rsid w:val="009D6B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6B2D"/>
  </w:style>
  <w:style w:type="paragraph" w:customStyle="1" w:styleId="Pagedecouverture">
    <w:name w:val="Page de couverture"/>
    <w:basedOn w:val="Normal"/>
    <w:next w:val="Normal"/>
    <w:rsid w:val="009D6B2D"/>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9D6B2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9D6B2D"/>
    <w:rPr>
      <w:rFonts w:ascii="Times New Roman" w:hAnsi="Times New Roman" w:cs="Times New Roman"/>
      <w:sz w:val="24"/>
    </w:rPr>
  </w:style>
  <w:style w:type="paragraph" w:customStyle="1" w:styleId="FooterSensitivity">
    <w:name w:val="Footer Sensitivity"/>
    <w:basedOn w:val="Normal"/>
    <w:link w:val="FooterSensitivityChar"/>
    <w:rsid w:val="009D6B2D"/>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9D6B2D"/>
    <w:rPr>
      <w:rFonts w:ascii="Times New Roman" w:hAnsi="Times New Roman" w:cs="Times New Roman"/>
      <w:b/>
      <w:sz w:val="32"/>
    </w:rPr>
  </w:style>
  <w:style w:type="paragraph" w:customStyle="1" w:styleId="HeaderCoverPage">
    <w:name w:val="Header Cover Page"/>
    <w:basedOn w:val="Normal"/>
    <w:link w:val="HeaderCoverPageChar"/>
    <w:rsid w:val="009D6B2D"/>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9D6B2D"/>
    <w:rPr>
      <w:rFonts w:ascii="Times New Roman" w:hAnsi="Times New Roman" w:cs="Times New Roman"/>
      <w:sz w:val="24"/>
    </w:rPr>
  </w:style>
  <w:style w:type="paragraph" w:customStyle="1" w:styleId="HeaderSensitivity">
    <w:name w:val="Header Sensitivity"/>
    <w:basedOn w:val="Normal"/>
    <w:link w:val="HeaderSensitivityChar"/>
    <w:rsid w:val="009D6B2D"/>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9D6B2D"/>
    <w:rPr>
      <w:rFonts w:ascii="Times New Roman" w:hAnsi="Times New Roman" w:cs="Times New Roman"/>
      <w:b/>
      <w:sz w:val="32"/>
    </w:rPr>
  </w:style>
  <w:style w:type="paragraph" w:customStyle="1" w:styleId="HeaderSensitivityRight">
    <w:name w:val="Header Sensitivity Right"/>
    <w:basedOn w:val="Normal"/>
    <w:link w:val="HeaderSensitivityRightChar"/>
    <w:rsid w:val="00687B5B"/>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9D6B2D"/>
    <w:rPr>
      <w:rFonts w:ascii="Times New Roman" w:hAnsi="Times New Roman" w:cs="Times New Roman"/>
      <w:sz w:val="28"/>
    </w:rPr>
  </w:style>
  <w:style w:type="paragraph" w:styleId="FootnoteText">
    <w:name w:val="footnote text"/>
    <w:basedOn w:val="Normal"/>
    <w:link w:val="FootnoteTextChar"/>
    <w:uiPriority w:val="99"/>
    <w:semiHidden/>
    <w:unhideWhenUsed/>
    <w:rsid w:val="008C543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C543F"/>
    <w:rPr>
      <w:sz w:val="20"/>
      <w:szCs w:val="20"/>
    </w:rPr>
  </w:style>
  <w:style w:type="character" w:styleId="FootnoteReference">
    <w:name w:val="footnote reference"/>
    <w:basedOn w:val="DefaultParagraphFont"/>
    <w:uiPriority w:val="99"/>
    <w:semiHidden/>
    <w:unhideWhenUsed/>
    <w:rsid w:val="008C543F"/>
    <w:rPr>
      <w:vertAlign w:val="superscript"/>
    </w:rPr>
  </w:style>
  <w:style w:type="character" w:styleId="Hyperlink">
    <w:name w:val="Hyperlink"/>
    <w:basedOn w:val="DefaultParagraphFont"/>
    <w:uiPriority w:val="99"/>
    <w:unhideWhenUsed/>
    <w:rsid w:val="008C543F"/>
    <w:rPr>
      <w:color w:val="467886" w:themeColor="hyperlink"/>
      <w:u w:val="single"/>
    </w:rPr>
  </w:style>
  <w:style w:type="character" w:customStyle="1" w:styleId="UnresolvedMention">
    <w:name w:val="Unresolved Mention"/>
    <w:basedOn w:val="DefaultParagraphFont"/>
    <w:uiPriority w:val="99"/>
    <w:semiHidden/>
    <w:unhideWhenUsed/>
    <w:rsid w:val="008C543F"/>
    <w:rPr>
      <w:color w:val="605E5C"/>
      <w:shd w:val="clear" w:color="auto" w:fill="E1DFDD"/>
    </w:rPr>
  </w:style>
  <w:style w:type="character" w:styleId="CommentReference">
    <w:name w:val="annotation reference"/>
    <w:basedOn w:val="DefaultParagraphFont"/>
    <w:uiPriority w:val="99"/>
    <w:semiHidden/>
    <w:unhideWhenUsed/>
    <w:rsid w:val="00905912"/>
    <w:rPr>
      <w:sz w:val="16"/>
      <w:szCs w:val="16"/>
    </w:rPr>
  </w:style>
  <w:style w:type="paragraph" w:styleId="CommentText">
    <w:name w:val="annotation text"/>
    <w:basedOn w:val="Normal"/>
    <w:link w:val="CommentTextChar"/>
    <w:uiPriority w:val="99"/>
    <w:unhideWhenUsed/>
    <w:rsid w:val="00905912"/>
    <w:pPr>
      <w:spacing w:line="240" w:lineRule="auto"/>
    </w:pPr>
    <w:rPr>
      <w:sz w:val="20"/>
      <w:szCs w:val="20"/>
    </w:rPr>
  </w:style>
  <w:style w:type="character" w:customStyle="1" w:styleId="CommentTextChar">
    <w:name w:val="Comment Text Char"/>
    <w:basedOn w:val="DefaultParagraphFont"/>
    <w:link w:val="CommentText"/>
    <w:uiPriority w:val="99"/>
    <w:rsid w:val="00905912"/>
    <w:rPr>
      <w:sz w:val="20"/>
      <w:szCs w:val="20"/>
    </w:rPr>
  </w:style>
  <w:style w:type="paragraph" w:styleId="CommentSubject">
    <w:name w:val="annotation subject"/>
    <w:basedOn w:val="CommentText"/>
    <w:next w:val="CommentText"/>
    <w:link w:val="CommentSubjectChar"/>
    <w:uiPriority w:val="99"/>
    <w:semiHidden/>
    <w:unhideWhenUsed/>
    <w:rsid w:val="00905912"/>
    <w:rPr>
      <w:b/>
      <w:bCs/>
    </w:rPr>
  </w:style>
  <w:style w:type="character" w:customStyle="1" w:styleId="CommentSubjectChar">
    <w:name w:val="Comment Subject Char"/>
    <w:basedOn w:val="CommentTextChar"/>
    <w:link w:val="CommentSubject"/>
    <w:uiPriority w:val="99"/>
    <w:semiHidden/>
    <w:rsid w:val="00905912"/>
    <w:rPr>
      <w:b/>
      <w:bCs/>
      <w:sz w:val="20"/>
      <w:szCs w:val="20"/>
    </w:rPr>
  </w:style>
  <w:style w:type="paragraph" w:styleId="Revision">
    <w:name w:val="Revision"/>
    <w:hidden/>
    <w:uiPriority w:val="99"/>
    <w:semiHidden/>
    <w:rsid w:val="00385411"/>
    <w:pPr>
      <w:spacing w:after="0" w:line="240" w:lineRule="auto"/>
    </w:pPr>
  </w:style>
  <w:style w:type="paragraph" w:styleId="NormalWeb">
    <w:name w:val="Normal (Web)"/>
    <w:basedOn w:val="Normal"/>
    <w:uiPriority w:val="99"/>
    <w:semiHidden/>
    <w:unhideWhenUsed/>
    <w:rsid w:val="00FA4381"/>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471946"/>
    <w:rPr>
      <w:color w:val="96607D" w:themeColor="followedHyperlink"/>
      <w:u w:val="single"/>
    </w:rPr>
  </w:style>
  <w:style w:type="character" w:customStyle="1" w:styleId="Mention">
    <w:name w:val="Mention"/>
    <w:basedOn w:val="DefaultParagraphFont"/>
    <w:uiPriority w:val="99"/>
    <w:unhideWhenUsed/>
    <w:rsid w:val="0027493C"/>
    <w:rPr>
      <w:color w:val="2B579A"/>
      <w:shd w:val="clear" w:color="auto" w:fill="E1DFDD"/>
    </w:rPr>
  </w:style>
  <w:style w:type="character" w:customStyle="1" w:styleId="ListParagraphChar">
    <w:name w:val="List Paragraph Char"/>
    <w:aliases w:val="List1 Char,List11 Char,OM numbered bullets Char,1st level - Bullet List Paragraph Char,Lettre d'introduction Char,Normal bullet 2 Char,Bullet list Char,Listenabsatz1 Char,Table of contents numbered Char,F5 List Paragraph Char,b Char"/>
    <w:link w:val="ListParagraph"/>
    <w:uiPriority w:val="34"/>
    <w:qFormat/>
    <w:rsid w:val="009A7D53"/>
  </w:style>
  <w:style w:type="paragraph" w:styleId="EndnoteText">
    <w:name w:val="endnote text"/>
    <w:basedOn w:val="Normal"/>
    <w:link w:val="EndnoteTextChar"/>
    <w:uiPriority w:val="99"/>
    <w:semiHidden/>
    <w:unhideWhenUsed/>
    <w:rsid w:val="00D918D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918D7"/>
    <w:rPr>
      <w:sz w:val="20"/>
      <w:szCs w:val="20"/>
    </w:rPr>
  </w:style>
  <w:style w:type="character" w:styleId="EndnoteReference">
    <w:name w:val="endnote reference"/>
    <w:basedOn w:val="DefaultParagraphFont"/>
    <w:uiPriority w:val="99"/>
    <w:semiHidden/>
    <w:unhideWhenUsed/>
    <w:rsid w:val="00D918D7"/>
    <w:rPr>
      <w:vertAlign w:val="superscript"/>
    </w:rPr>
  </w:style>
  <w:style w:type="paragraph" w:customStyle="1" w:styleId="Disclaimer">
    <w:name w:val="Disclaimer"/>
    <w:basedOn w:val="Normal"/>
    <w:rsid w:val="00687B5B"/>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rsid w:val="00687B5B"/>
    <w:pPr>
      <w:spacing w:after="0" w:line="276" w:lineRule="auto"/>
      <w:ind w:left="5103"/>
    </w:pPr>
    <w:rPr>
      <w:rFonts w:ascii="Times New Roman" w:hAnsi="Times New Roman" w:cs="Times New Roman"/>
      <w:kern w:val="0"/>
      <w:sz w:val="28"/>
      <w14:ligatures w14:val="none"/>
    </w:rPr>
  </w:style>
  <w:style w:type="paragraph" w:customStyle="1" w:styleId="DateMarking">
    <w:name w:val="DateMarking"/>
    <w:basedOn w:val="Normal"/>
    <w:rsid w:val="00687B5B"/>
    <w:pPr>
      <w:spacing w:after="0" w:line="276" w:lineRule="auto"/>
      <w:ind w:left="5103"/>
    </w:pPr>
    <w:rPr>
      <w:rFonts w:ascii="Times New Roman" w:hAnsi="Times New Roman" w:cs="Times New Roman"/>
      <w:i/>
      <w:kern w:val="0"/>
      <w:sz w:val="28"/>
      <w14:ligatures w14:val="none"/>
    </w:rPr>
  </w:style>
  <w:style w:type="paragraph" w:customStyle="1" w:styleId="ReleasableTo">
    <w:name w:val="ReleasableTo"/>
    <w:basedOn w:val="Normal"/>
    <w:rsid w:val="00687B5B"/>
    <w:pPr>
      <w:spacing w:after="0" w:line="276" w:lineRule="auto"/>
      <w:ind w:left="5103"/>
    </w:pPr>
    <w:rPr>
      <w:rFonts w:ascii="Times New Roman" w:hAnsi="Times New Roman" w:cs="Times New Roman"/>
      <w:i/>
      <w:kern w:val="0"/>
      <w:sz w:val="28"/>
      <w14:ligatures w14:val="none"/>
    </w:rPr>
  </w:style>
  <w:style w:type="paragraph" w:customStyle="1" w:styleId="Times">
    <w:name w:val="Times"/>
    <w:basedOn w:val="FootnoteText"/>
    <w:rsid w:val="000E3801"/>
    <w:pPr>
      <w:jc w:val="both"/>
    </w:pPr>
    <w:rPr>
      <w:rFonts w:ascii="Times New Roman" w:eastAsia="Aptos"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69012">
      <w:bodyDiv w:val="1"/>
      <w:marLeft w:val="0"/>
      <w:marRight w:val="0"/>
      <w:marTop w:val="0"/>
      <w:marBottom w:val="0"/>
      <w:divBdr>
        <w:top w:val="none" w:sz="0" w:space="0" w:color="auto"/>
        <w:left w:val="none" w:sz="0" w:space="0" w:color="auto"/>
        <w:bottom w:val="none" w:sz="0" w:space="0" w:color="auto"/>
        <w:right w:val="none" w:sz="0" w:space="0" w:color="auto"/>
      </w:divBdr>
      <w:divsChild>
        <w:div w:id="862550702">
          <w:marLeft w:val="0"/>
          <w:marRight w:val="0"/>
          <w:marTop w:val="180"/>
          <w:marBottom w:val="240"/>
          <w:divBdr>
            <w:top w:val="none" w:sz="0" w:space="0" w:color="auto"/>
            <w:left w:val="none" w:sz="0" w:space="0" w:color="auto"/>
            <w:bottom w:val="none" w:sz="0" w:space="0" w:color="auto"/>
            <w:right w:val="none" w:sz="0" w:space="0" w:color="auto"/>
          </w:divBdr>
        </w:div>
        <w:div w:id="1833989186">
          <w:marLeft w:val="0"/>
          <w:marRight w:val="0"/>
          <w:marTop w:val="180"/>
          <w:marBottom w:val="240"/>
          <w:divBdr>
            <w:top w:val="none" w:sz="0" w:space="0" w:color="auto"/>
            <w:left w:val="none" w:sz="0" w:space="0" w:color="auto"/>
            <w:bottom w:val="none" w:sz="0" w:space="0" w:color="auto"/>
            <w:right w:val="none" w:sz="0" w:space="0" w:color="auto"/>
          </w:divBdr>
        </w:div>
      </w:divsChild>
    </w:div>
    <w:div w:id="92552094">
      <w:bodyDiv w:val="1"/>
      <w:marLeft w:val="0"/>
      <w:marRight w:val="0"/>
      <w:marTop w:val="0"/>
      <w:marBottom w:val="0"/>
      <w:divBdr>
        <w:top w:val="none" w:sz="0" w:space="0" w:color="auto"/>
        <w:left w:val="none" w:sz="0" w:space="0" w:color="auto"/>
        <w:bottom w:val="none" w:sz="0" w:space="0" w:color="auto"/>
        <w:right w:val="none" w:sz="0" w:space="0" w:color="auto"/>
      </w:divBdr>
      <w:divsChild>
        <w:div w:id="679429117">
          <w:marLeft w:val="0"/>
          <w:marRight w:val="0"/>
          <w:marTop w:val="0"/>
          <w:marBottom w:val="240"/>
          <w:divBdr>
            <w:top w:val="none" w:sz="0" w:space="0" w:color="auto"/>
            <w:left w:val="none" w:sz="0" w:space="0" w:color="auto"/>
            <w:bottom w:val="none" w:sz="0" w:space="0" w:color="auto"/>
            <w:right w:val="none" w:sz="0" w:space="0" w:color="auto"/>
          </w:divBdr>
        </w:div>
        <w:div w:id="1615675743">
          <w:marLeft w:val="0"/>
          <w:marRight w:val="0"/>
          <w:marTop w:val="180"/>
          <w:marBottom w:val="240"/>
          <w:divBdr>
            <w:top w:val="none" w:sz="0" w:space="0" w:color="auto"/>
            <w:left w:val="none" w:sz="0" w:space="0" w:color="auto"/>
            <w:bottom w:val="none" w:sz="0" w:space="0" w:color="auto"/>
            <w:right w:val="none" w:sz="0" w:space="0" w:color="auto"/>
          </w:divBdr>
        </w:div>
      </w:divsChild>
    </w:div>
    <w:div w:id="143275213">
      <w:bodyDiv w:val="1"/>
      <w:marLeft w:val="0"/>
      <w:marRight w:val="0"/>
      <w:marTop w:val="0"/>
      <w:marBottom w:val="0"/>
      <w:divBdr>
        <w:top w:val="none" w:sz="0" w:space="0" w:color="auto"/>
        <w:left w:val="none" w:sz="0" w:space="0" w:color="auto"/>
        <w:bottom w:val="none" w:sz="0" w:space="0" w:color="auto"/>
        <w:right w:val="none" w:sz="0" w:space="0" w:color="auto"/>
      </w:divBdr>
    </w:div>
    <w:div w:id="220992029">
      <w:bodyDiv w:val="1"/>
      <w:marLeft w:val="0"/>
      <w:marRight w:val="0"/>
      <w:marTop w:val="0"/>
      <w:marBottom w:val="0"/>
      <w:divBdr>
        <w:top w:val="none" w:sz="0" w:space="0" w:color="auto"/>
        <w:left w:val="none" w:sz="0" w:space="0" w:color="auto"/>
        <w:bottom w:val="none" w:sz="0" w:space="0" w:color="auto"/>
        <w:right w:val="none" w:sz="0" w:space="0" w:color="auto"/>
      </w:divBdr>
    </w:div>
    <w:div w:id="234367039">
      <w:bodyDiv w:val="1"/>
      <w:marLeft w:val="0"/>
      <w:marRight w:val="0"/>
      <w:marTop w:val="0"/>
      <w:marBottom w:val="0"/>
      <w:divBdr>
        <w:top w:val="none" w:sz="0" w:space="0" w:color="auto"/>
        <w:left w:val="none" w:sz="0" w:space="0" w:color="auto"/>
        <w:bottom w:val="none" w:sz="0" w:space="0" w:color="auto"/>
        <w:right w:val="none" w:sz="0" w:space="0" w:color="auto"/>
      </w:divBdr>
    </w:div>
    <w:div w:id="276984694">
      <w:bodyDiv w:val="1"/>
      <w:marLeft w:val="0"/>
      <w:marRight w:val="0"/>
      <w:marTop w:val="0"/>
      <w:marBottom w:val="0"/>
      <w:divBdr>
        <w:top w:val="none" w:sz="0" w:space="0" w:color="auto"/>
        <w:left w:val="none" w:sz="0" w:space="0" w:color="auto"/>
        <w:bottom w:val="none" w:sz="0" w:space="0" w:color="auto"/>
        <w:right w:val="none" w:sz="0" w:space="0" w:color="auto"/>
      </w:divBdr>
      <w:divsChild>
        <w:div w:id="1888956406">
          <w:marLeft w:val="0"/>
          <w:marRight w:val="0"/>
          <w:marTop w:val="0"/>
          <w:marBottom w:val="0"/>
          <w:divBdr>
            <w:top w:val="none" w:sz="0" w:space="0" w:color="auto"/>
            <w:left w:val="none" w:sz="0" w:space="0" w:color="auto"/>
            <w:bottom w:val="none" w:sz="0" w:space="0" w:color="auto"/>
            <w:right w:val="none" w:sz="0" w:space="0" w:color="auto"/>
          </w:divBdr>
          <w:divsChild>
            <w:div w:id="748530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217983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4643591">
      <w:bodyDiv w:val="1"/>
      <w:marLeft w:val="0"/>
      <w:marRight w:val="0"/>
      <w:marTop w:val="0"/>
      <w:marBottom w:val="0"/>
      <w:divBdr>
        <w:top w:val="none" w:sz="0" w:space="0" w:color="auto"/>
        <w:left w:val="none" w:sz="0" w:space="0" w:color="auto"/>
        <w:bottom w:val="none" w:sz="0" w:space="0" w:color="auto"/>
        <w:right w:val="none" w:sz="0" w:space="0" w:color="auto"/>
      </w:divBdr>
    </w:div>
    <w:div w:id="449206780">
      <w:bodyDiv w:val="1"/>
      <w:marLeft w:val="0"/>
      <w:marRight w:val="0"/>
      <w:marTop w:val="0"/>
      <w:marBottom w:val="0"/>
      <w:divBdr>
        <w:top w:val="none" w:sz="0" w:space="0" w:color="auto"/>
        <w:left w:val="none" w:sz="0" w:space="0" w:color="auto"/>
        <w:bottom w:val="none" w:sz="0" w:space="0" w:color="auto"/>
        <w:right w:val="none" w:sz="0" w:space="0" w:color="auto"/>
      </w:divBdr>
    </w:div>
    <w:div w:id="454754469">
      <w:bodyDiv w:val="1"/>
      <w:marLeft w:val="0"/>
      <w:marRight w:val="0"/>
      <w:marTop w:val="0"/>
      <w:marBottom w:val="0"/>
      <w:divBdr>
        <w:top w:val="none" w:sz="0" w:space="0" w:color="auto"/>
        <w:left w:val="none" w:sz="0" w:space="0" w:color="auto"/>
        <w:bottom w:val="none" w:sz="0" w:space="0" w:color="auto"/>
        <w:right w:val="none" w:sz="0" w:space="0" w:color="auto"/>
      </w:divBdr>
      <w:divsChild>
        <w:div w:id="282883481">
          <w:marLeft w:val="0"/>
          <w:marRight w:val="0"/>
          <w:marTop w:val="0"/>
          <w:marBottom w:val="0"/>
          <w:divBdr>
            <w:top w:val="none" w:sz="0" w:space="0" w:color="auto"/>
            <w:left w:val="none" w:sz="0" w:space="0" w:color="auto"/>
            <w:bottom w:val="none" w:sz="0" w:space="0" w:color="auto"/>
            <w:right w:val="none" w:sz="0" w:space="0" w:color="auto"/>
          </w:divBdr>
          <w:divsChild>
            <w:div w:id="548687364">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279878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829391">
      <w:bodyDiv w:val="1"/>
      <w:marLeft w:val="0"/>
      <w:marRight w:val="0"/>
      <w:marTop w:val="0"/>
      <w:marBottom w:val="0"/>
      <w:divBdr>
        <w:top w:val="none" w:sz="0" w:space="0" w:color="auto"/>
        <w:left w:val="none" w:sz="0" w:space="0" w:color="auto"/>
        <w:bottom w:val="none" w:sz="0" w:space="0" w:color="auto"/>
        <w:right w:val="none" w:sz="0" w:space="0" w:color="auto"/>
      </w:divBdr>
      <w:divsChild>
        <w:div w:id="137844457">
          <w:marLeft w:val="0"/>
          <w:marRight w:val="0"/>
          <w:marTop w:val="180"/>
          <w:marBottom w:val="240"/>
          <w:divBdr>
            <w:top w:val="none" w:sz="0" w:space="0" w:color="auto"/>
            <w:left w:val="none" w:sz="0" w:space="0" w:color="auto"/>
            <w:bottom w:val="none" w:sz="0" w:space="0" w:color="auto"/>
            <w:right w:val="none" w:sz="0" w:space="0" w:color="auto"/>
          </w:divBdr>
        </w:div>
        <w:div w:id="1375888235">
          <w:marLeft w:val="0"/>
          <w:marRight w:val="0"/>
          <w:marTop w:val="180"/>
          <w:marBottom w:val="240"/>
          <w:divBdr>
            <w:top w:val="none" w:sz="0" w:space="0" w:color="auto"/>
            <w:left w:val="none" w:sz="0" w:space="0" w:color="auto"/>
            <w:bottom w:val="none" w:sz="0" w:space="0" w:color="auto"/>
            <w:right w:val="none" w:sz="0" w:space="0" w:color="auto"/>
          </w:divBdr>
        </w:div>
      </w:divsChild>
    </w:div>
    <w:div w:id="517160033">
      <w:bodyDiv w:val="1"/>
      <w:marLeft w:val="0"/>
      <w:marRight w:val="0"/>
      <w:marTop w:val="0"/>
      <w:marBottom w:val="0"/>
      <w:divBdr>
        <w:top w:val="none" w:sz="0" w:space="0" w:color="auto"/>
        <w:left w:val="none" w:sz="0" w:space="0" w:color="auto"/>
        <w:bottom w:val="none" w:sz="0" w:space="0" w:color="auto"/>
        <w:right w:val="none" w:sz="0" w:space="0" w:color="auto"/>
      </w:divBdr>
    </w:div>
    <w:div w:id="558902681">
      <w:bodyDiv w:val="1"/>
      <w:marLeft w:val="0"/>
      <w:marRight w:val="0"/>
      <w:marTop w:val="0"/>
      <w:marBottom w:val="0"/>
      <w:divBdr>
        <w:top w:val="none" w:sz="0" w:space="0" w:color="auto"/>
        <w:left w:val="none" w:sz="0" w:space="0" w:color="auto"/>
        <w:bottom w:val="none" w:sz="0" w:space="0" w:color="auto"/>
        <w:right w:val="none" w:sz="0" w:space="0" w:color="auto"/>
      </w:divBdr>
    </w:div>
    <w:div w:id="561061686">
      <w:bodyDiv w:val="1"/>
      <w:marLeft w:val="0"/>
      <w:marRight w:val="0"/>
      <w:marTop w:val="0"/>
      <w:marBottom w:val="0"/>
      <w:divBdr>
        <w:top w:val="none" w:sz="0" w:space="0" w:color="auto"/>
        <w:left w:val="none" w:sz="0" w:space="0" w:color="auto"/>
        <w:bottom w:val="none" w:sz="0" w:space="0" w:color="auto"/>
        <w:right w:val="none" w:sz="0" w:space="0" w:color="auto"/>
      </w:divBdr>
      <w:divsChild>
        <w:div w:id="134883091">
          <w:marLeft w:val="0"/>
          <w:marRight w:val="0"/>
          <w:marTop w:val="180"/>
          <w:marBottom w:val="240"/>
          <w:divBdr>
            <w:top w:val="none" w:sz="0" w:space="0" w:color="auto"/>
            <w:left w:val="none" w:sz="0" w:space="0" w:color="auto"/>
            <w:bottom w:val="none" w:sz="0" w:space="0" w:color="auto"/>
            <w:right w:val="none" w:sz="0" w:space="0" w:color="auto"/>
          </w:divBdr>
        </w:div>
        <w:div w:id="1298531799">
          <w:marLeft w:val="0"/>
          <w:marRight w:val="0"/>
          <w:marTop w:val="180"/>
          <w:marBottom w:val="240"/>
          <w:divBdr>
            <w:top w:val="none" w:sz="0" w:space="0" w:color="auto"/>
            <w:left w:val="none" w:sz="0" w:space="0" w:color="auto"/>
            <w:bottom w:val="none" w:sz="0" w:space="0" w:color="auto"/>
            <w:right w:val="none" w:sz="0" w:space="0" w:color="auto"/>
          </w:divBdr>
        </w:div>
      </w:divsChild>
    </w:div>
    <w:div w:id="595673343">
      <w:bodyDiv w:val="1"/>
      <w:marLeft w:val="0"/>
      <w:marRight w:val="0"/>
      <w:marTop w:val="0"/>
      <w:marBottom w:val="0"/>
      <w:divBdr>
        <w:top w:val="none" w:sz="0" w:space="0" w:color="auto"/>
        <w:left w:val="none" w:sz="0" w:space="0" w:color="auto"/>
        <w:bottom w:val="none" w:sz="0" w:space="0" w:color="auto"/>
        <w:right w:val="none" w:sz="0" w:space="0" w:color="auto"/>
      </w:divBdr>
    </w:div>
    <w:div w:id="608320870">
      <w:bodyDiv w:val="1"/>
      <w:marLeft w:val="0"/>
      <w:marRight w:val="0"/>
      <w:marTop w:val="0"/>
      <w:marBottom w:val="0"/>
      <w:divBdr>
        <w:top w:val="none" w:sz="0" w:space="0" w:color="auto"/>
        <w:left w:val="none" w:sz="0" w:space="0" w:color="auto"/>
        <w:bottom w:val="none" w:sz="0" w:space="0" w:color="auto"/>
        <w:right w:val="none" w:sz="0" w:space="0" w:color="auto"/>
      </w:divBdr>
      <w:divsChild>
        <w:div w:id="1942830876">
          <w:marLeft w:val="0"/>
          <w:marRight w:val="0"/>
          <w:marTop w:val="0"/>
          <w:marBottom w:val="0"/>
          <w:divBdr>
            <w:top w:val="none" w:sz="0" w:space="0" w:color="auto"/>
            <w:left w:val="none" w:sz="0" w:space="0" w:color="auto"/>
            <w:bottom w:val="none" w:sz="0" w:space="0" w:color="auto"/>
            <w:right w:val="none" w:sz="0" w:space="0" w:color="auto"/>
          </w:divBdr>
          <w:divsChild>
            <w:div w:id="872231969">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375350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9308157">
      <w:bodyDiv w:val="1"/>
      <w:marLeft w:val="0"/>
      <w:marRight w:val="0"/>
      <w:marTop w:val="0"/>
      <w:marBottom w:val="0"/>
      <w:divBdr>
        <w:top w:val="none" w:sz="0" w:space="0" w:color="auto"/>
        <w:left w:val="none" w:sz="0" w:space="0" w:color="auto"/>
        <w:bottom w:val="none" w:sz="0" w:space="0" w:color="auto"/>
        <w:right w:val="none" w:sz="0" w:space="0" w:color="auto"/>
      </w:divBdr>
      <w:divsChild>
        <w:div w:id="629243724">
          <w:marLeft w:val="0"/>
          <w:marRight w:val="0"/>
          <w:marTop w:val="0"/>
          <w:marBottom w:val="0"/>
          <w:divBdr>
            <w:top w:val="none" w:sz="0" w:space="0" w:color="auto"/>
            <w:left w:val="none" w:sz="0" w:space="0" w:color="auto"/>
            <w:bottom w:val="none" w:sz="0" w:space="0" w:color="auto"/>
            <w:right w:val="none" w:sz="0" w:space="0" w:color="auto"/>
          </w:divBdr>
        </w:div>
        <w:div w:id="1718428592">
          <w:marLeft w:val="0"/>
          <w:marRight w:val="0"/>
          <w:marTop w:val="180"/>
          <w:marBottom w:val="240"/>
          <w:divBdr>
            <w:top w:val="none" w:sz="0" w:space="0" w:color="auto"/>
            <w:left w:val="none" w:sz="0" w:space="0" w:color="auto"/>
            <w:bottom w:val="none" w:sz="0" w:space="0" w:color="auto"/>
            <w:right w:val="none" w:sz="0" w:space="0" w:color="auto"/>
          </w:divBdr>
        </w:div>
      </w:divsChild>
    </w:div>
    <w:div w:id="715810969">
      <w:bodyDiv w:val="1"/>
      <w:marLeft w:val="0"/>
      <w:marRight w:val="0"/>
      <w:marTop w:val="0"/>
      <w:marBottom w:val="0"/>
      <w:divBdr>
        <w:top w:val="none" w:sz="0" w:space="0" w:color="auto"/>
        <w:left w:val="none" w:sz="0" w:space="0" w:color="auto"/>
        <w:bottom w:val="none" w:sz="0" w:space="0" w:color="auto"/>
        <w:right w:val="none" w:sz="0" w:space="0" w:color="auto"/>
      </w:divBdr>
    </w:div>
    <w:div w:id="734209181">
      <w:bodyDiv w:val="1"/>
      <w:marLeft w:val="0"/>
      <w:marRight w:val="0"/>
      <w:marTop w:val="0"/>
      <w:marBottom w:val="0"/>
      <w:divBdr>
        <w:top w:val="none" w:sz="0" w:space="0" w:color="auto"/>
        <w:left w:val="none" w:sz="0" w:space="0" w:color="auto"/>
        <w:bottom w:val="none" w:sz="0" w:space="0" w:color="auto"/>
        <w:right w:val="none" w:sz="0" w:space="0" w:color="auto"/>
      </w:divBdr>
    </w:div>
    <w:div w:id="736512383">
      <w:bodyDiv w:val="1"/>
      <w:marLeft w:val="0"/>
      <w:marRight w:val="0"/>
      <w:marTop w:val="0"/>
      <w:marBottom w:val="0"/>
      <w:divBdr>
        <w:top w:val="none" w:sz="0" w:space="0" w:color="auto"/>
        <w:left w:val="none" w:sz="0" w:space="0" w:color="auto"/>
        <w:bottom w:val="none" w:sz="0" w:space="0" w:color="auto"/>
        <w:right w:val="none" w:sz="0" w:space="0" w:color="auto"/>
      </w:divBdr>
    </w:div>
    <w:div w:id="736973573">
      <w:bodyDiv w:val="1"/>
      <w:marLeft w:val="0"/>
      <w:marRight w:val="0"/>
      <w:marTop w:val="0"/>
      <w:marBottom w:val="0"/>
      <w:divBdr>
        <w:top w:val="none" w:sz="0" w:space="0" w:color="auto"/>
        <w:left w:val="none" w:sz="0" w:space="0" w:color="auto"/>
        <w:bottom w:val="none" w:sz="0" w:space="0" w:color="auto"/>
        <w:right w:val="none" w:sz="0" w:space="0" w:color="auto"/>
      </w:divBdr>
    </w:div>
    <w:div w:id="766661374">
      <w:bodyDiv w:val="1"/>
      <w:marLeft w:val="0"/>
      <w:marRight w:val="0"/>
      <w:marTop w:val="0"/>
      <w:marBottom w:val="0"/>
      <w:divBdr>
        <w:top w:val="none" w:sz="0" w:space="0" w:color="auto"/>
        <w:left w:val="none" w:sz="0" w:space="0" w:color="auto"/>
        <w:bottom w:val="none" w:sz="0" w:space="0" w:color="auto"/>
        <w:right w:val="none" w:sz="0" w:space="0" w:color="auto"/>
      </w:divBdr>
    </w:div>
    <w:div w:id="776947650">
      <w:bodyDiv w:val="1"/>
      <w:marLeft w:val="0"/>
      <w:marRight w:val="0"/>
      <w:marTop w:val="0"/>
      <w:marBottom w:val="0"/>
      <w:divBdr>
        <w:top w:val="none" w:sz="0" w:space="0" w:color="auto"/>
        <w:left w:val="none" w:sz="0" w:space="0" w:color="auto"/>
        <w:bottom w:val="none" w:sz="0" w:space="0" w:color="auto"/>
        <w:right w:val="none" w:sz="0" w:space="0" w:color="auto"/>
      </w:divBdr>
    </w:div>
    <w:div w:id="778449081">
      <w:bodyDiv w:val="1"/>
      <w:marLeft w:val="0"/>
      <w:marRight w:val="0"/>
      <w:marTop w:val="0"/>
      <w:marBottom w:val="0"/>
      <w:divBdr>
        <w:top w:val="none" w:sz="0" w:space="0" w:color="auto"/>
        <w:left w:val="none" w:sz="0" w:space="0" w:color="auto"/>
        <w:bottom w:val="none" w:sz="0" w:space="0" w:color="auto"/>
        <w:right w:val="none" w:sz="0" w:space="0" w:color="auto"/>
      </w:divBdr>
    </w:div>
    <w:div w:id="778835300">
      <w:bodyDiv w:val="1"/>
      <w:marLeft w:val="0"/>
      <w:marRight w:val="0"/>
      <w:marTop w:val="0"/>
      <w:marBottom w:val="0"/>
      <w:divBdr>
        <w:top w:val="none" w:sz="0" w:space="0" w:color="auto"/>
        <w:left w:val="none" w:sz="0" w:space="0" w:color="auto"/>
        <w:bottom w:val="none" w:sz="0" w:space="0" w:color="auto"/>
        <w:right w:val="none" w:sz="0" w:space="0" w:color="auto"/>
      </w:divBdr>
    </w:div>
    <w:div w:id="802164035">
      <w:bodyDiv w:val="1"/>
      <w:marLeft w:val="0"/>
      <w:marRight w:val="0"/>
      <w:marTop w:val="0"/>
      <w:marBottom w:val="0"/>
      <w:divBdr>
        <w:top w:val="none" w:sz="0" w:space="0" w:color="auto"/>
        <w:left w:val="none" w:sz="0" w:space="0" w:color="auto"/>
        <w:bottom w:val="none" w:sz="0" w:space="0" w:color="auto"/>
        <w:right w:val="none" w:sz="0" w:space="0" w:color="auto"/>
      </w:divBdr>
    </w:div>
    <w:div w:id="845100527">
      <w:bodyDiv w:val="1"/>
      <w:marLeft w:val="0"/>
      <w:marRight w:val="0"/>
      <w:marTop w:val="0"/>
      <w:marBottom w:val="0"/>
      <w:divBdr>
        <w:top w:val="none" w:sz="0" w:space="0" w:color="auto"/>
        <w:left w:val="none" w:sz="0" w:space="0" w:color="auto"/>
        <w:bottom w:val="none" w:sz="0" w:space="0" w:color="auto"/>
        <w:right w:val="none" w:sz="0" w:space="0" w:color="auto"/>
      </w:divBdr>
    </w:div>
    <w:div w:id="950822518">
      <w:bodyDiv w:val="1"/>
      <w:marLeft w:val="0"/>
      <w:marRight w:val="0"/>
      <w:marTop w:val="0"/>
      <w:marBottom w:val="0"/>
      <w:divBdr>
        <w:top w:val="none" w:sz="0" w:space="0" w:color="auto"/>
        <w:left w:val="none" w:sz="0" w:space="0" w:color="auto"/>
        <w:bottom w:val="none" w:sz="0" w:space="0" w:color="auto"/>
        <w:right w:val="none" w:sz="0" w:space="0" w:color="auto"/>
      </w:divBdr>
    </w:div>
    <w:div w:id="1009673153">
      <w:bodyDiv w:val="1"/>
      <w:marLeft w:val="0"/>
      <w:marRight w:val="0"/>
      <w:marTop w:val="0"/>
      <w:marBottom w:val="0"/>
      <w:divBdr>
        <w:top w:val="none" w:sz="0" w:space="0" w:color="auto"/>
        <w:left w:val="none" w:sz="0" w:space="0" w:color="auto"/>
        <w:bottom w:val="none" w:sz="0" w:space="0" w:color="auto"/>
        <w:right w:val="none" w:sz="0" w:space="0" w:color="auto"/>
      </w:divBdr>
    </w:div>
    <w:div w:id="1066100299">
      <w:bodyDiv w:val="1"/>
      <w:marLeft w:val="0"/>
      <w:marRight w:val="0"/>
      <w:marTop w:val="0"/>
      <w:marBottom w:val="0"/>
      <w:divBdr>
        <w:top w:val="none" w:sz="0" w:space="0" w:color="auto"/>
        <w:left w:val="none" w:sz="0" w:space="0" w:color="auto"/>
        <w:bottom w:val="none" w:sz="0" w:space="0" w:color="auto"/>
        <w:right w:val="none" w:sz="0" w:space="0" w:color="auto"/>
      </w:divBdr>
    </w:div>
    <w:div w:id="1079017204">
      <w:bodyDiv w:val="1"/>
      <w:marLeft w:val="0"/>
      <w:marRight w:val="0"/>
      <w:marTop w:val="0"/>
      <w:marBottom w:val="0"/>
      <w:divBdr>
        <w:top w:val="none" w:sz="0" w:space="0" w:color="auto"/>
        <w:left w:val="none" w:sz="0" w:space="0" w:color="auto"/>
        <w:bottom w:val="none" w:sz="0" w:space="0" w:color="auto"/>
        <w:right w:val="none" w:sz="0" w:space="0" w:color="auto"/>
      </w:divBdr>
    </w:div>
    <w:div w:id="1086000006">
      <w:bodyDiv w:val="1"/>
      <w:marLeft w:val="0"/>
      <w:marRight w:val="0"/>
      <w:marTop w:val="0"/>
      <w:marBottom w:val="0"/>
      <w:divBdr>
        <w:top w:val="none" w:sz="0" w:space="0" w:color="auto"/>
        <w:left w:val="none" w:sz="0" w:space="0" w:color="auto"/>
        <w:bottom w:val="none" w:sz="0" w:space="0" w:color="auto"/>
        <w:right w:val="none" w:sz="0" w:space="0" w:color="auto"/>
      </w:divBdr>
      <w:divsChild>
        <w:div w:id="473572770">
          <w:marLeft w:val="0"/>
          <w:marRight w:val="0"/>
          <w:marTop w:val="180"/>
          <w:marBottom w:val="240"/>
          <w:divBdr>
            <w:top w:val="none" w:sz="0" w:space="0" w:color="auto"/>
            <w:left w:val="none" w:sz="0" w:space="0" w:color="auto"/>
            <w:bottom w:val="none" w:sz="0" w:space="0" w:color="auto"/>
            <w:right w:val="none" w:sz="0" w:space="0" w:color="auto"/>
          </w:divBdr>
        </w:div>
        <w:div w:id="519977432">
          <w:marLeft w:val="0"/>
          <w:marRight w:val="0"/>
          <w:marTop w:val="180"/>
          <w:marBottom w:val="240"/>
          <w:divBdr>
            <w:top w:val="none" w:sz="0" w:space="0" w:color="auto"/>
            <w:left w:val="none" w:sz="0" w:space="0" w:color="auto"/>
            <w:bottom w:val="none" w:sz="0" w:space="0" w:color="auto"/>
            <w:right w:val="none" w:sz="0" w:space="0" w:color="auto"/>
          </w:divBdr>
        </w:div>
      </w:divsChild>
    </w:div>
    <w:div w:id="1161116466">
      <w:bodyDiv w:val="1"/>
      <w:marLeft w:val="0"/>
      <w:marRight w:val="0"/>
      <w:marTop w:val="0"/>
      <w:marBottom w:val="0"/>
      <w:divBdr>
        <w:top w:val="none" w:sz="0" w:space="0" w:color="auto"/>
        <w:left w:val="none" w:sz="0" w:space="0" w:color="auto"/>
        <w:bottom w:val="none" w:sz="0" w:space="0" w:color="auto"/>
        <w:right w:val="none" w:sz="0" w:space="0" w:color="auto"/>
      </w:divBdr>
    </w:div>
    <w:div w:id="1251159524">
      <w:bodyDiv w:val="1"/>
      <w:marLeft w:val="0"/>
      <w:marRight w:val="0"/>
      <w:marTop w:val="0"/>
      <w:marBottom w:val="0"/>
      <w:divBdr>
        <w:top w:val="none" w:sz="0" w:space="0" w:color="auto"/>
        <w:left w:val="none" w:sz="0" w:space="0" w:color="auto"/>
        <w:bottom w:val="none" w:sz="0" w:space="0" w:color="auto"/>
        <w:right w:val="none" w:sz="0" w:space="0" w:color="auto"/>
      </w:divBdr>
    </w:div>
    <w:div w:id="1257667810">
      <w:bodyDiv w:val="1"/>
      <w:marLeft w:val="0"/>
      <w:marRight w:val="0"/>
      <w:marTop w:val="0"/>
      <w:marBottom w:val="0"/>
      <w:divBdr>
        <w:top w:val="none" w:sz="0" w:space="0" w:color="auto"/>
        <w:left w:val="none" w:sz="0" w:space="0" w:color="auto"/>
        <w:bottom w:val="none" w:sz="0" w:space="0" w:color="auto"/>
        <w:right w:val="none" w:sz="0" w:space="0" w:color="auto"/>
      </w:divBdr>
    </w:div>
    <w:div w:id="1274557710">
      <w:bodyDiv w:val="1"/>
      <w:marLeft w:val="0"/>
      <w:marRight w:val="0"/>
      <w:marTop w:val="0"/>
      <w:marBottom w:val="0"/>
      <w:divBdr>
        <w:top w:val="none" w:sz="0" w:space="0" w:color="auto"/>
        <w:left w:val="none" w:sz="0" w:space="0" w:color="auto"/>
        <w:bottom w:val="none" w:sz="0" w:space="0" w:color="auto"/>
        <w:right w:val="none" w:sz="0" w:space="0" w:color="auto"/>
      </w:divBdr>
    </w:div>
    <w:div w:id="1305817090">
      <w:bodyDiv w:val="1"/>
      <w:marLeft w:val="0"/>
      <w:marRight w:val="0"/>
      <w:marTop w:val="0"/>
      <w:marBottom w:val="0"/>
      <w:divBdr>
        <w:top w:val="none" w:sz="0" w:space="0" w:color="auto"/>
        <w:left w:val="none" w:sz="0" w:space="0" w:color="auto"/>
        <w:bottom w:val="none" w:sz="0" w:space="0" w:color="auto"/>
        <w:right w:val="none" w:sz="0" w:space="0" w:color="auto"/>
      </w:divBdr>
    </w:div>
    <w:div w:id="1452164822">
      <w:bodyDiv w:val="1"/>
      <w:marLeft w:val="0"/>
      <w:marRight w:val="0"/>
      <w:marTop w:val="0"/>
      <w:marBottom w:val="0"/>
      <w:divBdr>
        <w:top w:val="none" w:sz="0" w:space="0" w:color="auto"/>
        <w:left w:val="none" w:sz="0" w:space="0" w:color="auto"/>
        <w:bottom w:val="none" w:sz="0" w:space="0" w:color="auto"/>
        <w:right w:val="none" w:sz="0" w:space="0" w:color="auto"/>
      </w:divBdr>
    </w:div>
    <w:div w:id="1457984049">
      <w:bodyDiv w:val="1"/>
      <w:marLeft w:val="0"/>
      <w:marRight w:val="0"/>
      <w:marTop w:val="0"/>
      <w:marBottom w:val="0"/>
      <w:divBdr>
        <w:top w:val="none" w:sz="0" w:space="0" w:color="auto"/>
        <w:left w:val="none" w:sz="0" w:space="0" w:color="auto"/>
        <w:bottom w:val="none" w:sz="0" w:space="0" w:color="auto"/>
        <w:right w:val="none" w:sz="0" w:space="0" w:color="auto"/>
      </w:divBdr>
    </w:div>
    <w:div w:id="1495753744">
      <w:bodyDiv w:val="1"/>
      <w:marLeft w:val="0"/>
      <w:marRight w:val="0"/>
      <w:marTop w:val="0"/>
      <w:marBottom w:val="0"/>
      <w:divBdr>
        <w:top w:val="none" w:sz="0" w:space="0" w:color="auto"/>
        <w:left w:val="none" w:sz="0" w:space="0" w:color="auto"/>
        <w:bottom w:val="none" w:sz="0" w:space="0" w:color="auto"/>
        <w:right w:val="none" w:sz="0" w:space="0" w:color="auto"/>
      </w:divBdr>
    </w:div>
    <w:div w:id="1568805467">
      <w:bodyDiv w:val="1"/>
      <w:marLeft w:val="0"/>
      <w:marRight w:val="0"/>
      <w:marTop w:val="0"/>
      <w:marBottom w:val="0"/>
      <w:divBdr>
        <w:top w:val="none" w:sz="0" w:space="0" w:color="auto"/>
        <w:left w:val="none" w:sz="0" w:space="0" w:color="auto"/>
        <w:bottom w:val="none" w:sz="0" w:space="0" w:color="auto"/>
        <w:right w:val="none" w:sz="0" w:space="0" w:color="auto"/>
      </w:divBdr>
      <w:divsChild>
        <w:div w:id="1928269807">
          <w:marLeft w:val="0"/>
          <w:marRight w:val="0"/>
          <w:marTop w:val="180"/>
          <w:marBottom w:val="240"/>
          <w:divBdr>
            <w:top w:val="none" w:sz="0" w:space="0" w:color="auto"/>
            <w:left w:val="none" w:sz="0" w:space="0" w:color="auto"/>
            <w:bottom w:val="none" w:sz="0" w:space="0" w:color="auto"/>
            <w:right w:val="none" w:sz="0" w:space="0" w:color="auto"/>
          </w:divBdr>
        </w:div>
      </w:divsChild>
    </w:div>
    <w:div w:id="1607886455">
      <w:bodyDiv w:val="1"/>
      <w:marLeft w:val="0"/>
      <w:marRight w:val="0"/>
      <w:marTop w:val="0"/>
      <w:marBottom w:val="0"/>
      <w:divBdr>
        <w:top w:val="none" w:sz="0" w:space="0" w:color="auto"/>
        <w:left w:val="none" w:sz="0" w:space="0" w:color="auto"/>
        <w:bottom w:val="none" w:sz="0" w:space="0" w:color="auto"/>
        <w:right w:val="none" w:sz="0" w:space="0" w:color="auto"/>
      </w:divBdr>
    </w:div>
    <w:div w:id="1608345700">
      <w:bodyDiv w:val="1"/>
      <w:marLeft w:val="0"/>
      <w:marRight w:val="0"/>
      <w:marTop w:val="0"/>
      <w:marBottom w:val="0"/>
      <w:divBdr>
        <w:top w:val="none" w:sz="0" w:space="0" w:color="auto"/>
        <w:left w:val="none" w:sz="0" w:space="0" w:color="auto"/>
        <w:bottom w:val="none" w:sz="0" w:space="0" w:color="auto"/>
        <w:right w:val="none" w:sz="0" w:space="0" w:color="auto"/>
      </w:divBdr>
      <w:divsChild>
        <w:div w:id="892346820">
          <w:marLeft w:val="0"/>
          <w:marRight w:val="0"/>
          <w:marTop w:val="0"/>
          <w:marBottom w:val="0"/>
          <w:divBdr>
            <w:top w:val="none" w:sz="0" w:space="0" w:color="auto"/>
            <w:left w:val="none" w:sz="0" w:space="0" w:color="auto"/>
            <w:bottom w:val="none" w:sz="0" w:space="0" w:color="auto"/>
            <w:right w:val="none" w:sz="0" w:space="0" w:color="auto"/>
          </w:divBdr>
        </w:div>
        <w:div w:id="1578905473">
          <w:marLeft w:val="0"/>
          <w:marRight w:val="0"/>
          <w:marTop w:val="180"/>
          <w:marBottom w:val="240"/>
          <w:divBdr>
            <w:top w:val="none" w:sz="0" w:space="0" w:color="auto"/>
            <w:left w:val="none" w:sz="0" w:space="0" w:color="auto"/>
            <w:bottom w:val="none" w:sz="0" w:space="0" w:color="auto"/>
            <w:right w:val="none" w:sz="0" w:space="0" w:color="auto"/>
          </w:divBdr>
        </w:div>
      </w:divsChild>
    </w:div>
    <w:div w:id="1610892708">
      <w:bodyDiv w:val="1"/>
      <w:marLeft w:val="0"/>
      <w:marRight w:val="0"/>
      <w:marTop w:val="0"/>
      <w:marBottom w:val="0"/>
      <w:divBdr>
        <w:top w:val="none" w:sz="0" w:space="0" w:color="auto"/>
        <w:left w:val="none" w:sz="0" w:space="0" w:color="auto"/>
        <w:bottom w:val="none" w:sz="0" w:space="0" w:color="auto"/>
        <w:right w:val="none" w:sz="0" w:space="0" w:color="auto"/>
      </w:divBdr>
      <w:divsChild>
        <w:div w:id="1750544330">
          <w:marLeft w:val="0"/>
          <w:marRight w:val="0"/>
          <w:marTop w:val="180"/>
          <w:marBottom w:val="240"/>
          <w:divBdr>
            <w:top w:val="none" w:sz="0" w:space="0" w:color="auto"/>
            <w:left w:val="none" w:sz="0" w:space="0" w:color="auto"/>
            <w:bottom w:val="none" w:sz="0" w:space="0" w:color="auto"/>
            <w:right w:val="none" w:sz="0" w:space="0" w:color="auto"/>
          </w:divBdr>
        </w:div>
      </w:divsChild>
    </w:div>
    <w:div w:id="1615864423">
      <w:bodyDiv w:val="1"/>
      <w:marLeft w:val="0"/>
      <w:marRight w:val="0"/>
      <w:marTop w:val="0"/>
      <w:marBottom w:val="0"/>
      <w:divBdr>
        <w:top w:val="none" w:sz="0" w:space="0" w:color="auto"/>
        <w:left w:val="none" w:sz="0" w:space="0" w:color="auto"/>
        <w:bottom w:val="none" w:sz="0" w:space="0" w:color="auto"/>
        <w:right w:val="none" w:sz="0" w:space="0" w:color="auto"/>
      </w:divBdr>
    </w:div>
    <w:div w:id="1617523919">
      <w:bodyDiv w:val="1"/>
      <w:marLeft w:val="0"/>
      <w:marRight w:val="0"/>
      <w:marTop w:val="0"/>
      <w:marBottom w:val="0"/>
      <w:divBdr>
        <w:top w:val="none" w:sz="0" w:space="0" w:color="auto"/>
        <w:left w:val="none" w:sz="0" w:space="0" w:color="auto"/>
        <w:bottom w:val="none" w:sz="0" w:space="0" w:color="auto"/>
        <w:right w:val="none" w:sz="0" w:space="0" w:color="auto"/>
      </w:divBdr>
      <w:divsChild>
        <w:div w:id="1385254443">
          <w:marLeft w:val="0"/>
          <w:marRight w:val="0"/>
          <w:marTop w:val="0"/>
          <w:marBottom w:val="0"/>
          <w:divBdr>
            <w:top w:val="none" w:sz="0" w:space="0" w:color="auto"/>
            <w:left w:val="none" w:sz="0" w:space="0" w:color="auto"/>
            <w:bottom w:val="none" w:sz="0" w:space="0" w:color="auto"/>
            <w:right w:val="none" w:sz="0" w:space="0" w:color="auto"/>
          </w:divBdr>
          <w:divsChild>
            <w:div w:id="555506406">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31821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959560">
      <w:bodyDiv w:val="1"/>
      <w:marLeft w:val="0"/>
      <w:marRight w:val="0"/>
      <w:marTop w:val="0"/>
      <w:marBottom w:val="0"/>
      <w:divBdr>
        <w:top w:val="none" w:sz="0" w:space="0" w:color="auto"/>
        <w:left w:val="none" w:sz="0" w:space="0" w:color="auto"/>
        <w:bottom w:val="none" w:sz="0" w:space="0" w:color="auto"/>
        <w:right w:val="none" w:sz="0" w:space="0" w:color="auto"/>
      </w:divBdr>
      <w:divsChild>
        <w:div w:id="42486925">
          <w:marLeft w:val="0"/>
          <w:marRight w:val="0"/>
          <w:marTop w:val="180"/>
          <w:marBottom w:val="240"/>
          <w:divBdr>
            <w:top w:val="none" w:sz="0" w:space="0" w:color="auto"/>
            <w:left w:val="none" w:sz="0" w:space="0" w:color="auto"/>
            <w:bottom w:val="none" w:sz="0" w:space="0" w:color="auto"/>
            <w:right w:val="none" w:sz="0" w:space="0" w:color="auto"/>
          </w:divBdr>
        </w:div>
        <w:div w:id="836578224">
          <w:marLeft w:val="0"/>
          <w:marRight w:val="0"/>
          <w:marTop w:val="180"/>
          <w:marBottom w:val="240"/>
          <w:divBdr>
            <w:top w:val="none" w:sz="0" w:space="0" w:color="auto"/>
            <w:left w:val="none" w:sz="0" w:space="0" w:color="auto"/>
            <w:bottom w:val="none" w:sz="0" w:space="0" w:color="auto"/>
            <w:right w:val="none" w:sz="0" w:space="0" w:color="auto"/>
          </w:divBdr>
        </w:div>
      </w:divsChild>
    </w:div>
    <w:div w:id="1701734872">
      <w:bodyDiv w:val="1"/>
      <w:marLeft w:val="0"/>
      <w:marRight w:val="0"/>
      <w:marTop w:val="0"/>
      <w:marBottom w:val="0"/>
      <w:divBdr>
        <w:top w:val="none" w:sz="0" w:space="0" w:color="auto"/>
        <w:left w:val="none" w:sz="0" w:space="0" w:color="auto"/>
        <w:bottom w:val="none" w:sz="0" w:space="0" w:color="auto"/>
        <w:right w:val="none" w:sz="0" w:space="0" w:color="auto"/>
      </w:divBdr>
    </w:div>
    <w:div w:id="1704549156">
      <w:bodyDiv w:val="1"/>
      <w:marLeft w:val="0"/>
      <w:marRight w:val="0"/>
      <w:marTop w:val="0"/>
      <w:marBottom w:val="0"/>
      <w:divBdr>
        <w:top w:val="none" w:sz="0" w:space="0" w:color="auto"/>
        <w:left w:val="none" w:sz="0" w:space="0" w:color="auto"/>
        <w:bottom w:val="none" w:sz="0" w:space="0" w:color="auto"/>
        <w:right w:val="none" w:sz="0" w:space="0" w:color="auto"/>
      </w:divBdr>
    </w:div>
    <w:div w:id="1717779368">
      <w:bodyDiv w:val="1"/>
      <w:marLeft w:val="0"/>
      <w:marRight w:val="0"/>
      <w:marTop w:val="0"/>
      <w:marBottom w:val="0"/>
      <w:divBdr>
        <w:top w:val="none" w:sz="0" w:space="0" w:color="auto"/>
        <w:left w:val="none" w:sz="0" w:space="0" w:color="auto"/>
        <w:bottom w:val="none" w:sz="0" w:space="0" w:color="auto"/>
        <w:right w:val="none" w:sz="0" w:space="0" w:color="auto"/>
      </w:divBdr>
    </w:div>
    <w:div w:id="1729456901">
      <w:bodyDiv w:val="1"/>
      <w:marLeft w:val="0"/>
      <w:marRight w:val="0"/>
      <w:marTop w:val="0"/>
      <w:marBottom w:val="0"/>
      <w:divBdr>
        <w:top w:val="none" w:sz="0" w:space="0" w:color="auto"/>
        <w:left w:val="none" w:sz="0" w:space="0" w:color="auto"/>
        <w:bottom w:val="none" w:sz="0" w:space="0" w:color="auto"/>
        <w:right w:val="none" w:sz="0" w:space="0" w:color="auto"/>
      </w:divBdr>
    </w:div>
    <w:div w:id="1735544143">
      <w:bodyDiv w:val="1"/>
      <w:marLeft w:val="0"/>
      <w:marRight w:val="0"/>
      <w:marTop w:val="0"/>
      <w:marBottom w:val="0"/>
      <w:divBdr>
        <w:top w:val="none" w:sz="0" w:space="0" w:color="auto"/>
        <w:left w:val="none" w:sz="0" w:space="0" w:color="auto"/>
        <w:bottom w:val="none" w:sz="0" w:space="0" w:color="auto"/>
        <w:right w:val="none" w:sz="0" w:space="0" w:color="auto"/>
      </w:divBdr>
      <w:divsChild>
        <w:div w:id="851072279">
          <w:marLeft w:val="0"/>
          <w:marRight w:val="0"/>
          <w:marTop w:val="180"/>
          <w:marBottom w:val="240"/>
          <w:divBdr>
            <w:top w:val="none" w:sz="0" w:space="0" w:color="auto"/>
            <w:left w:val="none" w:sz="0" w:space="0" w:color="auto"/>
            <w:bottom w:val="none" w:sz="0" w:space="0" w:color="auto"/>
            <w:right w:val="none" w:sz="0" w:space="0" w:color="auto"/>
          </w:divBdr>
        </w:div>
        <w:div w:id="1725786856">
          <w:marLeft w:val="0"/>
          <w:marRight w:val="0"/>
          <w:marTop w:val="180"/>
          <w:marBottom w:val="240"/>
          <w:divBdr>
            <w:top w:val="none" w:sz="0" w:space="0" w:color="auto"/>
            <w:left w:val="none" w:sz="0" w:space="0" w:color="auto"/>
            <w:bottom w:val="none" w:sz="0" w:space="0" w:color="auto"/>
            <w:right w:val="none" w:sz="0" w:space="0" w:color="auto"/>
          </w:divBdr>
        </w:div>
      </w:divsChild>
    </w:div>
    <w:div w:id="1758793918">
      <w:bodyDiv w:val="1"/>
      <w:marLeft w:val="0"/>
      <w:marRight w:val="0"/>
      <w:marTop w:val="0"/>
      <w:marBottom w:val="0"/>
      <w:divBdr>
        <w:top w:val="none" w:sz="0" w:space="0" w:color="auto"/>
        <w:left w:val="none" w:sz="0" w:space="0" w:color="auto"/>
        <w:bottom w:val="none" w:sz="0" w:space="0" w:color="auto"/>
        <w:right w:val="none" w:sz="0" w:space="0" w:color="auto"/>
      </w:divBdr>
    </w:div>
    <w:div w:id="1808088098">
      <w:bodyDiv w:val="1"/>
      <w:marLeft w:val="0"/>
      <w:marRight w:val="0"/>
      <w:marTop w:val="0"/>
      <w:marBottom w:val="0"/>
      <w:divBdr>
        <w:top w:val="none" w:sz="0" w:space="0" w:color="auto"/>
        <w:left w:val="none" w:sz="0" w:space="0" w:color="auto"/>
        <w:bottom w:val="none" w:sz="0" w:space="0" w:color="auto"/>
        <w:right w:val="none" w:sz="0" w:space="0" w:color="auto"/>
      </w:divBdr>
    </w:div>
    <w:div w:id="1815443440">
      <w:bodyDiv w:val="1"/>
      <w:marLeft w:val="0"/>
      <w:marRight w:val="0"/>
      <w:marTop w:val="0"/>
      <w:marBottom w:val="0"/>
      <w:divBdr>
        <w:top w:val="none" w:sz="0" w:space="0" w:color="auto"/>
        <w:left w:val="none" w:sz="0" w:space="0" w:color="auto"/>
        <w:bottom w:val="none" w:sz="0" w:space="0" w:color="auto"/>
        <w:right w:val="none" w:sz="0" w:space="0" w:color="auto"/>
      </w:divBdr>
    </w:div>
    <w:div w:id="1822774729">
      <w:bodyDiv w:val="1"/>
      <w:marLeft w:val="0"/>
      <w:marRight w:val="0"/>
      <w:marTop w:val="0"/>
      <w:marBottom w:val="0"/>
      <w:divBdr>
        <w:top w:val="none" w:sz="0" w:space="0" w:color="auto"/>
        <w:left w:val="none" w:sz="0" w:space="0" w:color="auto"/>
        <w:bottom w:val="none" w:sz="0" w:space="0" w:color="auto"/>
        <w:right w:val="none" w:sz="0" w:space="0" w:color="auto"/>
      </w:divBdr>
    </w:div>
    <w:div w:id="1822885925">
      <w:bodyDiv w:val="1"/>
      <w:marLeft w:val="0"/>
      <w:marRight w:val="0"/>
      <w:marTop w:val="0"/>
      <w:marBottom w:val="0"/>
      <w:divBdr>
        <w:top w:val="none" w:sz="0" w:space="0" w:color="auto"/>
        <w:left w:val="none" w:sz="0" w:space="0" w:color="auto"/>
        <w:bottom w:val="none" w:sz="0" w:space="0" w:color="auto"/>
        <w:right w:val="none" w:sz="0" w:space="0" w:color="auto"/>
      </w:divBdr>
      <w:divsChild>
        <w:div w:id="314797667">
          <w:marLeft w:val="0"/>
          <w:marRight w:val="0"/>
          <w:marTop w:val="180"/>
          <w:marBottom w:val="240"/>
          <w:divBdr>
            <w:top w:val="none" w:sz="0" w:space="0" w:color="auto"/>
            <w:left w:val="none" w:sz="0" w:space="0" w:color="auto"/>
            <w:bottom w:val="none" w:sz="0" w:space="0" w:color="auto"/>
            <w:right w:val="none" w:sz="0" w:space="0" w:color="auto"/>
          </w:divBdr>
        </w:div>
        <w:div w:id="490364775">
          <w:marLeft w:val="0"/>
          <w:marRight w:val="0"/>
          <w:marTop w:val="0"/>
          <w:marBottom w:val="240"/>
          <w:divBdr>
            <w:top w:val="none" w:sz="0" w:space="0" w:color="auto"/>
            <w:left w:val="none" w:sz="0" w:space="0" w:color="auto"/>
            <w:bottom w:val="none" w:sz="0" w:space="0" w:color="auto"/>
            <w:right w:val="none" w:sz="0" w:space="0" w:color="auto"/>
          </w:divBdr>
        </w:div>
      </w:divsChild>
    </w:div>
    <w:div w:id="1834175539">
      <w:bodyDiv w:val="1"/>
      <w:marLeft w:val="0"/>
      <w:marRight w:val="0"/>
      <w:marTop w:val="0"/>
      <w:marBottom w:val="0"/>
      <w:divBdr>
        <w:top w:val="none" w:sz="0" w:space="0" w:color="auto"/>
        <w:left w:val="none" w:sz="0" w:space="0" w:color="auto"/>
        <w:bottom w:val="none" w:sz="0" w:space="0" w:color="auto"/>
        <w:right w:val="none" w:sz="0" w:space="0" w:color="auto"/>
      </w:divBdr>
    </w:div>
    <w:div w:id="1937247049">
      <w:bodyDiv w:val="1"/>
      <w:marLeft w:val="0"/>
      <w:marRight w:val="0"/>
      <w:marTop w:val="0"/>
      <w:marBottom w:val="0"/>
      <w:divBdr>
        <w:top w:val="none" w:sz="0" w:space="0" w:color="auto"/>
        <w:left w:val="none" w:sz="0" w:space="0" w:color="auto"/>
        <w:bottom w:val="none" w:sz="0" w:space="0" w:color="auto"/>
        <w:right w:val="none" w:sz="0" w:space="0" w:color="auto"/>
      </w:divBdr>
    </w:div>
    <w:div w:id="1963147880">
      <w:bodyDiv w:val="1"/>
      <w:marLeft w:val="0"/>
      <w:marRight w:val="0"/>
      <w:marTop w:val="0"/>
      <w:marBottom w:val="0"/>
      <w:divBdr>
        <w:top w:val="none" w:sz="0" w:space="0" w:color="auto"/>
        <w:left w:val="none" w:sz="0" w:space="0" w:color="auto"/>
        <w:bottom w:val="none" w:sz="0" w:space="0" w:color="auto"/>
        <w:right w:val="none" w:sz="0" w:space="0" w:color="auto"/>
      </w:divBdr>
    </w:div>
    <w:div w:id="1978021955">
      <w:bodyDiv w:val="1"/>
      <w:marLeft w:val="0"/>
      <w:marRight w:val="0"/>
      <w:marTop w:val="0"/>
      <w:marBottom w:val="0"/>
      <w:divBdr>
        <w:top w:val="none" w:sz="0" w:space="0" w:color="auto"/>
        <w:left w:val="none" w:sz="0" w:space="0" w:color="auto"/>
        <w:bottom w:val="none" w:sz="0" w:space="0" w:color="auto"/>
        <w:right w:val="none" w:sz="0" w:space="0" w:color="auto"/>
      </w:divBdr>
    </w:div>
    <w:div w:id="1994983962">
      <w:bodyDiv w:val="1"/>
      <w:marLeft w:val="0"/>
      <w:marRight w:val="0"/>
      <w:marTop w:val="0"/>
      <w:marBottom w:val="0"/>
      <w:divBdr>
        <w:top w:val="none" w:sz="0" w:space="0" w:color="auto"/>
        <w:left w:val="none" w:sz="0" w:space="0" w:color="auto"/>
        <w:bottom w:val="none" w:sz="0" w:space="0" w:color="auto"/>
        <w:right w:val="none" w:sz="0" w:space="0" w:color="auto"/>
      </w:divBdr>
    </w:div>
    <w:div w:id="2040886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bankingsupervision.europa.eu/press/pr/date/2025/html/ssm.pr250801~24ec6ae308.en.html" TargetMode="External"/><Relationship Id="rId13" Type="http://schemas.openxmlformats.org/officeDocument/2006/relationships/hyperlink" Target="https://www.bankingsupervision.europa.eu/press/speeches/date/2026/html/ssm.sp260519~eb90c081f4.en.html" TargetMode="External"/><Relationship Id="rId18" Type="http://schemas.openxmlformats.org/officeDocument/2006/relationships/hyperlink" Target="https://www.eba.europa.eu/sites/default/files/document_library/Publications/Reports/2021/1013948/Study%20of%20the%20cost%20of%20compliance%20with%20supervisory%20reporting%20requirement.pdf" TargetMode="External"/><Relationship Id="rId26" Type="http://schemas.openxmlformats.org/officeDocument/2006/relationships/hyperlink" Target="https://www.europarl.europa.eu/doceo/document/TA-10-2026-0159_RO.pdf" TargetMode="External"/><Relationship Id="rId3" Type="http://schemas.openxmlformats.org/officeDocument/2006/relationships/hyperlink" Target="https://commission.europa.eu/topics/competitiveness/draghi-report_en" TargetMode="External"/><Relationship Id="rId21" Type="http://schemas.openxmlformats.org/officeDocument/2006/relationships/hyperlink" Target="https://eur-lex.europa.eu/legal-content/RO/TXT/?uri=CELEX:52025PC0080" TargetMode="External"/><Relationship Id="rId7" Type="http://schemas.openxmlformats.org/officeDocument/2006/relationships/hyperlink" Target="https://www.eba.europa.eu/publications-and-media/press-releases/eba-publishes-results-its-2025-eu-wide-stress-test" TargetMode="External"/><Relationship Id="rId12" Type="http://schemas.openxmlformats.org/officeDocument/2006/relationships/hyperlink" Target="https://www.eba.europa.eu/sites/default/files/2026-06/fa80675a-1caa-4098-822f-511c6fad0616/Report%20on%20simplifying%20the%20stacking%20orders%20of%20the%20EU%20prudential%20and%20resolution%20framework.pdf" TargetMode="External"/><Relationship Id="rId17" Type="http://schemas.openxmlformats.org/officeDocument/2006/relationships/hyperlink" Target="https://www.ecb.europa.eu/press/pubbydate/2025/html/ecb.simplification_supervisory_reporting_framework202512.en.html" TargetMode="External"/><Relationship Id="rId25" Type="http://schemas.openxmlformats.org/officeDocument/2006/relationships/hyperlink" Target="https://www.consilium.europa.eu/media/rdwd5xxo/ro-20260319-european-council-conclusions.pdf" TargetMode="External"/><Relationship Id="rId2" Type="http://schemas.openxmlformats.org/officeDocument/2006/relationships/hyperlink" Target="https://www.consilium.europa.eu/media/ny3j24sm/much-more-than-a-market-report-by-enrico-letta.pdf" TargetMode="External"/><Relationship Id="rId16" Type="http://schemas.openxmlformats.org/officeDocument/2006/relationships/hyperlink" Target="https://www.eba.europa.eu/publications-and-media/press-releases/eba-and-esma-recommend-targeted-revisions-investment-firms-prudential-framework" TargetMode="External"/><Relationship Id="rId20" Type="http://schemas.openxmlformats.org/officeDocument/2006/relationships/hyperlink" Target="http://data.europa.eu/eli/reg/2025/2088/oj" TargetMode="External"/><Relationship Id="rId1" Type="http://schemas.openxmlformats.org/officeDocument/2006/relationships/hyperlink" Target="https://eur-lex.europa.eu/legal-content/RO/TXT/HTML/?uri=CELEX:52025DC0124" TargetMode="External"/><Relationship Id="rId6" Type="http://schemas.openxmlformats.org/officeDocument/2006/relationships/hyperlink" Target="https://commission.europa.eu/law/law-making-process/better-regulation/simplification-implementation-and-enforcement/simpler-clearer-and-better-enforced-eu-rulebook_en" TargetMode="External"/><Relationship Id="rId11" Type="http://schemas.openxmlformats.org/officeDocument/2006/relationships/hyperlink" Target="https://taxation-customs.ec.europa.eu/document/download/10e86b94-8da3-49cf-b224-059ce5cf9bb6_en?filename=Taxation-of-the-financial-sector-Executive-summary_EN.pdf" TargetMode="External"/><Relationship Id="rId24" Type="http://schemas.openxmlformats.org/officeDocument/2006/relationships/hyperlink" Target="https://data.consilium.europa.eu/doc/document/ST-16463-2025-INIT/ro/pdf" TargetMode="External"/><Relationship Id="rId5" Type="http://schemas.openxmlformats.org/officeDocument/2006/relationships/hyperlink" Target="https://data.consilium.europa.eu/doc/document/ST-8473-2026-INIT/ro/pdf" TargetMode="External"/><Relationship Id="rId15" Type="http://schemas.openxmlformats.org/officeDocument/2006/relationships/hyperlink" Target="https://competition-policy.ec.europa.eu/document/download/46dde10f-85c1-4590-a3f4-2b71f85685ef_en?filename=Merger%20Guidelines%20-%20final%20for%20public%20consultation.pdf" TargetMode="External"/><Relationship Id="rId23" Type="http://schemas.openxmlformats.org/officeDocument/2006/relationships/hyperlink" Target="https://www.eba.europa.eu/publications-and-media/publications/efficient-reporting-simpler-smarter-proportionate" TargetMode="External"/><Relationship Id="rId10" Type="http://schemas.openxmlformats.org/officeDocument/2006/relationships/hyperlink" Target="https://www.ecb.europa.eu/press/consultationresponse/pdf/ecb.conresp202604.en.pdf" TargetMode="External"/><Relationship Id="rId19" Type="http://schemas.openxmlformats.org/officeDocument/2006/relationships/hyperlink" Target="https://finance.ec.europa.eu/publications/strategy-supervisory-data-eu-financial-services_en" TargetMode="External"/><Relationship Id="rId4" Type="http://schemas.openxmlformats.org/officeDocument/2006/relationships/hyperlink" Target="https://eur-lex.europa.eu/legal-content/RO/TXT/PDF/?uri=CELEX:52025DC0500" TargetMode="External"/><Relationship Id="rId9" Type="http://schemas.openxmlformats.org/officeDocument/2006/relationships/hyperlink" Target="https://www.ecb.europa.eu/press/consultationresponse/pdf/ecb.conresp202604.en.pdf" TargetMode="External"/><Relationship Id="rId14" Type="http://schemas.openxmlformats.org/officeDocument/2006/relationships/hyperlink" Target="https://www.bankingsupervision.europa.eu/press/speeches/date/2026/html/ssm.sp260519~eb90c081f4.en.html" TargetMode="External"/><Relationship Id="rId22" Type="http://schemas.openxmlformats.org/officeDocument/2006/relationships/hyperlink" Target="https://www.eba.europa.eu/publications-and-media/publications/efficient-reporting-simpler-smarter-proportiona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46BC06-3BD2-4B9D-861D-2378094E02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10369</Words>
  <Characters>59105</Characters>
  <Application>Microsoft Office Word</Application>
  <DocSecurity>0</DocSecurity>
  <Lines>492</Lines>
  <Paragraphs>138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69336</CharactersWithSpaces>
  <SharedDoc>false</SharedDoc>
  <HLinks>
    <vt:vector size="150" baseType="variant">
      <vt:variant>
        <vt:i4>7929863</vt:i4>
      </vt:variant>
      <vt:variant>
        <vt:i4>72</vt:i4>
      </vt:variant>
      <vt:variant>
        <vt:i4>0</vt:i4>
      </vt:variant>
      <vt:variant>
        <vt:i4>5</vt:i4>
      </vt:variant>
      <vt:variant>
        <vt:lpwstr>https://www.europarl.europa.eu/doceo/document/TA-10-2026-0159_EN.pdf</vt:lpwstr>
      </vt:variant>
      <vt:variant>
        <vt:lpwstr/>
      </vt:variant>
      <vt:variant>
        <vt:i4>8257580</vt:i4>
      </vt:variant>
      <vt:variant>
        <vt:i4>69</vt:i4>
      </vt:variant>
      <vt:variant>
        <vt:i4>0</vt:i4>
      </vt:variant>
      <vt:variant>
        <vt:i4>5</vt:i4>
      </vt:variant>
      <vt:variant>
        <vt:lpwstr>https://www.consilium.europa.eu/media/lwhk3itd/en-20260319-european-council-conclusions.pdf</vt:lpwstr>
      </vt:variant>
      <vt:variant>
        <vt:lpwstr/>
      </vt:variant>
      <vt:variant>
        <vt:i4>3801192</vt:i4>
      </vt:variant>
      <vt:variant>
        <vt:i4>66</vt:i4>
      </vt:variant>
      <vt:variant>
        <vt:i4>0</vt:i4>
      </vt:variant>
      <vt:variant>
        <vt:i4>5</vt:i4>
      </vt:variant>
      <vt:variant>
        <vt:lpwstr>https://data.consilium.europa.eu/doc/document/ST-16463-2025-INIT/en/pdf</vt:lpwstr>
      </vt:variant>
      <vt:variant>
        <vt:lpwstr/>
      </vt:variant>
      <vt:variant>
        <vt:i4>6619179</vt:i4>
      </vt:variant>
      <vt:variant>
        <vt:i4>63</vt:i4>
      </vt:variant>
      <vt:variant>
        <vt:i4>0</vt:i4>
      </vt:variant>
      <vt:variant>
        <vt:i4>5</vt:i4>
      </vt:variant>
      <vt:variant>
        <vt:lpwstr>https://www.eba.europa.eu/publications-and-media/publications/efficient-reporting-simpler-smarter-proportionate</vt:lpwstr>
      </vt:variant>
      <vt:variant>
        <vt:lpwstr/>
      </vt:variant>
      <vt:variant>
        <vt:i4>1835025</vt:i4>
      </vt:variant>
      <vt:variant>
        <vt:i4>60</vt:i4>
      </vt:variant>
      <vt:variant>
        <vt:i4>0</vt:i4>
      </vt:variant>
      <vt:variant>
        <vt:i4>5</vt:i4>
      </vt:variant>
      <vt:variant>
        <vt:lpwstr>https://eur-lex.europa.eu/legal-content/EN/TXT/?uri=CELEX:52025PC0080</vt:lpwstr>
      </vt:variant>
      <vt:variant>
        <vt:lpwstr/>
      </vt:variant>
      <vt:variant>
        <vt:i4>6750308</vt:i4>
      </vt:variant>
      <vt:variant>
        <vt:i4>57</vt:i4>
      </vt:variant>
      <vt:variant>
        <vt:i4>0</vt:i4>
      </vt:variant>
      <vt:variant>
        <vt:i4>5</vt:i4>
      </vt:variant>
      <vt:variant>
        <vt:lpwstr>http://data.europa.eu/eli/reg/2025/2088/oj</vt:lpwstr>
      </vt:variant>
      <vt:variant>
        <vt:lpwstr/>
      </vt:variant>
      <vt:variant>
        <vt:i4>2687063</vt:i4>
      </vt:variant>
      <vt:variant>
        <vt:i4>54</vt:i4>
      </vt:variant>
      <vt:variant>
        <vt:i4>0</vt:i4>
      </vt:variant>
      <vt:variant>
        <vt:i4>5</vt:i4>
      </vt:variant>
      <vt:variant>
        <vt:lpwstr>https://finance.ec.europa.eu/publications/strategy-supervisory-data-eu-financial-services_en</vt:lpwstr>
      </vt:variant>
      <vt:variant>
        <vt:lpwstr/>
      </vt:variant>
      <vt:variant>
        <vt:i4>2228227</vt:i4>
      </vt:variant>
      <vt:variant>
        <vt:i4>51</vt:i4>
      </vt:variant>
      <vt:variant>
        <vt:i4>0</vt:i4>
      </vt:variant>
      <vt:variant>
        <vt:i4>5</vt:i4>
      </vt:variant>
      <vt:variant>
        <vt:lpwstr>https://www.eba.europa.eu/sites/default/files/document_library/Publications/Reports/2021/1013948/Study of the cost of compliance with supervisory reporting requirement.pdf</vt:lpwstr>
      </vt:variant>
      <vt:variant>
        <vt:lpwstr/>
      </vt:variant>
      <vt:variant>
        <vt:i4>6094952</vt:i4>
      </vt:variant>
      <vt:variant>
        <vt:i4>48</vt:i4>
      </vt:variant>
      <vt:variant>
        <vt:i4>0</vt:i4>
      </vt:variant>
      <vt:variant>
        <vt:i4>5</vt:i4>
      </vt:variant>
      <vt:variant>
        <vt:lpwstr>https://www.ecb.europa.eu/press/pubbydate/2025/html/ecb.simplification_supervisory_reporting_framework202512.en.html</vt:lpwstr>
      </vt:variant>
      <vt:variant>
        <vt:lpwstr/>
      </vt:variant>
      <vt:variant>
        <vt:i4>3932258</vt:i4>
      </vt:variant>
      <vt:variant>
        <vt:i4>45</vt:i4>
      </vt:variant>
      <vt:variant>
        <vt:i4>0</vt:i4>
      </vt:variant>
      <vt:variant>
        <vt:i4>5</vt:i4>
      </vt:variant>
      <vt:variant>
        <vt:lpwstr>https://www.eba.europa.eu/publications-and-media/press-releases/eba-and-esma-recommend-targeted-revisions-investment-firms-prudential-framework</vt:lpwstr>
      </vt:variant>
      <vt:variant>
        <vt:lpwstr/>
      </vt:variant>
      <vt:variant>
        <vt:i4>5177400</vt:i4>
      </vt:variant>
      <vt:variant>
        <vt:i4>42</vt:i4>
      </vt:variant>
      <vt:variant>
        <vt:i4>0</vt:i4>
      </vt:variant>
      <vt:variant>
        <vt:i4>5</vt:i4>
      </vt:variant>
      <vt:variant>
        <vt:lpwstr>https://competition-policy.ec.europa.eu/document/download/46dde10f-85c1-4590-a3f4-2b71f85685ef_en?filename=Merger%20Guidelines%20-%20final%20for%20public%20consultation.pdf</vt:lpwstr>
      </vt:variant>
      <vt:variant>
        <vt:lpwstr/>
      </vt:variant>
      <vt:variant>
        <vt:i4>7405607</vt:i4>
      </vt:variant>
      <vt:variant>
        <vt:i4>39</vt:i4>
      </vt:variant>
      <vt:variant>
        <vt:i4>0</vt:i4>
      </vt:variant>
      <vt:variant>
        <vt:i4>5</vt:i4>
      </vt:variant>
      <vt:variant>
        <vt:lpwstr>https://www.bankingsupervision.europa.eu/press/speeches/date/2026/html/ssm.sp260519~eb90c081f4.en.html</vt:lpwstr>
      </vt:variant>
      <vt:variant>
        <vt:lpwstr/>
      </vt:variant>
      <vt:variant>
        <vt:i4>6881316</vt:i4>
      </vt:variant>
      <vt:variant>
        <vt:i4>36</vt:i4>
      </vt:variant>
      <vt:variant>
        <vt:i4>0</vt:i4>
      </vt:variant>
      <vt:variant>
        <vt:i4>5</vt:i4>
      </vt:variant>
      <vt:variant>
        <vt:lpwstr>https://www.eba.europa.eu/sites/default/files/2026-06/fa80675a-1caa-4098-822f-511c6fad0616/Report on simplifying the stacking orders of the EU prudential and resolution framework.pdf</vt:lpwstr>
      </vt:variant>
      <vt:variant>
        <vt:lpwstr/>
      </vt:variant>
      <vt:variant>
        <vt:i4>5505118</vt:i4>
      </vt:variant>
      <vt:variant>
        <vt:i4>33</vt:i4>
      </vt:variant>
      <vt:variant>
        <vt:i4>0</vt:i4>
      </vt:variant>
      <vt:variant>
        <vt:i4>5</vt:i4>
      </vt:variant>
      <vt:variant>
        <vt:lpwstr>https://taxation-customs.ec.europa.eu/document/download/10e86b94-8da3-49cf-b224-059ce5cf9bb6_en?filename=Taxation-of-the-financial-sector-Executive-summary_EN.pdf</vt:lpwstr>
      </vt:variant>
      <vt:variant>
        <vt:lpwstr/>
      </vt:variant>
      <vt:variant>
        <vt:i4>393296</vt:i4>
      </vt:variant>
      <vt:variant>
        <vt:i4>30</vt:i4>
      </vt:variant>
      <vt:variant>
        <vt:i4>0</vt:i4>
      </vt:variant>
      <vt:variant>
        <vt:i4>5</vt:i4>
      </vt:variant>
      <vt:variant>
        <vt:lpwstr>https://www.ecb.europa.eu/press/consultationresponse/pdf/ecb.conresp202604.en.pdf</vt:lpwstr>
      </vt:variant>
      <vt:variant>
        <vt:lpwstr/>
      </vt:variant>
      <vt:variant>
        <vt:i4>393296</vt:i4>
      </vt:variant>
      <vt:variant>
        <vt:i4>27</vt:i4>
      </vt:variant>
      <vt:variant>
        <vt:i4>0</vt:i4>
      </vt:variant>
      <vt:variant>
        <vt:i4>5</vt:i4>
      </vt:variant>
      <vt:variant>
        <vt:lpwstr>https://www.ecb.europa.eu/press/consultationresponse/pdf/ecb.conresp202604.en.pdf</vt:lpwstr>
      </vt:variant>
      <vt:variant>
        <vt:lpwstr/>
      </vt:variant>
      <vt:variant>
        <vt:i4>4784137</vt:i4>
      </vt:variant>
      <vt:variant>
        <vt:i4>24</vt:i4>
      </vt:variant>
      <vt:variant>
        <vt:i4>0</vt:i4>
      </vt:variant>
      <vt:variant>
        <vt:i4>5</vt:i4>
      </vt:variant>
      <vt:variant>
        <vt:lpwstr>https://www.bankingsupervision.europa.eu/press/pr/date/2025/html/ssm.pr250801~24ec6ae308.en.html</vt:lpwstr>
      </vt:variant>
      <vt:variant>
        <vt:lpwstr/>
      </vt:variant>
      <vt:variant>
        <vt:i4>7012455</vt:i4>
      </vt:variant>
      <vt:variant>
        <vt:i4>21</vt:i4>
      </vt:variant>
      <vt:variant>
        <vt:i4>0</vt:i4>
      </vt:variant>
      <vt:variant>
        <vt:i4>5</vt:i4>
      </vt:variant>
      <vt:variant>
        <vt:lpwstr>https://www.eba.europa.eu/publications-and-media/press-releases/eba-publishes-results-its-2025-eu-wide-stress-test</vt:lpwstr>
      </vt:variant>
      <vt:variant>
        <vt:lpwstr/>
      </vt:variant>
      <vt:variant>
        <vt:i4>917551</vt:i4>
      </vt:variant>
      <vt:variant>
        <vt:i4>18</vt:i4>
      </vt:variant>
      <vt:variant>
        <vt:i4>0</vt:i4>
      </vt:variant>
      <vt:variant>
        <vt:i4>5</vt:i4>
      </vt:variant>
      <vt:variant>
        <vt:lpwstr>https://commission.europa.eu/law/law-making-process/better-regulation/simplification-implementation-and-enforcement/simpler-clearer-and-better-enforced-eu-rulebook_en</vt:lpwstr>
      </vt:variant>
      <vt:variant>
        <vt:lpwstr/>
      </vt:variant>
      <vt:variant>
        <vt:i4>6684783</vt:i4>
      </vt:variant>
      <vt:variant>
        <vt:i4>15</vt:i4>
      </vt:variant>
      <vt:variant>
        <vt:i4>0</vt:i4>
      </vt:variant>
      <vt:variant>
        <vt:i4>5</vt:i4>
      </vt:variant>
      <vt:variant>
        <vt:lpwstr>https://data.consilium.europa.eu/doc/document/ST-8473-2026-INIT/en/pdf</vt:lpwstr>
      </vt:variant>
      <vt:variant>
        <vt:lpwstr/>
      </vt:variant>
      <vt:variant>
        <vt:i4>7733276</vt:i4>
      </vt:variant>
      <vt:variant>
        <vt:i4>12</vt:i4>
      </vt:variant>
      <vt:variant>
        <vt:i4>0</vt:i4>
      </vt:variant>
      <vt:variant>
        <vt:i4>5</vt:i4>
      </vt:variant>
      <vt:variant>
        <vt:lpwstr>https://single-market-economy.ec.europa.eu/document/download/d92c78d0-7d47-4a16-b53f-1cead54bcb49_en?filename=Communication%20-%20Single%20Market%20Strategy.pdf</vt:lpwstr>
      </vt:variant>
      <vt:variant>
        <vt:lpwstr/>
      </vt:variant>
      <vt:variant>
        <vt:i4>7667730</vt:i4>
      </vt:variant>
      <vt:variant>
        <vt:i4>9</vt:i4>
      </vt:variant>
      <vt:variant>
        <vt:i4>0</vt:i4>
      </vt:variant>
      <vt:variant>
        <vt:i4>5</vt:i4>
      </vt:variant>
      <vt:variant>
        <vt:lpwstr>https://commission.europa.eu/topics/competitiveness/draghi-report_en</vt:lpwstr>
      </vt:variant>
      <vt:variant>
        <vt:lpwstr/>
      </vt:variant>
      <vt:variant>
        <vt:i4>6225928</vt:i4>
      </vt:variant>
      <vt:variant>
        <vt:i4>6</vt:i4>
      </vt:variant>
      <vt:variant>
        <vt:i4>0</vt:i4>
      </vt:variant>
      <vt:variant>
        <vt:i4>5</vt:i4>
      </vt:variant>
      <vt:variant>
        <vt:lpwstr>https://www.consilium.europa.eu/media/ny3j24sm/much-more-than-a-market-report-by-enrico-letta.pdf</vt:lpwstr>
      </vt:variant>
      <vt:variant>
        <vt:lpwstr/>
      </vt:variant>
      <vt:variant>
        <vt:i4>4980776</vt:i4>
      </vt:variant>
      <vt:variant>
        <vt:i4>3</vt:i4>
      </vt:variant>
      <vt:variant>
        <vt:i4>0</vt:i4>
      </vt:variant>
      <vt:variant>
        <vt:i4>5</vt:i4>
      </vt:variant>
      <vt:variant>
        <vt:lpwstr>https://commission.europa.eu/topics/competitiveness/competitiveness-compass_en</vt:lpwstr>
      </vt:variant>
      <vt:variant>
        <vt:lpwstr/>
      </vt:variant>
      <vt:variant>
        <vt:i4>3735597</vt:i4>
      </vt:variant>
      <vt:variant>
        <vt:i4>0</vt:i4>
      </vt:variant>
      <vt:variant>
        <vt:i4>0</vt:i4>
      </vt:variant>
      <vt:variant>
        <vt:i4>5</vt:i4>
      </vt:variant>
      <vt:variant>
        <vt:lpwstr>https://eur-lex.europa.eu/legal-content/EN/TXT/HTML/?uri=CELEX:52025DC0124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8</cp:revision>
  <dcterms:created xsi:type="dcterms:W3CDTF">2026-07-22T11:46:00Z</dcterms:created>
  <dcterms:modified xsi:type="dcterms:W3CDTF">2026-07-23T06:22:00Z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2026-07-15T06:41:45Z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b97cb437-4841-4f11-af1a-09a9b64d2202</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DocStatus">
    <vt:lpwstr>Green</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CP-009</vt:lpwstr>
  </property>
</Properties>
</file>