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C2F191" w14:textId="650AC617" w:rsidR="009D6B2D" w:rsidRPr="00B33098" w:rsidRDefault="006E0CE1" w:rsidP="006E0CE1">
      <w:pPr>
        <w:pStyle w:val="Pagedecouverture"/>
        <w:rPr>
          <w:noProof/>
          <w:lang w:val="en-IE"/>
        </w:rPr>
      </w:pPr>
      <w:bookmarkStart w:id="0" w:name="LW_BM_COVERPAGE"/>
      <w:r>
        <w:rPr>
          <w:noProof/>
          <w:lang w:val="en-IE"/>
        </w:rPr>
        <w:pict w14:anchorId="4E828F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67148A-ECED-41BE-A3A6-CA293FBD08FA" style="width:455.25pt;height:342pt">
            <v:imagedata r:id="rId8" o:title=""/>
          </v:shape>
        </w:pict>
      </w:r>
    </w:p>
    <w:bookmarkEnd w:id="0"/>
    <w:p w14:paraId="31992C5B" w14:textId="77777777" w:rsidR="00755D31" w:rsidRPr="00B33098" w:rsidRDefault="00755D31" w:rsidP="00755D31">
      <w:pPr>
        <w:rPr>
          <w:noProof/>
          <w:lang w:val="en-IE"/>
        </w:rPr>
        <w:sectPr w:rsidR="00755D31" w:rsidRPr="00B33098" w:rsidSect="006E0CE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D49691E" w14:textId="77777777" w:rsidR="006D4C88" w:rsidRPr="006D4C88" w:rsidRDefault="006D4C88" w:rsidP="006D4C88">
      <w:pPr>
        <w:jc w:val="center"/>
        <w:rPr>
          <w:rFonts w:ascii="Times New Roman" w:hAnsi="Times New Roman" w:cs="Times New Roman"/>
          <w:noProof/>
          <w:sz w:val="24"/>
          <w:szCs w:val="24"/>
          <w:lang w:val="fr-BE"/>
        </w:rPr>
      </w:pPr>
      <w:bookmarkStart w:id="1" w:name="_GoBack"/>
      <w:bookmarkEnd w:id="1"/>
      <w:r w:rsidRPr="006D4C88">
        <w:rPr>
          <w:rFonts w:ascii="Times New Roman" w:hAnsi="Times New Roman"/>
          <w:b/>
          <w:noProof/>
          <w:sz w:val="24"/>
          <w:lang w:val="fr-BE"/>
        </w:rPr>
        <w:lastRenderedPageBreak/>
        <w:t>COMMUNICATION DE LA COMMISSION AU PARLEMENT EUROPÉEN, AU CONSEIL, À LA BANQUE CENTRALE EUROPÉENNE, AU COMITÉ ÉCONOMIQUE ET SOCIAL EUROPÉEN ET AU COMITÉ DES RÉGIONS</w:t>
      </w:r>
    </w:p>
    <w:p w14:paraId="64528F92" w14:textId="77777777" w:rsidR="006D4C88" w:rsidRPr="006D4C88" w:rsidRDefault="006D4C88" w:rsidP="006D4C88">
      <w:pPr>
        <w:rPr>
          <w:rFonts w:ascii="Times New Roman" w:hAnsi="Times New Roman" w:cs="Times New Roman"/>
          <w:noProof/>
          <w:sz w:val="24"/>
          <w:szCs w:val="24"/>
          <w:lang w:val="fr-BE"/>
        </w:rPr>
      </w:pPr>
    </w:p>
    <w:p w14:paraId="4E5AAE8D" w14:textId="77777777" w:rsidR="006D4C88" w:rsidRPr="006D4C88" w:rsidRDefault="006D4C88" w:rsidP="006D4C88">
      <w:pPr>
        <w:jc w:val="center"/>
        <w:rPr>
          <w:rFonts w:ascii="Times New Roman" w:hAnsi="Times New Roman" w:cs="Times New Roman"/>
          <w:b/>
          <w:noProof/>
          <w:sz w:val="24"/>
          <w:szCs w:val="24"/>
          <w:lang w:val="fr-BE"/>
        </w:rPr>
      </w:pPr>
      <w:r w:rsidRPr="006D4C88">
        <w:rPr>
          <w:rFonts w:ascii="Times New Roman" w:hAnsi="Times New Roman"/>
          <w:b/>
          <w:noProof/>
          <w:sz w:val="24"/>
          <w:lang w:val="fr-BE"/>
        </w:rPr>
        <w:t>Compétitivité du secteur bancaire et marché unique bancaire</w:t>
      </w:r>
    </w:p>
    <w:p w14:paraId="519933A1" w14:textId="77777777" w:rsidR="009D6B2D" w:rsidRPr="006D4C88" w:rsidRDefault="009D6B2D" w:rsidP="44B4B103">
      <w:pPr>
        <w:rPr>
          <w:rFonts w:ascii="Times New Roman" w:hAnsi="Times New Roman" w:cs="Times New Roman"/>
          <w:noProof/>
          <w:sz w:val="24"/>
          <w:szCs w:val="24"/>
          <w:lang w:val="fr-BE"/>
        </w:rPr>
      </w:pPr>
    </w:p>
    <w:p w14:paraId="77FC7680" w14:textId="77777777" w:rsidR="009D6B2D" w:rsidRPr="006D4C88" w:rsidRDefault="009D6B2D" w:rsidP="44B4B103">
      <w:pPr>
        <w:rPr>
          <w:rFonts w:ascii="Times New Roman" w:hAnsi="Times New Roman" w:cs="Times New Roman"/>
          <w:noProof/>
          <w:sz w:val="24"/>
          <w:szCs w:val="24"/>
          <w:lang w:val="fr-BE"/>
        </w:rPr>
      </w:pPr>
    </w:p>
    <w:p w14:paraId="3E69DEEB" w14:textId="337FD846" w:rsidR="00084FD5" w:rsidRPr="006D4C88" w:rsidRDefault="00084FD5" w:rsidP="44B4B103">
      <w:pPr>
        <w:rPr>
          <w:rFonts w:ascii="Times New Roman" w:hAnsi="Times New Roman" w:cs="Times New Roman"/>
          <w:noProof/>
          <w:sz w:val="24"/>
          <w:szCs w:val="24"/>
          <w:lang w:val="fr-BE"/>
        </w:rPr>
      </w:pPr>
      <w:r w:rsidRPr="006D4C88">
        <w:rPr>
          <w:rFonts w:ascii="Times New Roman" w:hAnsi="Times New Roman" w:cs="Times New Roman"/>
          <w:noProof/>
          <w:sz w:val="24"/>
          <w:szCs w:val="24"/>
          <w:lang w:val="fr-BE"/>
        </w:rPr>
        <w:br w:type="page"/>
      </w:r>
    </w:p>
    <w:p w14:paraId="2EC11DBF" w14:textId="77777777" w:rsidR="006D4C88" w:rsidRPr="006D4C88" w:rsidRDefault="006D4C88" w:rsidP="006D4C88">
      <w:pPr>
        <w:pStyle w:val="ListParagraph"/>
        <w:numPr>
          <w:ilvl w:val="0"/>
          <w:numId w:val="14"/>
        </w:numPr>
        <w:spacing w:line="276" w:lineRule="auto"/>
        <w:jc w:val="both"/>
        <w:rPr>
          <w:rFonts w:ascii="Times New Roman" w:hAnsi="Times New Roman" w:cs="Times New Roman"/>
          <w:noProof/>
          <w:sz w:val="32"/>
          <w:szCs w:val="32"/>
          <w:lang w:val="fr-BE"/>
        </w:rPr>
      </w:pPr>
      <w:r w:rsidRPr="006D4C88">
        <w:rPr>
          <w:rFonts w:ascii="Times New Roman" w:hAnsi="Times New Roman"/>
          <w:b/>
          <w:noProof/>
          <w:sz w:val="32"/>
          <w:lang w:val="fr-BE"/>
        </w:rPr>
        <w:t>Le rôle du secteur bancaire dans l’économie de l’UE</w:t>
      </w:r>
    </w:p>
    <w:p w14:paraId="419EE7B4" w14:textId="77777777" w:rsidR="006D4C88" w:rsidRPr="006D4C88" w:rsidRDefault="006D4C88" w:rsidP="006D4C88">
      <w:pPr>
        <w:spacing w:line="276" w:lineRule="auto"/>
        <w:jc w:val="both"/>
        <w:rPr>
          <w:rFonts w:ascii="Times New Roman" w:hAnsi="Times New Roman" w:cs="Times New Roman"/>
          <w:noProof/>
          <w:sz w:val="24"/>
          <w:szCs w:val="24"/>
          <w:lang w:val="fr-BE"/>
        </w:rPr>
      </w:pPr>
      <w:r w:rsidRPr="006D4C88">
        <w:rPr>
          <w:rFonts w:ascii="Times New Roman" w:hAnsi="Times New Roman"/>
          <w:b/>
          <w:noProof/>
          <w:sz w:val="24"/>
          <w:lang w:val="fr-BE"/>
        </w:rPr>
        <w:t>Les banques jouent un rôle clé dans l’économie de l’UE, et un secteur bancaire compétitif est essentiel au financement de la croissance, de l’innovation et des priorités stratégiques.</w:t>
      </w:r>
      <w:r w:rsidRPr="006D4C88">
        <w:rPr>
          <w:rFonts w:ascii="Times New Roman" w:hAnsi="Times New Roman"/>
          <w:noProof/>
          <w:sz w:val="24"/>
          <w:lang w:val="fr-BE"/>
        </w:rPr>
        <w:t xml:space="preserve"> Inversement, la compétitivité des banques dépend de la bonne santé et de la robustesse de l’économie. Les banques constituent la première source de financement des ménages comme des grandes et des petites et moyennes entreprises de l’UE. Au-delà de leur rôle traditionnel de prêteur, elles facilitent l’accès des entreprises et des épargnants aux marchés des capitaux, en aidant les premières à obtenir des financements en fonds propres et par l’endettement, et les seconds à investir. Dans un paysage géopolitique en rapide évolution, ces différents rôles du secteur bancaire sont d’autant plus importants qu’ils contribuent à la préservation de l’autonomie stratégique de l’UE. Les banques sont incontournables pour répondre aux besoins de financement croissants des entreprises de l’UE, en particulier dans les secteurs stratégiques.</w:t>
      </w:r>
    </w:p>
    <w:p w14:paraId="082BAA87" w14:textId="77777777" w:rsidR="006D4C88" w:rsidRPr="006D4C88" w:rsidRDefault="006D4C88" w:rsidP="006D4C88">
      <w:pPr>
        <w:spacing w:line="276" w:lineRule="auto"/>
        <w:jc w:val="both"/>
        <w:rPr>
          <w:rFonts w:ascii="Times New Roman" w:hAnsi="Times New Roman" w:cs="Times New Roman"/>
          <w:noProof/>
          <w:sz w:val="24"/>
          <w:szCs w:val="24"/>
          <w:lang w:val="fr-BE"/>
        </w:rPr>
      </w:pPr>
      <w:r w:rsidRPr="006D4C88">
        <w:rPr>
          <w:rFonts w:ascii="Times New Roman" w:hAnsi="Times New Roman"/>
          <w:b/>
          <w:noProof/>
          <w:sz w:val="24"/>
          <w:lang w:val="fr-BE"/>
        </w:rPr>
        <w:t>Grâce à la stratégie relative à l’union de l’épargne et des investissements (UEI)</w:t>
      </w:r>
      <w:r>
        <w:rPr>
          <w:rStyle w:val="FootnoteReference"/>
          <w:rFonts w:ascii="Times New Roman" w:hAnsi="Times New Roman" w:cs="Times New Roman"/>
          <w:b/>
          <w:bCs/>
          <w:noProof/>
          <w:sz w:val="24"/>
          <w:szCs w:val="24"/>
          <w:lang w:val="en-IE"/>
        </w:rPr>
        <w:footnoteReference w:id="2"/>
      </w:r>
      <w:r w:rsidRPr="006D4C88">
        <w:rPr>
          <w:rFonts w:ascii="Times New Roman" w:hAnsi="Times New Roman"/>
          <w:b/>
          <w:noProof/>
          <w:sz w:val="24"/>
          <w:lang w:val="fr-BE"/>
        </w:rPr>
        <w:t>, le système financier de l’UE sera mieux à même d’orienter l’épargne vers l’investissement productif.</w:t>
      </w:r>
      <w:r w:rsidRPr="006D4C88">
        <w:rPr>
          <w:rFonts w:ascii="Times New Roman" w:hAnsi="Times New Roman"/>
          <w:noProof/>
          <w:sz w:val="24"/>
          <w:lang w:val="fr-BE"/>
        </w:rPr>
        <w:t xml:space="preserve"> Cette stratégie table sur un secteur bancaire efficient et intégré, dont le fonctionnement repose sur un corpus réglementaire unique et une union bancaire complète. Elle est alignée, de même que les propositions esquissées dans le présent rapport, sur la boussole pour la compétitivité de l’UE</w:t>
      </w:r>
      <w:r>
        <w:rPr>
          <w:rStyle w:val="FootnoteReference"/>
          <w:rFonts w:ascii="Times New Roman" w:hAnsi="Times New Roman" w:cs="Times New Roman"/>
          <w:noProof/>
          <w:sz w:val="24"/>
          <w:szCs w:val="24"/>
          <w:lang w:val="en-IE"/>
        </w:rPr>
        <w:footnoteReference w:id="3"/>
      </w:r>
      <w:r w:rsidRPr="006D4C88">
        <w:rPr>
          <w:rFonts w:ascii="Times New Roman" w:hAnsi="Times New Roman"/>
          <w:noProof/>
          <w:sz w:val="24"/>
          <w:lang w:val="fr-BE"/>
        </w:rPr>
        <w:t>, les recommandations des rapports Letta</w:t>
      </w:r>
      <w:r>
        <w:rPr>
          <w:rStyle w:val="FootnoteReference"/>
          <w:rFonts w:ascii="Times New Roman" w:hAnsi="Times New Roman" w:cs="Times New Roman"/>
          <w:noProof/>
          <w:sz w:val="24"/>
          <w:szCs w:val="24"/>
          <w:lang w:val="en-IE"/>
        </w:rPr>
        <w:footnoteReference w:id="4"/>
      </w:r>
      <w:r w:rsidRPr="006D4C88">
        <w:rPr>
          <w:rFonts w:ascii="Times New Roman" w:hAnsi="Times New Roman"/>
          <w:noProof/>
          <w:sz w:val="24"/>
          <w:lang w:val="fr-BE"/>
        </w:rPr>
        <w:t xml:space="preserve"> et Draghi</w:t>
      </w:r>
      <w:r>
        <w:rPr>
          <w:rStyle w:val="FootnoteReference"/>
          <w:rFonts w:ascii="Times New Roman" w:hAnsi="Times New Roman" w:cs="Times New Roman"/>
          <w:noProof/>
          <w:sz w:val="24"/>
          <w:szCs w:val="24"/>
          <w:lang w:val="en-IE"/>
        </w:rPr>
        <w:footnoteReference w:id="5"/>
      </w:r>
      <w:r w:rsidRPr="006D4C88">
        <w:rPr>
          <w:rFonts w:ascii="Times New Roman" w:hAnsi="Times New Roman"/>
          <w:noProof/>
          <w:sz w:val="24"/>
          <w:lang w:val="fr-BE"/>
        </w:rPr>
        <w:t>, la stratégie pour le marché unique</w:t>
      </w:r>
      <w:r>
        <w:rPr>
          <w:rStyle w:val="FootnoteReference"/>
          <w:rFonts w:ascii="Times New Roman" w:hAnsi="Times New Roman" w:cs="Times New Roman"/>
          <w:noProof/>
          <w:sz w:val="24"/>
          <w:szCs w:val="24"/>
          <w:lang w:val="en-IE"/>
        </w:rPr>
        <w:footnoteReference w:id="6"/>
      </w:r>
      <w:r w:rsidRPr="006D4C88">
        <w:rPr>
          <w:rFonts w:ascii="Times New Roman" w:hAnsi="Times New Roman"/>
          <w:noProof/>
          <w:sz w:val="24"/>
          <w:lang w:val="fr-BE"/>
        </w:rPr>
        <w:t>, la feuille de route «Une Europe, un marché»</w:t>
      </w:r>
      <w:r>
        <w:rPr>
          <w:rStyle w:val="FootnoteReference"/>
          <w:rFonts w:ascii="Times New Roman" w:hAnsi="Times New Roman" w:cs="Times New Roman"/>
          <w:noProof/>
          <w:sz w:val="24"/>
          <w:szCs w:val="24"/>
          <w:lang w:val="en-IE"/>
        </w:rPr>
        <w:footnoteReference w:id="7"/>
      </w:r>
      <w:r w:rsidRPr="006D4C88">
        <w:rPr>
          <w:rFonts w:ascii="Times New Roman" w:hAnsi="Times New Roman"/>
          <w:noProof/>
          <w:sz w:val="24"/>
          <w:lang w:val="fr-BE"/>
        </w:rPr>
        <w:t xml:space="preserve"> et le </w:t>
      </w:r>
      <w:bookmarkStart w:id="3" w:name="_Hlk233902580"/>
      <w:r w:rsidRPr="006D4C88">
        <w:rPr>
          <w:rFonts w:ascii="Times New Roman" w:hAnsi="Times New Roman"/>
          <w:noProof/>
          <w:sz w:val="24"/>
          <w:lang w:val="fr-BE"/>
        </w:rPr>
        <w:t>plan d’action pour un nettoyage approfondi de la réglementation</w:t>
      </w:r>
      <w:bookmarkEnd w:id="3"/>
      <w:r>
        <w:rPr>
          <w:rStyle w:val="FootnoteReference"/>
          <w:rFonts w:ascii="Times New Roman" w:hAnsi="Times New Roman" w:cs="Times New Roman"/>
          <w:noProof/>
        </w:rPr>
        <w:footnoteReference w:id="8"/>
      </w:r>
      <w:r w:rsidRPr="006D4C88">
        <w:rPr>
          <w:rFonts w:ascii="Times New Roman" w:hAnsi="Times New Roman"/>
          <w:noProof/>
          <w:sz w:val="24"/>
          <w:lang w:val="fr-BE"/>
        </w:rPr>
        <w:t xml:space="preserve">. Pour soutenir l’économie de l’UE dans son ensemble, un secteur bancaire compétitif doit pouvoir opérer de manière aussi fluide que possible par-delà les frontières, offrir un large choix de produits aux épargnants et aux investisseurs et atteindre une taille adéquate, dans le respect des exigences prudentielles et des règles de concurrence applicables. Dans le même temps, il doit rester suffisamment flexible pour intégrer des modèles économiques diversifiés et être en mesure de favoriser l’innovation et d’accueillir de nouveaux entrants.  </w:t>
      </w:r>
    </w:p>
    <w:p w14:paraId="0E39B11F" w14:textId="77777777" w:rsidR="006D4C88" w:rsidRPr="006D4C88" w:rsidRDefault="006D4C88" w:rsidP="006D4C88">
      <w:pPr>
        <w:spacing w:after="120" w:line="276" w:lineRule="auto"/>
        <w:jc w:val="both"/>
        <w:rPr>
          <w:rFonts w:ascii="Times New Roman" w:hAnsi="Times New Roman" w:cs="Times New Roman"/>
          <w:noProof/>
          <w:sz w:val="24"/>
          <w:szCs w:val="24"/>
          <w:lang w:val="fr-BE"/>
        </w:rPr>
      </w:pPr>
      <w:r w:rsidRPr="006D4C88">
        <w:rPr>
          <w:rFonts w:ascii="Times New Roman" w:hAnsi="Times New Roman"/>
          <w:b/>
          <w:noProof/>
          <w:sz w:val="24"/>
          <w:lang w:val="fr-BE"/>
        </w:rPr>
        <w:t>Le secteur bancaire et les marchés des capitaux de l’UE sont interdépendants et devraient se développer en parallèle.</w:t>
      </w:r>
      <w:r w:rsidRPr="006D4C88">
        <w:rPr>
          <w:rFonts w:ascii="Times New Roman" w:hAnsi="Times New Roman"/>
          <w:noProof/>
          <w:sz w:val="24"/>
          <w:lang w:val="fr-BE"/>
        </w:rPr>
        <w:t xml:space="preserve"> Les banques peuvent favoriser le développement des marchés des capitaux de l’UE, en particulier par-delà les frontières nationales, en bénéficiant elles-mêmes des importants flux de revenus générés par les investissements et services aux entreprises qui en découlent. Elles peuvent par exemple accompagner les investisseurs en développant des produits sur mesure ou des activités de souscription. Inversement, un marché des capitaux plus efficient et plus intégré peut aider les banques à gagner en compétitivité au niveau national et international. Dans l’UE, cette complémentarité entre secteur bancaire et marchés des capitaux non seulement contribuerait à financer l’économie, y compris ses priorités stratégiques, mais réduirait également la dépendance à l’égard de banques internationales étrangères pour des services financiers essentiels. </w:t>
      </w:r>
    </w:p>
    <w:p w14:paraId="564CAEF4" w14:textId="77777777" w:rsidR="006D4C88" w:rsidRPr="006D4C88" w:rsidRDefault="006D4C88" w:rsidP="006D4C88">
      <w:pPr>
        <w:spacing w:after="120" w:line="276" w:lineRule="auto"/>
        <w:jc w:val="both"/>
        <w:rPr>
          <w:rFonts w:ascii="Times New Roman" w:hAnsi="Times New Roman" w:cs="Times New Roman"/>
          <w:noProof/>
          <w:sz w:val="24"/>
          <w:szCs w:val="24"/>
          <w:lang w:val="fr-BE"/>
        </w:rPr>
      </w:pPr>
      <w:r w:rsidRPr="006D4C88">
        <w:rPr>
          <w:rFonts w:ascii="Times New Roman" w:hAnsi="Times New Roman"/>
          <w:b/>
          <w:noProof/>
          <w:sz w:val="24"/>
          <w:lang w:val="fr-BE"/>
        </w:rPr>
        <w:t>Un secteur bancaire peu performant ou fragile ne peut jouer efficacement son rôle économique et répondre aux besoins d’investissements croissants des entreprises de l’UE</w:t>
      </w:r>
      <w:r w:rsidRPr="006D4C88">
        <w:rPr>
          <w:rFonts w:ascii="Times New Roman" w:hAnsi="Times New Roman"/>
          <w:noProof/>
          <w:sz w:val="24"/>
          <w:lang w:val="fr-BE"/>
        </w:rPr>
        <w:t xml:space="preserve">. En conséquence, le secteur bancaire de l’UE doit être suffisamment robuste pour faire preuve de résilience en cas de choc, avec des fondamentaux solides (par exemple, bonne rentabilité, bonnes valorisations de marché, bon rendement des fonds propres, structures de coûts allégées, gouvernance solide) et des niveaux adéquatement calibrés de fonds propres et de liquidité. En effet, cette résilience peut être considérée comme une composante cruciale de la compétitivité dans le secteur bancaire. </w:t>
      </w:r>
    </w:p>
    <w:p w14:paraId="56E0A56D" w14:textId="77777777" w:rsidR="006D4C88" w:rsidRPr="006D4C88" w:rsidRDefault="006D4C88" w:rsidP="006D4C88">
      <w:pPr>
        <w:spacing w:line="276" w:lineRule="auto"/>
        <w:jc w:val="both"/>
        <w:rPr>
          <w:rFonts w:ascii="Times New Roman" w:hAnsi="Times New Roman" w:cs="Times New Roman"/>
          <w:noProof/>
          <w:sz w:val="24"/>
          <w:szCs w:val="24"/>
          <w:lang w:val="fr-BE"/>
        </w:rPr>
      </w:pPr>
      <w:r w:rsidRPr="006D4C88">
        <w:rPr>
          <w:rFonts w:ascii="Times New Roman" w:hAnsi="Times New Roman"/>
          <w:b/>
          <w:noProof/>
          <w:sz w:val="24"/>
          <w:lang w:val="fr-BE"/>
        </w:rPr>
        <w:t>La présente communication et le document de travail des services de la Commission qui l’accompagne font suite à l’engagement pris par la Commission d’évaluer l’état actuel de la compétitivité du secteur bancaire de l’UE.</w:t>
      </w:r>
      <w:r w:rsidRPr="006D4C88">
        <w:rPr>
          <w:rFonts w:ascii="Times New Roman" w:hAnsi="Times New Roman"/>
          <w:noProof/>
          <w:sz w:val="24"/>
          <w:lang w:val="fr-BE"/>
        </w:rPr>
        <w:t xml:space="preserve"> Les sections qui suivent mettent en lumière les progrès substantiels accomplis dans l’amélioration de la résilience et des performances globales du secteur au cours des 15 dernières années, exposent les principaux problèmes qu’il reste à résoudre et proposent une voie à suivre positive pour l’avenir. La communication est le fruit de consultations approfondies menées auprès de toutes les parties prenantes afin de garantir que l’analyse, l’évaluation et les conclusions qu’elle présente sont ancrées dans la réalité, comme exposé dans le document de travail des services de la Commission qui l’accompagne. </w:t>
      </w:r>
    </w:p>
    <w:p w14:paraId="033717D3" w14:textId="77777777" w:rsidR="006D4C88" w:rsidRPr="006D4C88" w:rsidRDefault="006D4C88" w:rsidP="006D4C88">
      <w:pPr>
        <w:spacing w:line="276" w:lineRule="auto"/>
        <w:jc w:val="both"/>
        <w:rPr>
          <w:rFonts w:ascii="Times New Roman" w:hAnsi="Times New Roman" w:cs="Times New Roman"/>
          <w:noProof/>
          <w:sz w:val="24"/>
          <w:szCs w:val="24"/>
          <w:lang w:val="fr-BE"/>
        </w:rPr>
      </w:pPr>
      <w:r w:rsidRPr="006D4C88">
        <w:rPr>
          <w:rFonts w:ascii="Times New Roman" w:hAnsi="Times New Roman"/>
          <w:b/>
          <w:noProof/>
          <w:sz w:val="24"/>
          <w:lang w:val="fr-BE"/>
        </w:rPr>
        <w:t>Lorsqu’on examine la compétitivité du secteur bancaire de l’UE, il faut d’emblée tenir compte des compromis à négocier entre différents objectifs</w:t>
      </w:r>
      <w:r w:rsidRPr="006D4C88">
        <w:rPr>
          <w:rFonts w:ascii="Times New Roman" w:hAnsi="Times New Roman"/>
          <w:noProof/>
          <w:sz w:val="24"/>
          <w:lang w:val="fr-BE"/>
        </w:rPr>
        <w:t xml:space="preserve">, et notamment: </w:t>
      </w:r>
    </w:p>
    <w:p w14:paraId="7399A93B" w14:textId="77777777" w:rsidR="006D4C88" w:rsidRPr="006D4C88" w:rsidRDefault="006D4C88" w:rsidP="006D4C88">
      <w:pPr>
        <w:pStyle w:val="ListParagraph"/>
        <w:numPr>
          <w:ilvl w:val="0"/>
          <w:numId w:val="62"/>
        </w:numPr>
        <w:spacing w:line="276" w:lineRule="auto"/>
        <w:jc w:val="both"/>
        <w:rPr>
          <w:rFonts w:ascii="Times New Roman" w:hAnsi="Times New Roman" w:cs="Times New Roman"/>
          <w:noProof/>
          <w:sz w:val="24"/>
          <w:szCs w:val="24"/>
          <w:lang w:val="fr-BE"/>
        </w:rPr>
      </w:pPr>
      <w:r w:rsidRPr="006D4C88">
        <w:rPr>
          <w:rFonts w:ascii="Times New Roman" w:hAnsi="Times New Roman"/>
          <w:i/>
          <w:noProof/>
          <w:sz w:val="24"/>
          <w:lang w:val="fr-BE"/>
        </w:rPr>
        <w:t>Il convient de promouvoir l’innovation et la croissance durable tout en préservant la résilience.</w:t>
      </w:r>
      <w:r w:rsidRPr="006D4C88">
        <w:rPr>
          <w:rFonts w:ascii="Times New Roman" w:hAnsi="Times New Roman"/>
          <w:noProof/>
          <w:sz w:val="24"/>
          <w:lang w:val="fr-BE"/>
        </w:rPr>
        <w:t xml:space="preserve"> </w:t>
      </w:r>
      <w:bookmarkStart w:id="6" w:name="_Hlk234777876"/>
      <w:r w:rsidRPr="006D4C88">
        <w:rPr>
          <w:rFonts w:ascii="Times New Roman" w:hAnsi="Times New Roman"/>
          <w:noProof/>
          <w:sz w:val="24"/>
          <w:lang w:val="fr-BE"/>
        </w:rPr>
        <w:t xml:space="preserve">Pour promouvoir l’innovation et la croissance dans l’économie de l’UE, il sera nécessaire d’impulser un changement responsable de culture et de procéder à un certain rééquilibrage du cadre réglementaire applicable aux banques, en passant de l’approche actuelle, souvent caractérisée par une aversion au risque, à une approche ouverte à une prise responsable de risques mesurés. La Commission a un rôle essentiel à jouer à cet égard, en réfléchissant au niveau de risque approprié que le système peut globalement supporter. Toutefois, la résilience du secteur bancaire, condition sine qua non d’une croissance durable, doit être préservée. </w:t>
      </w:r>
    </w:p>
    <w:bookmarkEnd w:id="6"/>
    <w:p w14:paraId="68FE2363" w14:textId="77777777" w:rsidR="006D4C88" w:rsidRPr="006D4C88" w:rsidRDefault="006D4C88" w:rsidP="006D4C88">
      <w:pPr>
        <w:pStyle w:val="ListParagraph"/>
        <w:spacing w:line="276" w:lineRule="auto"/>
        <w:jc w:val="both"/>
        <w:rPr>
          <w:rFonts w:ascii="Times New Roman" w:hAnsi="Times New Roman" w:cs="Times New Roman"/>
          <w:noProof/>
          <w:sz w:val="24"/>
          <w:szCs w:val="24"/>
          <w:lang w:val="fr-BE"/>
        </w:rPr>
      </w:pPr>
    </w:p>
    <w:p w14:paraId="78A06D8B" w14:textId="77777777" w:rsidR="006D4C88" w:rsidRPr="006D4C88" w:rsidRDefault="006D4C88" w:rsidP="006D4C88">
      <w:pPr>
        <w:pStyle w:val="ListParagraph"/>
        <w:numPr>
          <w:ilvl w:val="0"/>
          <w:numId w:val="62"/>
        </w:numPr>
        <w:spacing w:line="276" w:lineRule="auto"/>
        <w:jc w:val="both"/>
        <w:rPr>
          <w:rFonts w:ascii="Times New Roman" w:hAnsi="Times New Roman" w:cs="Times New Roman"/>
          <w:noProof/>
          <w:sz w:val="24"/>
          <w:szCs w:val="24"/>
          <w:lang w:val="fr-BE"/>
        </w:rPr>
      </w:pPr>
      <w:bookmarkStart w:id="7" w:name="_Hlk234778499"/>
      <w:r w:rsidRPr="006D4C88">
        <w:rPr>
          <w:rFonts w:ascii="Times New Roman" w:hAnsi="Times New Roman"/>
          <w:i/>
          <w:noProof/>
          <w:sz w:val="24"/>
          <w:lang w:val="fr-BE"/>
        </w:rPr>
        <w:t>L’harmonisation des règles au niveau de l’UE suppose de réduire la marge discrétionnaire des autorités nationales.</w:t>
      </w:r>
      <w:r w:rsidRPr="006D4C88">
        <w:rPr>
          <w:rFonts w:ascii="Times New Roman" w:hAnsi="Times New Roman"/>
          <w:noProof/>
          <w:sz w:val="24"/>
          <w:lang w:val="fr-BE"/>
        </w:rPr>
        <w:t xml:space="preserve"> Pour achever l’intégration du secteur bancaire à l’échelle de l’UE, il faudra mettre en place un corpus réglementaire véritablement unique, mais cet objectif ne pourra être atteint si les pratiques de surréglementation, de mise en œuvre divergente, de duplication des obligations déclaratives ou d’exercice abusif des compétences nationales à l’égard des concentrations se poursuivent.</w:t>
      </w:r>
    </w:p>
    <w:bookmarkEnd w:id="7"/>
    <w:p w14:paraId="3D9772DE" w14:textId="77777777" w:rsidR="006D4C88" w:rsidRPr="006D4C88" w:rsidRDefault="006D4C88" w:rsidP="006D4C88">
      <w:pPr>
        <w:pStyle w:val="ListParagraph"/>
        <w:rPr>
          <w:rFonts w:ascii="Times New Roman" w:hAnsi="Times New Roman" w:cs="Times New Roman"/>
          <w:noProof/>
          <w:sz w:val="24"/>
          <w:szCs w:val="24"/>
          <w:lang w:val="fr-BE"/>
        </w:rPr>
      </w:pPr>
    </w:p>
    <w:p w14:paraId="761E94C6" w14:textId="77777777" w:rsidR="006D4C88" w:rsidRPr="006D4C88" w:rsidRDefault="006D4C88" w:rsidP="006D4C88">
      <w:pPr>
        <w:pStyle w:val="ListParagraph"/>
        <w:numPr>
          <w:ilvl w:val="0"/>
          <w:numId w:val="62"/>
        </w:numPr>
        <w:spacing w:line="276" w:lineRule="auto"/>
        <w:jc w:val="both"/>
        <w:rPr>
          <w:rFonts w:ascii="Times New Roman" w:hAnsi="Times New Roman" w:cs="Times New Roman"/>
          <w:noProof/>
          <w:sz w:val="24"/>
          <w:szCs w:val="24"/>
          <w:lang w:val="fr-BE"/>
        </w:rPr>
      </w:pPr>
      <w:r w:rsidRPr="006D4C88">
        <w:rPr>
          <w:rFonts w:ascii="Times New Roman" w:hAnsi="Times New Roman"/>
          <w:i/>
          <w:noProof/>
          <w:sz w:val="24"/>
          <w:lang w:val="fr-BE"/>
        </w:rPr>
        <w:t>L’intégration du secteur bancaire de l’UE doit s’accompagner de garanties appropriées, pour répondre à des préoccupations légitimes.</w:t>
      </w:r>
      <w:r w:rsidRPr="006D4C88">
        <w:rPr>
          <w:rFonts w:ascii="Times New Roman" w:hAnsi="Times New Roman"/>
          <w:noProof/>
          <w:sz w:val="24"/>
          <w:lang w:val="fr-BE"/>
        </w:rPr>
        <w:t xml:space="preserve"> L’intégration du secteur bancaire nécessite de modifier la relation actuelle entre les États membres d’origine et d’accueil, ce qui ne sera acceptable que si la stabilité financière est pareillement protégée dans tous les États membres. </w:t>
      </w:r>
    </w:p>
    <w:p w14:paraId="0E3E5FE0" w14:textId="77777777" w:rsidR="006D4C88" w:rsidRPr="006D4C88" w:rsidRDefault="006D4C88" w:rsidP="006D4C88">
      <w:pPr>
        <w:pStyle w:val="ListParagraph"/>
        <w:spacing w:line="276" w:lineRule="auto"/>
        <w:jc w:val="both"/>
        <w:rPr>
          <w:rFonts w:ascii="Times New Roman" w:hAnsi="Times New Roman" w:cs="Times New Roman"/>
          <w:noProof/>
          <w:sz w:val="24"/>
          <w:szCs w:val="24"/>
          <w:lang w:val="fr-BE"/>
        </w:rPr>
      </w:pPr>
    </w:p>
    <w:p w14:paraId="09F0D63E" w14:textId="77777777" w:rsidR="006D4C88" w:rsidRPr="006D4C88" w:rsidRDefault="006D4C88" w:rsidP="006D4C88">
      <w:pPr>
        <w:pStyle w:val="ListParagraph"/>
        <w:numPr>
          <w:ilvl w:val="0"/>
          <w:numId w:val="62"/>
        </w:numPr>
        <w:spacing w:line="276" w:lineRule="auto"/>
        <w:jc w:val="both"/>
        <w:rPr>
          <w:rFonts w:ascii="Times New Roman" w:hAnsi="Times New Roman" w:cs="Times New Roman"/>
          <w:noProof/>
          <w:sz w:val="24"/>
          <w:szCs w:val="24"/>
          <w:lang w:val="fr-BE"/>
        </w:rPr>
      </w:pPr>
      <w:r w:rsidRPr="006D4C88">
        <w:rPr>
          <w:rFonts w:ascii="Times New Roman" w:hAnsi="Times New Roman"/>
          <w:i/>
          <w:noProof/>
          <w:sz w:val="24"/>
          <w:lang w:val="fr-BE"/>
        </w:rPr>
        <w:t xml:space="preserve">On peut s’attendre à ce que les mesures prises pour stimuler la compétitivité aient un impact sur le niveau des exigences de fonds propres des banques. </w:t>
      </w:r>
      <w:r w:rsidRPr="006D4C88">
        <w:rPr>
          <w:rFonts w:ascii="Times New Roman" w:hAnsi="Times New Roman"/>
          <w:noProof/>
          <w:sz w:val="24"/>
          <w:lang w:val="fr-BE"/>
        </w:rPr>
        <w:t xml:space="preserve">Améliorer l’intégration du marché, supprimer les règles faisant double emploi, simplifier le cadre réglementaire, harmoniser les méthodes de calcul de certaines exigences ou instaurer une plus grande proportionnalité – toutes ces mesures auront un impact sur les exigences appliquées à certaines banques dans certains domaines et devront être soigneusement calibrées au regard de leur impact global. </w:t>
      </w:r>
    </w:p>
    <w:p w14:paraId="7757AF09" w14:textId="77777777" w:rsidR="006D4C88" w:rsidRPr="006D4C88" w:rsidRDefault="006D4C88" w:rsidP="006D4C88">
      <w:pPr>
        <w:spacing w:line="276" w:lineRule="auto"/>
        <w:ind w:left="360"/>
        <w:jc w:val="both"/>
        <w:rPr>
          <w:rFonts w:ascii="Times New Roman" w:hAnsi="Times New Roman" w:cs="Times New Roman"/>
          <w:noProof/>
          <w:sz w:val="24"/>
          <w:szCs w:val="24"/>
          <w:lang w:val="fr-BE"/>
        </w:rPr>
      </w:pPr>
      <w:r w:rsidRPr="006D4C88">
        <w:rPr>
          <w:rFonts w:ascii="Times New Roman" w:hAnsi="Times New Roman"/>
          <w:noProof/>
          <w:sz w:val="24"/>
          <w:lang w:val="fr-BE"/>
        </w:rPr>
        <w:t xml:space="preserve">La gestion de ces différents compromis supposera d’allier expertise technique et jugement politique pour ajuster soigneusement l’équilibre à trouver entre prise de risques et résilience du secteur bancaire. Cela se fera au moyen des mesures proposées dans le présent rapport, ainsi que sur une base continue, grâce à un suivi plus rigoureux de la compétitivité du secteur bancaire par la Commission. </w:t>
      </w:r>
    </w:p>
    <w:p w14:paraId="79E2D40B" w14:textId="77777777" w:rsidR="006D4C88" w:rsidRPr="006D4C88" w:rsidRDefault="006D4C88" w:rsidP="006D4C88">
      <w:pPr>
        <w:spacing w:after="120" w:line="276" w:lineRule="auto"/>
        <w:jc w:val="both"/>
        <w:rPr>
          <w:rFonts w:ascii="Times New Roman" w:hAnsi="Times New Roman" w:cs="Times New Roman"/>
          <w:b/>
          <w:bCs/>
          <w:noProof/>
          <w:sz w:val="32"/>
          <w:szCs w:val="32"/>
          <w:lang w:val="fr-BE"/>
        </w:rPr>
      </w:pPr>
    </w:p>
    <w:p w14:paraId="0DED99DE" w14:textId="77777777" w:rsidR="006D4C88" w:rsidRPr="006D4C88" w:rsidRDefault="006D4C88" w:rsidP="006D4C88">
      <w:pPr>
        <w:pStyle w:val="ListParagraph"/>
        <w:numPr>
          <w:ilvl w:val="0"/>
          <w:numId w:val="14"/>
        </w:numPr>
        <w:spacing w:line="276" w:lineRule="auto"/>
        <w:jc w:val="both"/>
        <w:rPr>
          <w:rFonts w:ascii="Times New Roman" w:hAnsi="Times New Roman" w:cs="Times New Roman"/>
          <w:b/>
          <w:bCs/>
          <w:noProof/>
          <w:sz w:val="32"/>
          <w:szCs w:val="32"/>
          <w:lang w:val="fr-BE"/>
        </w:rPr>
      </w:pPr>
      <w:r w:rsidRPr="006D4C88">
        <w:rPr>
          <w:rFonts w:ascii="Times New Roman" w:hAnsi="Times New Roman"/>
          <w:b/>
          <w:noProof/>
          <w:sz w:val="32"/>
          <w:lang w:val="fr-BE"/>
        </w:rPr>
        <w:t xml:space="preserve">Progrès et problèmes restant à résoudre dans le marché unique bancaire de l’UE </w:t>
      </w:r>
    </w:p>
    <w:p w14:paraId="6F349477" w14:textId="77777777" w:rsidR="006D4C88" w:rsidRPr="006D4C88" w:rsidRDefault="006D4C88" w:rsidP="006D4C88">
      <w:pPr>
        <w:spacing w:after="120" w:line="276" w:lineRule="auto"/>
        <w:jc w:val="both"/>
        <w:rPr>
          <w:rFonts w:ascii="Times New Roman" w:hAnsi="Times New Roman" w:cs="Times New Roman"/>
          <w:noProof/>
          <w:sz w:val="24"/>
          <w:szCs w:val="24"/>
          <w:lang w:val="fr-BE"/>
        </w:rPr>
      </w:pPr>
      <w:r w:rsidRPr="006D4C88">
        <w:rPr>
          <w:rFonts w:ascii="Times New Roman" w:hAnsi="Times New Roman"/>
          <w:b/>
          <w:noProof/>
          <w:sz w:val="24"/>
          <w:lang w:val="fr-BE"/>
        </w:rPr>
        <w:t xml:space="preserve">En réponse à la crise financière mondiale, l’UE a élaboré un corpus réglementaire unique pour les banques et réformé ses cadres de surveillance, de résolution et macroprudentiel. </w:t>
      </w:r>
      <w:r w:rsidRPr="006D4C88">
        <w:rPr>
          <w:rFonts w:ascii="Times New Roman" w:hAnsi="Times New Roman"/>
          <w:noProof/>
          <w:sz w:val="24"/>
          <w:lang w:val="fr-BE"/>
        </w:rPr>
        <w:t>Ces 15 dernières années, ces réformes ont aidé les banques à gagner en résilience et permis une gestion efficace des crises lorsque c’était nécessaire. Dans l’union bancaire, le mécanisme de surveillance unique (MSU) est responsable de l’agrément de toutes les banques, et il surveille directement 111 banques pesant pour plus de 85 % du total des actifs bancaires. Le mécanisme de résolution unique (MRU) est responsable de la préparation aux crises et de la gestion des crises pour ces mêmes banques, avec le soutien d’un Fonds de résolution unique (FRU) de plus de 81 milliards d’EUR. Les systèmes nationaux de garantie des dépôts, bien financés, ont été renforcés pour permettre des remboursements rapides, ce qui a accru la confiance des déposants. L’Autorité bancaire européenne (ABE) a joué un rôle central dans l’élaboration du corpus réglementaire unique et le renforcement de la convergence des pratiques de surveillance dans l’ensemble de l’UE, tandis que le Comité européen du risque systémique (CERS) a joué le rôle de système d’alerte précoce et aidé à la mise en œuvre des mesures macroprudentielles nationales.</w:t>
      </w:r>
    </w:p>
    <w:p w14:paraId="4F30899F" w14:textId="77777777" w:rsidR="006D4C88" w:rsidRPr="006D4C88" w:rsidRDefault="006D4C88" w:rsidP="006D4C88">
      <w:pPr>
        <w:spacing w:after="120" w:line="276" w:lineRule="auto"/>
        <w:jc w:val="both"/>
        <w:rPr>
          <w:rFonts w:ascii="Times New Roman" w:eastAsia="Times New Roman" w:hAnsi="Times New Roman" w:cs="Times New Roman"/>
          <w:noProof/>
          <w:sz w:val="24"/>
          <w:szCs w:val="24"/>
          <w:lang w:val="fr-BE"/>
        </w:rPr>
      </w:pPr>
      <w:r w:rsidRPr="006D4C88">
        <w:rPr>
          <w:rFonts w:ascii="Times New Roman" w:hAnsi="Times New Roman"/>
          <w:b/>
          <w:noProof/>
          <w:sz w:val="24"/>
          <w:lang w:val="fr-BE"/>
        </w:rPr>
        <w:t>Ces réformes réglementaires et institutionnelles se sont accompagnées d’une transformation en profondeur du secteur bancaire de l’UE.</w:t>
      </w:r>
      <w:r w:rsidRPr="006D4C88">
        <w:rPr>
          <w:rFonts w:ascii="Times New Roman" w:hAnsi="Times New Roman"/>
          <w:noProof/>
          <w:sz w:val="24"/>
          <w:lang w:val="fr-BE"/>
        </w:rPr>
        <w:t xml:space="preserve"> Par contraste avec leur situation d’avant la crise financière mondiale, les banques de l’UE sont aujourd’hui résilientes, jouissant de positions solides en matière de fonds propres et de liquidité. Cette résilience a été systématiquement confirmée par les tests de résistance réalisés à l’échelle de l’UE par l’ABE et la Banque centrale européenne (BCE), y compris lors du tout dernier exercice, mené en 2025</w:t>
      </w:r>
      <w:r>
        <w:rPr>
          <w:rStyle w:val="FootnoteReference"/>
          <w:rFonts w:ascii="Times New Roman" w:eastAsia="Times New Roman" w:hAnsi="Times New Roman" w:cs="Times New Roman"/>
          <w:noProof/>
          <w:sz w:val="24"/>
          <w:szCs w:val="24"/>
          <w:lang w:val="en-IE"/>
        </w:rPr>
        <w:footnoteReference w:id="9"/>
      </w:r>
      <w:r w:rsidRPr="006D4C88">
        <w:rPr>
          <w:rFonts w:ascii="Times New Roman" w:hAnsi="Times New Roman"/>
          <w:noProof/>
          <w:sz w:val="24"/>
          <w:lang w:val="fr-BE"/>
        </w:rPr>
        <w:t>. Plus important encore, le secteur bancaire de l’UE a fait la preuve de sa résilience en conditions réelles, lors de la pandémie de COVID-19, du choc énergétique consécutif à l’invasion à grande échelle de l’Ukraine par la Russie et des turbulences bancaires qui ont secoué les États-Unis et la Suisse au printemps 2023. Les banques ont agi comme des amortisseurs plutôt que comme des amplificateurs des tensions économiques. Depuis 2023, les banques de l’UE ont également renoué avec une rentabilité soutenue, revenant aux niveaux de rendement sur fonds propres d’avant la crise, ce qui montre bien que résilience et rentabilité peuvent aller de pair.</w:t>
      </w:r>
    </w:p>
    <w:p w14:paraId="141C8449" w14:textId="77777777" w:rsidR="006D4C88" w:rsidRPr="006D4C88" w:rsidRDefault="006D4C88" w:rsidP="006D4C88">
      <w:pPr>
        <w:spacing w:after="120" w:line="276" w:lineRule="auto"/>
        <w:jc w:val="both"/>
        <w:rPr>
          <w:rFonts w:ascii="Times New Roman" w:hAnsi="Times New Roman" w:cs="Times New Roman"/>
          <w:noProof/>
          <w:sz w:val="24"/>
          <w:szCs w:val="24"/>
          <w:lang w:val="fr-BE"/>
        </w:rPr>
      </w:pPr>
      <w:r w:rsidRPr="006D4C88">
        <w:rPr>
          <w:rFonts w:ascii="Times New Roman" w:hAnsi="Times New Roman"/>
          <w:b/>
          <w:noProof/>
          <w:sz w:val="24"/>
          <w:lang w:val="fr-BE"/>
        </w:rPr>
        <w:t>Quoique résilient et rentable, le secteur bancaire de l’UE reste très fragmenté selon les frontières nationales et confronté à un certain nombre de problèmes liés au cadre réglementaire et à sa mise en œuvre.</w:t>
      </w:r>
      <w:r w:rsidRPr="006D4C88">
        <w:rPr>
          <w:rFonts w:ascii="Times New Roman" w:hAnsi="Times New Roman"/>
          <w:noProof/>
          <w:sz w:val="24"/>
          <w:lang w:val="fr-BE"/>
        </w:rPr>
        <w:t xml:space="preserve"> Il faut résoudre ces problèmes pour que les banques puissent contribuer davantage à répondre aux importants besoins de financement, chiffrés à 1 200 milliards d’EUR par an par le rapport Draghi, qu’il convient de combler pour préserver la compétitivité, continuer de progresser dans la double transition écologique et numérique, renforcer la sécurité et la résilience et préserver notre souveraineté technologique, en particulier dans des secteurs stratégiques tels que les deep tech, les technologies propres, la défense, l’intelligence artificielle et les biotechnologies.</w:t>
      </w:r>
    </w:p>
    <w:p w14:paraId="250BB119" w14:textId="77777777" w:rsidR="006D4C88" w:rsidRPr="006D4C88" w:rsidRDefault="006D4C88" w:rsidP="006D4C88">
      <w:pPr>
        <w:spacing w:after="120" w:line="276" w:lineRule="auto"/>
        <w:jc w:val="both"/>
        <w:rPr>
          <w:rFonts w:ascii="Times New Roman" w:hAnsi="Times New Roman" w:cs="Times New Roman"/>
          <w:noProof/>
          <w:sz w:val="24"/>
          <w:szCs w:val="24"/>
          <w:lang w:val="fr-BE"/>
        </w:rPr>
      </w:pPr>
      <w:r w:rsidRPr="006D4C88">
        <w:rPr>
          <w:rFonts w:ascii="Times New Roman" w:hAnsi="Times New Roman"/>
          <w:noProof/>
          <w:sz w:val="24"/>
          <w:lang w:val="fr-BE"/>
        </w:rPr>
        <w:t xml:space="preserve">La Commission a identifié </w:t>
      </w:r>
      <w:r w:rsidRPr="006D4C88">
        <w:rPr>
          <w:rFonts w:ascii="Times New Roman" w:hAnsi="Times New Roman"/>
          <w:b/>
          <w:noProof/>
          <w:sz w:val="24"/>
          <w:lang w:val="fr-BE"/>
        </w:rPr>
        <w:t>trois grands problèmes qui limitent la capacité du secteur bancaire à soutenir efficacement l’économie de l’UE</w:t>
      </w:r>
      <w:r w:rsidRPr="006D4C88">
        <w:rPr>
          <w:rFonts w:ascii="Times New Roman" w:hAnsi="Times New Roman"/>
          <w:noProof/>
          <w:sz w:val="24"/>
          <w:lang w:val="fr-BE"/>
        </w:rPr>
        <w:t xml:space="preserve">. Premièrement, le secteur est trop fragmenté, ce qui empêche les passages à l’échelle supérieure, les gains d’efficience, l’utilisation productive des ressources et la diversification géographique par-delà les frontières nationales. Deuxièmement, la transposition des normes internationales dans le cadre réglementaire de l’UE pourrait mieux tenir compte des spécificités de l’UE et être davantage proportionnée. Troisièmement, certains aspects du cadre réglementaire de l’UE sont indûment complexes et contraignants et devraient être simplifiés. Il est essentiel de résoudre ces trois problèmes pour permettre l’avènement d’un secteur bancaire qui ne soit pas seulement résilient, mais qui aussi soutienne mieux l’économie de l’UE en finançant la croissance durable, l’innovation, la sécurité et la prospérité à long terme. </w:t>
      </w:r>
    </w:p>
    <w:p w14:paraId="4C95D7FC" w14:textId="77777777" w:rsidR="006D4C88" w:rsidRPr="006D4C88" w:rsidRDefault="006D4C88" w:rsidP="006D4C88">
      <w:pPr>
        <w:spacing w:line="276" w:lineRule="auto"/>
        <w:jc w:val="both"/>
        <w:rPr>
          <w:rFonts w:ascii="Times New Roman" w:hAnsi="Times New Roman" w:cs="Times New Roman"/>
          <w:bCs/>
          <w:i/>
          <w:noProof/>
          <w:sz w:val="28"/>
          <w:szCs w:val="28"/>
          <w:lang w:val="fr-BE"/>
        </w:rPr>
      </w:pPr>
    </w:p>
    <w:p w14:paraId="2B8BB876" w14:textId="77777777" w:rsidR="006D4C88" w:rsidRPr="006D4C88" w:rsidRDefault="006D4C88" w:rsidP="006D4C88">
      <w:pPr>
        <w:spacing w:line="276" w:lineRule="auto"/>
        <w:jc w:val="both"/>
        <w:rPr>
          <w:rFonts w:ascii="Times New Roman" w:hAnsi="Times New Roman" w:cs="Times New Roman"/>
          <w:b/>
          <w:bCs/>
          <w:noProof/>
          <w:sz w:val="28"/>
          <w:szCs w:val="28"/>
          <w:lang w:val="fr-BE"/>
        </w:rPr>
      </w:pPr>
      <w:r w:rsidRPr="006D4C88">
        <w:rPr>
          <w:rFonts w:ascii="Times New Roman" w:hAnsi="Times New Roman"/>
          <w:b/>
          <w:i/>
          <w:noProof/>
          <w:sz w:val="28"/>
          <w:lang w:val="fr-BE"/>
        </w:rPr>
        <w:t>2.1.</w:t>
      </w:r>
      <w:r w:rsidRPr="006D4C88">
        <w:rPr>
          <w:noProof/>
          <w:lang w:val="fr-BE"/>
        </w:rPr>
        <w:tab/>
      </w:r>
      <w:r w:rsidRPr="006D4C88">
        <w:rPr>
          <w:rFonts w:ascii="Times New Roman" w:hAnsi="Times New Roman"/>
          <w:b/>
          <w:i/>
          <w:noProof/>
          <w:sz w:val="28"/>
          <w:lang w:val="fr-BE"/>
        </w:rPr>
        <w:t>Fragmentation le long des frontières nationales</w:t>
      </w:r>
    </w:p>
    <w:p w14:paraId="2A305F82" w14:textId="77777777" w:rsidR="006D4C88" w:rsidRPr="006D4C88" w:rsidRDefault="006D4C88" w:rsidP="006D4C88">
      <w:pPr>
        <w:spacing w:line="276" w:lineRule="auto"/>
        <w:jc w:val="both"/>
        <w:rPr>
          <w:rFonts w:ascii="Times New Roman" w:hAnsi="Times New Roman" w:cs="Times New Roman"/>
          <w:noProof/>
          <w:sz w:val="24"/>
          <w:szCs w:val="24"/>
          <w:lang w:val="fr-BE"/>
        </w:rPr>
      </w:pPr>
      <w:r w:rsidRPr="006D4C88">
        <w:rPr>
          <w:rFonts w:ascii="Times New Roman" w:hAnsi="Times New Roman"/>
          <w:b/>
          <w:noProof/>
          <w:sz w:val="24"/>
          <w:lang w:val="fr-BE"/>
        </w:rPr>
        <w:t xml:space="preserve">L’intégration transfrontière du secteur bancaire de l’UE a progressé ces dernières années, mais demeure à des niveaux insatisfaisants. </w:t>
      </w:r>
      <w:r w:rsidRPr="006D4C88">
        <w:rPr>
          <w:rFonts w:ascii="Times New Roman" w:hAnsi="Times New Roman"/>
          <w:noProof/>
          <w:sz w:val="24"/>
          <w:lang w:val="fr-BE"/>
        </w:rPr>
        <w:t>Cette intégration se limite essentiellement au marché interbancaire, les autres activités transfrontières restant très limitées. Au sein de la zone euro, par exemple, les prêts transfrontières aux entreprises ne représentent qu’environ 16 % du total des prêts aux entreprises</w:t>
      </w:r>
      <w:r>
        <w:rPr>
          <w:rStyle w:val="FootnoteReference"/>
          <w:rFonts w:ascii="Times New Roman" w:hAnsi="Times New Roman" w:cs="Times New Roman"/>
          <w:noProof/>
          <w:sz w:val="24"/>
          <w:szCs w:val="24"/>
          <w:lang w:val="en-IE"/>
        </w:rPr>
        <w:footnoteReference w:id="10"/>
      </w:r>
      <w:r w:rsidRPr="006D4C88">
        <w:rPr>
          <w:rFonts w:ascii="Times New Roman" w:hAnsi="Times New Roman"/>
          <w:noProof/>
          <w:sz w:val="24"/>
          <w:lang w:val="fr-BE"/>
        </w:rPr>
        <w:t xml:space="preserve">. Cela s’explique principalement par les difficultés rencontrées par les banques pour atteindre des clients dans des États membres où elles ne sont pas physiquement présentes, ou pour s’implanter et se développer sur de nouveaux marchés, soit de manière organique, soit par le biais d’une concentration transfrontière. Depuis la crise financière mondiale, la concentration du secteur bancaire de l’UE s’est faite presque exclusivement au niveau national, les fusions et acquisitions transfrontières dans l’ensemble de l’UE ayant considérablement diminué, avec toutefois un sursaut en 2025. En conséquence, de nombreux groupes bancaires de l’UE sont importants par rapport à la taille de leur économie nationale, mais pas par rapport à la taille de l’économie de l’UE ou de l’union bancaire, ni à celle de leurs concurrents internationaux. </w:t>
      </w:r>
    </w:p>
    <w:p w14:paraId="1CCCD37F" w14:textId="77777777" w:rsidR="006D4C88" w:rsidRPr="006D4C88" w:rsidRDefault="006D4C88" w:rsidP="006D4C88">
      <w:pPr>
        <w:spacing w:line="276" w:lineRule="auto"/>
        <w:jc w:val="both"/>
        <w:rPr>
          <w:rFonts w:ascii="Times New Roman" w:hAnsi="Times New Roman" w:cs="Times New Roman"/>
          <w:noProof/>
          <w:sz w:val="24"/>
          <w:szCs w:val="24"/>
          <w:lang w:val="fr-BE"/>
        </w:rPr>
      </w:pPr>
      <w:r w:rsidRPr="006D4C88">
        <w:rPr>
          <w:rFonts w:ascii="Times New Roman" w:hAnsi="Times New Roman"/>
          <w:b/>
          <w:noProof/>
          <w:sz w:val="24"/>
          <w:lang w:val="fr-BE"/>
        </w:rPr>
        <w:t>La fragmentation du secteur bancaire est le reflet de la dimension nationale très prononcée du cadre réglementaire de l’UE.</w:t>
      </w:r>
      <w:r w:rsidRPr="006D4C88">
        <w:rPr>
          <w:rFonts w:ascii="Times New Roman" w:hAnsi="Times New Roman"/>
          <w:noProof/>
          <w:sz w:val="24"/>
          <w:lang w:val="fr-BE"/>
        </w:rPr>
        <w:t xml:space="preserve"> </w:t>
      </w:r>
    </w:p>
    <w:p w14:paraId="78DA7DBC" w14:textId="77777777" w:rsidR="006D4C88" w:rsidRPr="006D4C88" w:rsidRDefault="006D4C88" w:rsidP="006D4C88">
      <w:pPr>
        <w:pStyle w:val="ListParagraph"/>
        <w:numPr>
          <w:ilvl w:val="0"/>
          <w:numId w:val="61"/>
        </w:numPr>
        <w:spacing w:line="276" w:lineRule="auto"/>
        <w:jc w:val="both"/>
        <w:rPr>
          <w:noProof/>
          <w:lang w:val="fr-BE"/>
        </w:rPr>
      </w:pPr>
      <w:r w:rsidRPr="006D4C88">
        <w:rPr>
          <w:rFonts w:ascii="Times New Roman" w:hAnsi="Times New Roman"/>
          <w:b/>
          <w:noProof/>
          <w:sz w:val="24"/>
          <w:lang w:val="fr-BE"/>
        </w:rPr>
        <w:t>Contrairement à la réglementation d’autres juridictions, le cadre réglementaire de l’UE impose aux groupes bancaires transfrontières de se conformer à des exigences de fonds propres et de liquidité tant au niveau consolidé qu’au niveau de leurs filiales.</w:t>
      </w:r>
      <w:r w:rsidRPr="006D4C88">
        <w:rPr>
          <w:rFonts w:ascii="Times New Roman" w:hAnsi="Times New Roman"/>
          <w:noProof/>
          <w:sz w:val="24"/>
          <w:lang w:val="fr-BE"/>
        </w:rPr>
        <w:t xml:space="preserve"> Cette caractéristique empêche ces groupes de gérer une plus grande partie de ces ressources de manière centralisée au niveau du groupe, ce qui limite leur efficience. Elle limite en outre l’efficience des groupes bancaires transfrontières en agissant de facto comme un obstacle aux fusions transfrontières. Il a été estimé que la suppression des contraintes de liquidité pesant sur les filiales transfrontières des groupes bancaires de l’UE libérerait environ 230 milliards d’EUR d’actifs liquides de haute qualité</w:t>
      </w:r>
      <w:r>
        <w:rPr>
          <w:rStyle w:val="FootnoteReference"/>
          <w:rFonts w:ascii="Times New Roman" w:hAnsi="Times New Roman" w:cs="Times New Roman"/>
          <w:noProof/>
          <w:sz w:val="24"/>
          <w:szCs w:val="24"/>
          <w:lang w:val="en-IE"/>
        </w:rPr>
        <w:footnoteReference w:id="11"/>
      </w:r>
      <w:r w:rsidRPr="006D4C88">
        <w:rPr>
          <w:rFonts w:ascii="Times New Roman" w:hAnsi="Times New Roman"/>
          <w:noProof/>
          <w:sz w:val="24"/>
          <w:lang w:val="fr-BE"/>
        </w:rPr>
        <w:t>. Cette forte dimension nationale de la réglementation prudentielle est la traduction d’inquiétudes quant à l’impact potentiel d’une défaillance bancaire sur les économies des États membres qui accueillent des filiales transfrontières. Ces inquiétudes persistent malgré la mise en œuvre du corpus réglementaire unique, les niveaux importants de résilience atteints par les banques et les progrès accomplis dans le développement de l’union bancaire (qui reste toutefois incomplète, en particulier faute de mécanisme d’assurance des dépôts à l’échelle de l’union bancaire). Parmi les autres facteurs contribuant à la persistance de cette fragmentation figurent les différences de traitement entre expositions intragroupe nationales et transfrontières, l’hétérogénéité des exigences prudentielles et le manque de prévisibilité dans leur fixation, ou encore le manque de coordination entre les autorités de surveillance, de résolution et macroprudentielles.</w:t>
      </w:r>
    </w:p>
    <w:p w14:paraId="711683E3" w14:textId="77777777" w:rsidR="006D4C88" w:rsidRPr="006D4C88" w:rsidRDefault="006D4C88" w:rsidP="006D4C88">
      <w:pPr>
        <w:pStyle w:val="ListParagraph"/>
        <w:spacing w:line="276" w:lineRule="auto"/>
        <w:jc w:val="both"/>
        <w:rPr>
          <w:noProof/>
          <w:lang w:val="fr-BE"/>
        </w:rPr>
      </w:pPr>
    </w:p>
    <w:p w14:paraId="07CE9F91" w14:textId="77777777" w:rsidR="006D4C88" w:rsidRPr="006D4C88" w:rsidRDefault="006D4C88" w:rsidP="006D4C88">
      <w:pPr>
        <w:pStyle w:val="ListParagraph"/>
        <w:numPr>
          <w:ilvl w:val="0"/>
          <w:numId w:val="61"/>
        </w:numPr>
        <w:spacing w:line="276" w:lineRule="auto"/>
        <w:jc w:val="both"/>
        <w:rPr>
          <w:rFonts w:ascii="Times New Roman" w:eastAsia="Times New Roman" w:hAnsi="Times New Roman" w:cs="Times New Roman"/>
          <w:b/>
          <w:noProof/>
          <w:sz w:val="24"/>
          <w:szCs w:val="24"/>
          <w:lang w:val="fr-BE"/>
        </w:rPr>
      </w:pPr>
      <w:r w:rsidRPr="006D4C88">
        <w:rPr>
          <w:rFonts w:ascii="Times New Roman" w:hAnsi="Times New Roman"/>
          <w:b/>
          <w:noProof/>
          <w:sz w:val="24"/>
          <w:lang w:val="fr-BE"/>
        </w:rPr>
        <w:t xml:space="preserve">La surréglementation nationale et les divergences de transposition des règles de l’UE constituent une autre source de fragmentation. </w:t>
      </w:r>
      <w:r w:rsidRPr="006D4C88">
        <w:rPr>
          <w:rFonts w:ascii="Times New Roman" w:hAnsi="Times New Roman"/>
          <w:noProof/>
          <w:sz w:val="24"/>
          <w:lang w:val="fr-BE"/>
        </w:rPr>
        <w:t xml:space="preserve">Ces éléments nuisent à l’efficacité du corpus réglementaire unique, en rendant les activités transfrontières des groupes bancaires difficiles à exercer et coûteuses. Dans le même temps, cet effet peut être aggravé par le recours accru à des instruments non contraignants au sein du cadre réglementaire, car ceux-ci sont souvent interprétés comme contraignants par les autorités compétentes nationales et de l’UE et par les responsables de la conformité et les auditeurs externes des banques. </w:t>
      </w:r>
    </w:p>
    <w:p w14:paraId="1CCC3A25" w14:textId="77777777" w:rsidR="006D4C88" w:rsidRPr="006D4C88" w:rsidRDefault="006D4C88" w:rsidP="006D4C88">
      <w:pPr>
        <w:pStyle w:val="ListParagraph"/>
        <w:spacing w:line="276" w:lineRule="auto"/>
        <w:jc w:val="both"/>
        <w:rPr>
          <w:rFonts w:ascii="Times New Roman" w:eastAsia="Times New Roman" w:hAnsi="Times New Roman" w:cs="Times New Roman"/>
          <w:b/>
          <w:noProof/>
          <w:sz w:val="24"/>
          <w:szCs w:val="24"/>
          <w:lang w:val="fr-BE"/>
        </w:rPr>
      </w:pPr>
    </w:p>
    <w:p w14:paraId="61DF6752" w14:textId="77777777" w:rsidR="006D4C88" w:rsidRPr="006D4C88" w:rsidRDefault="006D4C88" w:rsidP="006D4C88">
      <w:pPr>
        <w:pStyle w:val="ListParagraph"/>
        <w:numPr>
          <w:ilvl w:val="0"/>
          <w:numId w:val="61"/>
        </w:numPr>
        <w:spacing w:line="276" w:lineRule="auto"/>
        <w:jc w:val="both"/>
        <w:rPr>
          <w:rFonts w:ascii="Times New Roman" w:hAnsi="Times New Roman" w:cs="Times New Roman"/>
          <w:noProof/>
          <w:sz w:val="24"/>
          <w:szCs w:val="24"/>
          <w:lang w:val="fr-BE"/>
        </w:rPr>
      </w:pPr>
      <w:r w:rsidRPr="006D4C88">
        <w:rPr>
          <w:rFonts w:ascii="Times New Roman" w:hAnsi="Times New Roman"/>
          <w:b/>
          <w:noProof/>
          <w:sz w:val="24"/>
          <w:lang w:val="fr-BE"/>
        </w:rPr>
        <w:t xml:space="preserve">Les interventions nationales dans les fusions bancaires empêchent les banques d’acquérir une envergure européenne. </w:t>
      </w:r>
      <w:r w:rsidRPr="006D4C88">
        <w:rPr>
          <w:rFonts w:ascii="Times New Roman" w:hAnsi="Times New Roman"/>
          <w:noProof/>
          <w:sz w:val="24"/>
          <w:lang w:val="fr-BE"/>
        </w:rPr>
        <w:t>Des interventions injustifiées des pouvoirs nationaux entravent trop souvent la capacité des banques de l’UE à se regrouper. Elles empêchent donc ces établissements de se développer à l’échelle de l’UE</w:t>
      </w:r>
      <w:r>
        <w:rPr>
          <w:rStyle w:val="FootnoteReference"/>
          <w:rFonts w:ascii="Times New Roman" w:hAnsi="Times New Roman" w:cs="Times New Roman"/>
          <w:noProof/>
          <w:sz w:val="24"/>
          <w:szCs w:val="24"/>
          <w:lang w:val="en-IE"/>
        </w:rPr>
        <w:footnoteReference w:id="12"/>
      </w:r>
      <w:r w:rsidRPr="006D4C88">
        <w:rPr>
          <w:rFonts w:ascii="Times New Roman" w:hAnsi="Times New Roman"/>
          <w:noProof/>
          <w:sz w:val="24"/>
          <w:lang w:val="fr-BE"/>
        </w:rPr>
        <w:t xml:space="preserve">, notamment au moyen de fusions transfrontières. Cela a un impact sur leur valorisation et leur capacité à dégager des gains d’efficience, limite leur capacité à offrir des services financiers essentiels aux ménages et aux entreprises, et les empêche d’être véritablement compétitives sur les marchés financiers mondiaux pour les activités de banque d’entreprise et de banque d’investissement. </w:t>
      </w:r>
    </w:p>
    <w:p w14:paraId="528B9260" w14:textId="77777777" w:rsidR="006D4C88" w:rsidRPr="006D4C88" w:rsidRDefault="006D4C88" w:rsidP="006D4C88">
      <w:pPr>
        <w:pStyle w:val="ListParagraph"/>
        <w:rPr>
          <w:rFonts w:ascii="Times New Roman" w:hAnsi="Times New Roman" w:cs="Times New Roman"/>
          <w:noProof/>
          <w:sz w:val="24"/>
          <w:szCs w:val="24"/>
          <w:lang w:val="fr-BE"/>
        </w:rPr>
      </w:pPr>
    </w:p>
    <w:p w14:paraId="4F7B41B1" w14:textId="77777777" w:rsidR="006D4C88" w:rsidRPr="006D4C88" w:rsidRDefault="006D4C88" w:rsidP="006D4C88">
      <w:pPr>
        <w:pStyle w:val="ListParagraph"/>
        <w:numPr>
          <w:ilvl w:val="0"/>
          <w:numId w:val="61"/>
        </w:numPr>
        <w:jc w:val="both"/>
        <w:rPr>
          <w:rFonts w:ascii="Times New Roman" w:hAnsi="Times New Roman" w:cs="Times New Roman"/>
          <w:noProof/>
          <w:sz w:val="24"/>
          <w:szCs w:val="24"/>
          <w:lang w:val="fr-BE"/>
        </w:rPr>
      </w:pPr>
      <w:r w:rsidRPr="006D4C88">
        <w:rPr>
          <w:rFonts w:ascii="Times New Roman" w:hAnsi="Times New Roman"/>
          <w:b/>
          <w:noProof/>
          <w:sz w:val="24"/>
          <w:lang w:val="fr-BE"/>
        </w:rPr>
        <w:t xml:space="preserve">Les règles nationales ou les divergences de transposition des règles de l’UE dans des domaines autres que la sphère prudentielle restreignent les activités bancaires transfrontières. </w:t>
      </w:r>
      <w:r w:rsidRPr="006D4C88">
        <w:rPr>
          <w:rFonts w:ascii="Times New Roman" w:hAnsi="Times New Roman"/>
          <w:noProof/>
          <w:sz w:val="24"/>
          <w:lang w:val="fr-BE"/>
        </w:rPr>
        <w:t>Ces obstacles non prudentiels incluent les règles en matière de lutte contre le blanchiment de capitaux, de droit civil, de protection des données, de fiscalité</w:t>
      </w:r>
      <w:r>
        <w:rPr>
          <w:rStyle w:val="FootnoteReference"/>
          <w:rFonts w:ascii="Times New Roman" w:hAnsi="Times New Roman" w:cs="Times New Roman"/>
          <w:noProof/>
          <w:sz w:val="24"/>
          <w:szCs w:val="24"/>
          <w:lang w:val="en-IE"/>
        </w:rPr>
        <w:footnoteReference w:id="13"/>
      </w:r>
      <w:r w:rsidRPr="006D4C88">
        <w:rPr>
          <w:rFonts w:ascii="Times New Roman" w:hAnsi="Times New Roman"/>
          <w:noProof/>
          <w:sz w:val="24"/>
          <w:lang w:val="fr-BE"/>
        </w:rPr>
        <w:t xml:space="preserve">, d’insolvabilité et de saisie, ainsi que certaines règles de protection des consommateurs qui, bien qu’harmonisées au niveau de l’UE, ne sont pas appliquées de manière uniforme dans tous les États membres. L’application de règles nationales différentes peut dissuader les banques de proposer leurs services sur une base transfrontière, en particulier dans le secteur de la banque de détail. Dans l’environnement de plus en plus numérisé d’aujourd’hui, une limitation fondamentale concerne les plateformes informatiques que les banques créent pour répondre aux besoins d’un marché national, mais qui ne peuvent pas être facilement transposées à d’autres marchés de l’UE. Il s’agit là d’une entrave au modèle économique de la banque transfrontière, qui freine la concurrence entre les banques, réduit le choix des clients et renchérit les prix. </w:t>
      </w:r>
    </w:p>
    <w:p w14:paraId="469414D1" w14:textId="77777777" w:rsidR="006D4C88" w:rsidRPr="006D4C88" w:rsidRDefault="006D4C88" w:rsidP="006D4C88">
      <w:pPr>
        <w:spacing w:line="276" w:lineRule="auto"/>
        <w:jc w:val="both"/>
        <w:rPr>
          <w:rFonts w:ascii="Times New Roman" w:hAnsi="Times New Roman" w:cs="Times New Roman"/>
          <w:b/>
          <w:bCs/>
          <w:i/>
          <w:iCs/>
          <w:noProof/>
          <w:sz w:val="24"/>
          <w:szCs w:val="24"/>
          <w:lang w:val="fr-BE"/>
        </w:rPr>
      </w:pPr>
    </w:p>
    <w:p w14:paraId="39EF76E2" w14:textId="77777777" w:rsidR="006D4C88" w:rsidRPr="006D4C88" w:rsidDel="001948C9" w:rsidRDefault="006D4C88" w:rsidP="006D4C88">
      <w:pPr>
        <w:spacing w:line="276" w:lineRule="auto"/>
        <w:ind w:left="360"/>
        <w:jc w:val="both"/>
        <w:rPr>
          <w:rFonts w:ascii="Times New Roman" w:hAnsi="Times New Roman" w:cs="Times New Roman"/>
          <w:b/>
          <w:bCs/>
          <w:i/>
          <w:iCs/>
          <w:noProof/>
          <w:sz w:val="28"/>
          <w:szCs w:val="28"/>
          <w:lang w:val="fr-BE"/>
        </w:rPr>
      </w:pPr>
      <w:r w:rsidRPr="006D4C88">
        <w:rPr>
          <w:rFonts w:ascii="Times New Roman" w:hAnsi="Times New Roman"/>
          <w:b/>
          <w:i/>
          <w:noProof/>
          <w:sz w:val="28"/>
          <w:lang w:val="fr-BE"/>
        </w:rPr>
        <w:t xml:space="preserve">2.2. </w:t>
      </w:r>
      <w:r w:rsidRPr="006D4C88">
        <w:rPr>
          <w:noProof/>
          <w:lang w:val="fr-BE"/>
        </w:rPr>
        <w:tab/>
      </w:r>
      <w:r w:rsidRPr="006D4C88">
        <w:rPr>
          <w:rFonts w:ascii="Times New Roman" w:hAnsi="Times New Roman"/>
          <w:b/>
          <w:i/>
          <w:noProof/>
          <w:sz w:val="28"/>
          <w:lang w:val="fr-BE"/>
        </w:rPr>
        <w:t>Mettre en œuvre les normes internationales en tenant compte des spécificités de l’UE</w:t>
      </w:r>
    </w:p>
    <w:p w14:paraId="32B09797" w14:textId="77777777" w:rsidR="006D4C88" w:rsidRPr="006D4C88" w:rsidRDefault="006D4C88" w:rsidP="006D4C88">
      <w:pPr>
        <w:spacing w:line="276" w:lineRule="auto"/>
        <w:jc w:val="both"/>
        <w:rPr>
          <w:rFonts w:ascii="Times New Roman" w:eastAsia="Times New Roman" w:hAnsi="Times New Roman" w:cs="Times New Roman"/>
          <w:b/>
          <w:bCs/>
          <w:noProof/>
          <w:sz w:val="24"/>
          <w:szCs w:val="24"/>
          <w:lang w:val="fr-BE"/>
        </w:rPr>
      </w:pPr>
      <w:r w:rsidRPr="006D4C88">
        <w:rPr>
          <w:rFonts w:ascii="Times New Roman" w:hAnsi="Times New Roman"/>
          <w:b/>
          <w:noProof/>
          <w:sz w:val="24"/>
          <w:lang w:val="fr-BE"/>
        </w:rPr>
        <w:t>L’UE s’est engagée à mettre en œuvre les normes internationales fixées par le Comité de Bâle sur le contrôle bancaire et les recommandations du Conseil de stabilité financière.</w:t>
      </w:r>
      <w:r w:rsidRPr="006D4C88">
        <w:rPr>
          <w:rFonts w:ascii="Times New Roman" w:hAnsi="Times New Roman"/>
          <w:noProof/>
          <w:sz w:val="24"/>
          <w:lang w:val="fr-BE"/>
        </w:rPr>
        <w:t xml:space="preserve"> La mise en œuvre des normes internationales est essentielle à la protection de la stabilité financière et à la préservation de conditions de concurrence équitables.</w:t>
      </w:r>
      <w:r w:rsidRPr="006D4C88">
        <w:rPr>
          <w:rFonts w:ascii="Times New Roman" w:hAnsi="Times New Roman"/>
          <w:b/>
          <w:noProof/>
          <w:sz w:val="24"/>
          <w:lang w:val="fr-BE"/>
        </w:rPr>
        <w:t xml:space="preserve"> </w:t>
      </w:r>
      <w:r w:rsidRPr="006D4C88">
        <w:rPr>
          <w:rFonts w:ascii="Times New Roman" w:hAnsi="Times New Roman"/>
          <w:noProof/>
          <w:sz w:val="24"/>
          <w:lang w:val="fr-BE"/>
        </w:rPr>
        <w:t>L’UE, contrairement à d’autres juridictions, applique les normes internationales à toutes les banques afin de préserver l’intégrité du marché unique. Elle compte plus de 4 500 banques et environ 650 groupes bancaires, qui forment un écosystème bancaire diversifié finançant son économie. Ces banques vont d’établissements complexes d’importance systémique mondiale actifs dans le monde entier à de petites banques au modèle économique plus classique ou moins complexe qui soutiennent le financement des PME au niveau local, y compris dans les régions moins développées. Du fait du rôle que jouent les banques dans le financement de l’économie de l’UE, le cadre réglementaire devrait leur permettre de financer toutes sortes d’entreprises, des entreprises établies de longue date jusqu’aux entreprises numériques en expansion rapide, y compris les start-up et les scale-up. En outre, le marché européen s’appuie sur les prêts bancaires pour financer les investissements stratégiques à long terme essentiels. Malgré les efforts déployés pour tenir compte de cette diversité dans le cadre réglementaire, de nombreuses règles continuent de s’appliquer indépendamment de la taille ou du modèle économique, ce qui entraîne une complexité et une charge administrative inutiles pour les banques.</w:t>
      </w:r>
    </w:p>
    <w:p w14:paraId="3BB44D61" w14:textId="77777777" w:rsidR="006D4C88" w:rsidRPr="006D4C88" w:rsidRDefault="006D4C88" w:rsidP="006D4C88">
      <w:pPr>
        <w:spacing w:line="276" w:lineRule="auto"/>
        <w:jc w:val="both"/>
        <w:rPr>
          <w:rFonts w:ascii="Times New Roman" w:eastAsia="Times New Roman" w:hAnsi="Times New Roman" w:cs="Times New Roman"/>
          <w:noProof/>
          <w:sz w:val="24"/>
          <w:szCs w:val="24"/>
          <w:lang w:val="fr-BE"/>
        </w:rPr>
      </w:pPr>
      <w:r w:rsidRPr="006D4C88">
        <w:rPr>
          <w:rFonts w:ascii="Times New Roman" w:hAnsi="Times New Roman"/>
          <w:b/>
          <w:noProof/>
          <w:sz w:val="24"/>
          <w:lang w:val="fr-BE"/>
        </w:rPr>
        <w:t xml:space="preserve">Les grandes banques de l’UE sont en concurrence à l’échelle mondiale et sont contraintes d’évoluer dans un environnement où la mise en œuvre des normes internationales diffère d’une juridiction à l’autre. </w:t>
      </w:r>
      <w:r w:rsidRPr="006D4C88">
        <w:rPr>
          <w:rFonts w:ascii="Times New Roman" w:hAnsi="Times New Roman"/>
          <w:noProof/>
          <w:sz w:val="24"/>
          <w:lang w:val="fr-BE"/>
        </w:rPr>
        <w:t>Les écarts et les retards accumulés par certains grands pays dans la mise en œuvre des normes arrêtées au niveau international ont ravivé la crainte d’un manque de compétitivité des banques de l’UE sur les marchés mondiaux. Afin de remédier aux graves déséquilibres concurrentiels provoqués par le non-respect des normes internationales par certains pays tiers, la Commission continuera de suivre de près la situation internationale et de faire usage des outils réglementaires à sa disposition, tout en veillant à préserver la stabilité financière.</w:t>
      </w:r>
    </w:p>
    <w:p w14:paraId="0F094DB2" w14:textId="77777777" w:rsidR="006D4C88" w:rsidRPr="006D4C88" w:rsidRDefault="006D4C88" w:rsidP="006D4C88">
      <w:pPr>
        <w:spacing w:line="276" w:lineRule="auto"/>
        <w:jc w:val="both"/>
        <w:rPr>
          <w:rFonts w:ascii="Times New Roman" w:eastAsia="Times New Roman" w:hAnsi="Times New Roman" w:cs="Times New Roman"/>
          <w:noProof/>
          <w:sz w:val="24"/>
          <w:szCs w:val="24"/>
          <w:lang w:val="fr-BE"/>
        </w:rPr>
      </w:pPr>
      <w:r w:rsidRPr="006D4C88">
        <w:rPr>
          <w:rFonts w:ascii="Times New Roman" w:hAnsi="Times New Roman"/>
          <w:noProof/>
          <w:sz w:val="24"/>
          <w:lang w:val="fr-BE"/>
        </w:rPr>
        <w:t xml:space="preserve">En outre, le cadre réglementaire de l’UE et sa mise en œuvre, qui font intervenir un grand nombre d’autorités différentes, ajoutent des couches d’exigences qui vont au-delà des normes internationales. À cet égard, l’UE diffère considérablement des autres grandes juridictions. S’ajoutant les unes aux autres, les caractéristiques du système bancaire européen et les spécificités du cadre réglementaire et de surveillance de l’UE imposent un réexamen attentif de la mise en œuvre des normes internationales. </w:t>
      </w:r>
    </w:p>
    <w:p w14:paraId="72F655C4" w14:textId="77777777" w:rsidR="006D4C88" w:rsidRPr="006D4C88" w:rsidDel="00895E3A" w:rsidRDefault="006D4C88" w:rsidP="006D4C88">
      <w:pPr>
        <w:spacing w:line="276" w:lineRule="auto"/>
        <w:ind w:left="720" w:hanging="720"/>
        <w:jc w:val="both"/>
        <w:rPr>
          <w:rFonts w:ascii="Times New Roman" w:hAnsi="Times New Roman" w:cs="Times New Roman"/>
          <w:b/>
          <w:bCs/>
          <w:i/>
          <w:iCs/>
          <w:noProof/>
          <w:sz w:val="28"/>
          <w:szCs w:val="28"/>
          <w:lang w:val="fr-BE"/>
        </w:rPr>
      </w:pPr>
      <w:r w:rsidRPr="006D4C88">
        <w:rPr>
          <w:rFonts w:ascii="Times New Roman" w:hAnsi="Times New Roman"/>
          <w:b/>
          <w:i/>
          <w:noProof/>
          <w:sz w:val="28"/>
          <w:lang w:val="fr-BE"/>
        </w:rPr>
        <w:t>2.3.</w:t>
      </w:r>
      <w:r w:rsidRPr="006D4C88">
        <w:rPr>
          <w:noProof/>
          <w:lang w:val="fr-BE"/>
        </w:rPr>
        <w:tab/>
      </w:r>
      <w:r w:rsidRPr="006D4C88">
        <w:rPr>
          <w:rFonts w:ascii="Times New Roman" w:hAnsi="Times New Roman"/>
          <w:b/>
          <w:i/>
          <w:noProof/>
          <w:sz w:val="28"/>
          <w:lang w:val="fr-BE"/>
        </w:rPr>
        <w:t>Complexité excessive du cadre réglementaire</w:t>
      </w:r>
    </w:p>
    <w:p w14:paraId="6F453191" w14:textId="77777777" w:rsidR="006D4C88" w:rsidRPr="006D4C88" w:rsidRDefault="006D4C88" w:rsidP="006D4C88">
      <w:pPr>
        <w:spacing w:line="276" w:lineRule="auto"/>
        <w:jc w:val="both"/>
        <w:rPr>
          <w:rFonts w:ascii="Times New Roman" w:hAnsi="Times New Roman" w:cs="Times New Roman"/>
          <w:b/>
          <w:bCs/>
          <w:noProof/>
          <w:sz w:val="24"/>
          <w:szCs w:val="24"/>
          <w:lang w:val="fr-BE"/>
        </w:rPr>
      </w:pPr>
      <w:r w:rsidRPr="006D4C88">
        <w:rPr>
          <w:rFonts w:ascii="Times New Roman" w:hAnsi="Times New Roman"/>
          <w:b/>
          <w:noProof/>
          <w:sz w:val="24"/>
          <w:lang w:val="fr-BE"/>
        </w:rPr>
        <w:t xml:space="preserve">Si les réformes qui ont fait suite à la crise financière mondiale ont considérablement amélioré la résilience du secteur bancaire de l’UE, le cadre réglementaire dont il relève est devenu excessivement complexe. </w:t>
      </w:r>
    </w:p>
    <w:p w14:paraId="4C8B8122" w14:textId="77777777" w:rsidR="006D4C88" w:rsidRPr="006D4C88" w:rsidRDefault="006D4C88" w:rsidP="006D4C88">
      <w:pPr>
        <w:pStyle w:val="ListParagraph"/>
        <w:numPr>
          <w:ilvl w:val="0"/>
          <w:numId w:val="42"/>
        </w:numPr>
        <w:spacing w:line="276" w:lineRule="auto"/>
        <w:jc w:val="both"/>
        <w:rPr>
          <w:rFonts w:ascii="Times New Roman" w:eastAsia="Times New Roman" w:hAnsi="Times New Roman" w:cs="Times New Roman"/>
          <w:noProof/>
          <w:sz w:val="24"/>
          <w:szCs w:val="24"/>
          <w:lang w:val="fr-BE"/>
        </w:rPr>
      </w:pPr>
      <w:r w:rsidRPr="006D4C88">
        <w:rPr>
          <w:rFonts w:ascii="Times New Roman" w:hAnsi="Times New Roman"/>
          <w:b/>
          <w:noProof/>
          <w:sz w:val="24"/>
          <w:lang w:val="fr-BE"/>
        </w:rPr>
        <w:t>Cette complexité tient en partie au fait qu’il s’agit d’un cadre réglementaire détaillé, comportant plusieurs niveaux.</w:t>
      </w:r>
      <w:r w:rsidRPr="006D4C88">
        <w:rPr>
          <w:rFonts w:ascii="Times New Roman" w:hAnsi="Times New Roman"/>
          <w:noProof/>
          <w:sz w:val="24"/>
          <w:lang w:val="fr-BE"/>
        </w:rPr>
        <w:t xml:space="preserve"> Ce cadre repose sur deux niveaux distincts de législation</w:t>
      </w:r>
      <w:r>
        <w:rPr>
          <w:rStyle w:val="FootnoteReference"/>
          <w:rFonts w:ascii="Times New Roman" w:eastAsia="Times New Roman" w:hAnsi="Times New Roman" w:cs="Times New Roman"/>
          <w:noProof/>
          <w:sz w:val="24"/>
          <w:szCs w:val="24"/>
          <w:lang w:val="en-IE"/>
        </w:rPr>
        <w:footnoteReference w:id="14"/>
      </w:r>
      <w:r w:rsidRPr="006D4C88">
        <w:rPr>
          <w:rFonts w:ascii="Times New Roman" w:hAnsi="Times New Roman"/>
          <w:noProof/>
          <w:sz w:val="24"/>
          <w:lang w:val="fr-BE"/>
        </w:rPr>
        <w:t>, auxquels s’ajoutent des orientations</w:t>
      </w:r>
      <w:r>
        <w:rPr>
          <w:rStyle w:val="FootnoteReference"/>
          <w:rFonts w:ascii="Times New Roman" w:eastAsia="Times New Roman" w:hAnsi="Times New Roman" w:cs="Times New Roman"/>
          <w:noProof/>
          <w:sz w:val="24"/>
          <w:szCs w:val="24"/>
          <w:lang w:val="en-IE"/>
        </w:rPr>
        <w:footnoteReference w:id="15"/>
      </w:r>
      <w:r w:rsidRPr="006D4C88">
        <w:rPr>
          <w:rFonts w:ascii="Times New Roman" w:hAnsi="Times New Roman"/>
          <w:noProof/>
          <w:sz w:val="24"/>
          <w:lang w:val="fr-BE"/>
        </w:rPr>
        <w:t>, et qui coexistent, dans de nombreux cas, avec des règles nationales supplémentaires. Si ces textes de niveaux différents permettent d’apporter plus rapidement des modifications adaptées chaque fois que nécessaire, sans devoir recourir à un long processus d’amendement législatif, ils sont parfois excessivement détaillés, ce qui les rend lourds à mettre en œuvre, en particulier pour les petites banques. Le degré de détail croissant du cadre de l’UE résulte également d’un effort tendant à normaliser les modalités d’application des règles au niveau national. De plus, il arrive souvent que les banques rajoutent elles-mêmes de la complexité ou des détails inutiles en surinterprétant les règles ou en sollicitant des orientations en matière de réglementation et de surveillance afin de réduire au minimum les risques de non-conformité.</w:t>
      </w:r>
      <w:r w:rsidRPr="006D4C88">
        <w:rPr>
          <w:rFonts w:ascii="Times New Roman" w:hAnsi="Times New Roman"/>
          <w:b/>
          <w:noProof/>
          <w:sz w:val="24"/>
          <w:lang w:val="fr-BE"/>
        </w:rPr>
        <w:t xml:space="preserve"> </w:t>
      </w:r>
    </w:p>
    <w:p w14:paraId="1EE5E020" w14:textId="77777777" w:rsidR="006D4C88" w:rsidRPr="006D4C88" w:rsidRDefault="006D4C88" w:rsidP="006D4C88">
      <w:pPr>
        <w:pStyle w:val="ListParagraph"/>
        <w:spacing w:line="276" w:lineRule="auto"/>
        <w:jc w:val="both"/>
        <w:rPr>
          <w:rFonts w:ascii="Times New Roman" w:eastAsia="Times New Roman" w:hAnsi="Times New Roman" w:cs="Times New Roman"/>
          <w:noProof/>
          <w:sz w:val="24"/>
          <w:szCs w:val="24"/>
          <w:lang w:val="fr-BE"/>
        </w:rPr>
      </w:pPr>
    </w:p>
    <w:p w14:paraId="73D3FF3E" w14:textId="77777777" w:rsidR="006D4C88" w:rsidRPr="006D4C88" w:rsidRDefault="006D4C88" w:rsidP="006D4C88">
      <w:pPr>
        <w:pStyle w:val="ListParagraph"/>
        <w:numPr>
          <w:ilvl w:val="0"/>
          <w:numId w:val="42"/>
        </w:numPr>
        <w:spacing w:line="276" w:lineRule="auto"/>
        <w:jc w:val="both"/>
        <w:rPr>
          <w:rFonts w:ascii="Times New Roman" w:eastAsia="Times New Roman" w:hAnsi="Times New Roman" w:cs="Times New Roman"/>
          <w:noProof/>
          <w:sz w:val="24"/>
          <w:szCs w:val="24"/>
          <w:lang w:val="fr-BE"/>
        </w:rPr>
      </w:pPr>
      <w:r w:rsidRPr="006D4C88">
        <w:rPr>
          <w:rFonts w:ascii="Times New Roman" w:hAnsi="Times New Roman"/>
          <w:b/>
          <w:noProof/>
          <w:sz w:val="24"/>
          <w:lang w:val="fr-BE"/>
        </w:rPr>
        <w:t>Les obligations de déclaration et de publication peuvent également être source de complexité.</w:t>
      </w:r>
      <w:r w:rsidRPr="006D4C88">
        <w:rPr>
          <w:rFonts w:ascii="Times New Roman" w:hAnsi="Times New Roman"/>
          <w:noProof/>
          <w:sz w:val="24"/>
          <w:lang w:val="fr-BE"/>
        </w:rPr>
        <w:t xml:space="preserve"> Si les données communiquées par les banques sont nécessaires à leur surveillance, et pour promouvoir l’intégrité du marché, les obligations de déclaration et de publication sont devenues bien souvent lourdes, coûteuses et redondantes.</w:t>
      </w:r>
    </w:p>
    <w:p w14:paraId="26F3E2A3" w14:textId="77777777" w:rsidR="006D4C88" w:rsidRPr="006D4C88" w:rsidDel="001948C9" w:rsidRDefault="006D4C88" w:rsidP="006D4C88">
      <w:pPr>
        <w:pStyle w:val="ListParagraph"/>
        <w:spacing w:line="276" w:lineRule="auto"/>
        <w:jc w:val="both"/>
        <w:rPr>
          <w:rFonts w:ascii="Times New Roman" w:eastAsia="Times New Roman" w:hAnsi="Times New Roman" w:cs="Times New Roman"/>
          <w:noProof/>
          <w:sz w:val="24"/>
          <w:szCs w:val="24"/>
          <w:lang w:val="fr-BE"/>
        </w:rPr>
      </w:pPr>
    </w:p>
    <w:p w14:paraId="754A5D74" w14:textId="77777777" w:rsidR="006D4C88" w:rsidRPr="006D4C88" w:rsidRDefault="006D4C88" w:rsidP="006D4C88">
      <w:pPr>
        <w:pStyle w:val="ListParagraph"/>
        <w:numPr>
          <w:ilvl w:val="0"/>
          <w:numId w:val="42"/>
        </w:numPr>
        <w:spacing w:line="276" w:lineRule="auto"/>
        <w:jc w:val="both"/>
        <w:rPr>
          <w:rFonts w:ascii="Times New Roman" w:eastAsia="Times New Roman" w:hAnsi="Times New Roman" w:cs="Times New Roman"/>
          <w:noProof/>
          <w:sz w:val="24"/>
          <w:szCs w:val="24"/>
          <w:lang w:val="fr-BE"/>
        </w:rPr>
      </w:pPr>
      <w:r w:rsidRPr="006D4C88">
        <w:rPr>
          <w:rFonts w:ascii="Times New Roman" w:hAnsi="Times New Roman"/>
          <w:b/>
          <w:noProof/>
          <w:sz w:val="24"/>
          <w:lang w:val="fr-BE"/>
        </w:rPr>
        <w:t>La complexité est encore aggravée par l’existence de règles parallèles, ou qui parfois se chevauchent, sur les questions microprudentielles, macroprudentielles et de résolution.</w:t>
      </w:r>
      <w:r w:rsidRPr="006D4C88">
        <w:rPr>
          <w:rFonts w:ascii="Times New Roman" w:hAnsi="Times New Roman"/>
          <w:noProof/>
          <w:sz w:val="24"/>
          <w:lang w:val="fr-BE"/>
        </w:rPr>
        <w:t xml:space="preserve"> En effet, certains pans du cadre bancaire ont été réformés en plusieurs étapes et souvent de manière isolée. En outre, les colégislateurs ont, au fil du temps, largement transposé ou préservé les spécificités nationales dans la législation de l’UE. Les chevauchements entre les différentes exigences auxquelles les banques doivent satisfaire en même temps peuvent créer des doubles emplois et limiter l’utilisation des coussins de fonds propres (problème de l’empilement des exigences de fonds propres)</w:t>
      </w:r>
      <w:r>
        <w:rPr>
          <w:rStyle w:val="FootnoteReference"/>
          <w:rFonts w:ascii="Times New Roman" w:eastAsia="Times New Roman" w:hAnsi="Times New Roman" w:cs="Times New Roman"/>
          <w:noProof/>
          <w:sz w:val="24"/>
          <w:szCs w:val="24"/>
        </w:rPr>
        <w:footnoteReference w:id="16"/>
      </w:r>
      <w:r w:rsidRPr="006D4C88">
        <w:rPr>
          <w:rFonts w:ascii="Times New Roman" w:hAnsi="Times New Roman"/>
          <w:noProof/>
          <w:sz w:val="24"/>
          <w:lang w:val="fr-BE"/>
        </w:rPr>
        <w:t xml:space="preserve">. En outre, l’interaction des règles entre les trois domaines prudentiels, distincts mais interdépendants, n’est souvent pas optimale.  </w:t>
      </w:r>
    </w:p>
    <w:p w14:paraId="40F02DF7" w14:textId="77777777" w:rsidR="006D4C88" w:rsidRPr="006D4C88" w:rsidDel="001948C9" w:rsidRDefault="006D4C88" w:rsidP="006D4C88">
      <w:pPr>
        <w:pStyle w:val="ListParagraph"/>
        <w:spacing w:line="276" w:lineRule="auto"/>
        <w:jc w:val="both"/>
        <w:rPr>
          <w:rFonts w:ascii="Times New Roman" w:eastAsia="Times New Roman" w:hAnsi="Times New Roman" w:cs="Times New Roman"/>
          <w:noProof/>
          <w:sz w:val="24"/>
          <w:szCs w:val="24"/>
          <w:lang w:val="fr-BE"/>
        </w:rPr>
      </w:pPr>
    </w:p>
    <w:p w14:paraId="6999A241" w14:textId="59203C43" w:rsidR="00416C6B" w:rsidRPr="006D4C88" w:rsidRDefault="006D4C88" w:rsidP="006D4C88">
      <w:pPr>
        <w:pStyle w:val="ListParagraph"/>
        <w:numPr>
          <w:ilvl w:val="0"/>
          <w:numId w:val="42"/>
        </w:numPr>
        <w:spacing w:line="276" w:lineRule="auto"/>
        <w:jc w:val="both"/>
        <w:rPr>
          <w:rFonts w:ascii="Times New Roman" w:eastAsia="Times New Roman" w:hAnsi="Times New Roman" w:cs="Times New Roman"/>
          <w:noProof/>
          <w:sz w:val="24"/>
          <w:szCs w:val="24"/>
          <w:lang w:val="fr-BE"/>
        </w:rPr>
      </w:pPr>
      <w:r w:rsidRPr="006D4C88">
        <w:rPr>
          <w:rFonts w:ascii="Times New Roman" w:hAnsi="Times New Roman"/>
          <w:b/>
          <w:noProof/>
          <w:sz w:val="24"/>
          <w:lang w:val="fr-BE"/>
        </w:rPr>
        <w:t>La mise en œuvre du cadre réglementaire pâtit d’une absence de vue d’ensemble en raison des nombreux acteurs concernés.</w:t>
      </w:r>
      <w:r w:rsidRPr="006D4C88">
        <w:rPr>
          <w:rFonts w:ascii="Times New Roman" w:hAnsi="Times New Roman"/>
          <w:noProof/>
          <w:sz w:val="24"/>
          <w:lang w:val="fr-BE"/>
        </w:rPr>
        <w:t xml:space="preserve"> Les autorités nationales de surveillance, les autorités macroprudentielles, les autorités nationales de résolution, la BCE, le CRU, le CERS et l’ABE participent tous à la mise en œuvre du cadre réglementaire, ce qui pose d’importants problèmes de coordination. Si l’union bancaire a amélioré la situation en prévoyant une surveillance et une résolution uniques pour les grandes banques entrant dans son champ d’application, les interactions entre les exigences fixées par les différentes autorités, leurs impacts combinés et la mesure dans laquelle les inefficacités qui en résultent sont répercutées sur les ménages et les entreprises de l’UE ne sont pas suffisamment pris en considération</w:t>
      </w:r>
      <w:r w:rsidR="008D1255" w:rsidRPr="006D4C88">
        <w:rPr>
          <w:rFonts w:ascii="Times New Roman" w:eastAsia="Times New Roman" w:hAnsi="Times New Roman" w:cs="Times New Roman"/>
          <w:noProof/>
          <w:sz w:val="24"/>
          <w:szCs w:val="24"/>
          <w:lang w:val="fr-BE"/>
        </w:rPr>
        <w:t>.</w:t>
      </w:r>
      <w:r w:rsidR="007052DC" w:rsidRPr="006D4C88">
        <w:rPr>
          <w:rFonts w:ascii="Times New Roman" w:eastAsia="Times New Roman" w:hAnsi="Times New Roman" w:cs="Times New Roman"/>
          <w:noProof/>
          <w:sz w:val="24"/>
          <w:szCs w:val="24"/>
          <w:lang w:val="fr-BE"/>
        </w:rPr>
        <w:t xml:space="preserve"> </w:t>
      </w:r>
    </w:p>
    <w:p w14:paraId="197F2606" w14:textId="77777777" w:rsidR="00BD21C3" w:rsidRPr="006D4C88" w:rsidRDefault="00BD21C3" w:rsidP="00835196">
      <w:pPr>
        <w:pStyle w:val="ListParagraph"/>
        <w:spacing w:line="276" w:lineRule="auto"/>
        <w:jc w:val="both"/>
        <w:rPr>
          <w:rFonts w:ascii="Times New Roman" w:eastAsia="Times New Roman" w:hAnsi="Times New Roman" w:cs="Times New Roman"/>
          <w:noProof/>
          <w:sz w:val="24"/>
          <w:szCs w:val="24"/>
          <w:lang w:val="fr-BE"/>
        </w:rPr>
      </w:pPr>
    </w:p>
    <w:p w14:paraId="15A2E6D6" w14:textId="77777777" w:rsidR="00BC317F" w:rsidRPr="00BC317F" w:rsidRDefault="00BC317F" w:rsidP="00BC317F">
      <w:pPr>
        <w:pStyle w:val="ListParagraph"/>
        <w:numPr>
          <w:ilvl w:val="0"/>
          <w:numId w:val="14"/>
        </w:numPr>
        <w:spacing w:line="276" w:lineRule="auto"/>
        <w:rPr>
          <w:rFonts w:ascii="Times New Roman" w:hAnsi="Times New Roman" w:cs="Times New Roman"/>
          <w:b/>
          <w:noProof/>
          <w:sz w:val="32"/>
          <w:szCs w:val="32"/>
          <w:lang w:val="fr-BE"/>
        </w:rPr>
      </w:pPr>
      <w:r w:rsidRPr="00BC317F">
        <w:rPr>
          <w:rFonts w:ascii="Times New Roman" w:hAnsi="Times New Roman"/>
          <w:b/>
          <w:noProof/>
          <w:sz w:val="32"/>
          <w:lang w:val="fr-BE"/>
        </w:rPr>
        <w:t>La voie à suivre pour le secteur bancaire de l’UE</w:t>
      </w:r>
    </w:p>
    <w:p w14:paraId="257E5FE2" w14:textId="77777777" w:rsidR="00BC317F" w:rsidRPr="00BC317F" w:rsidRDefault="00BC317F" w:rsidP="00BC317F">
      <w:pPr>
        <w:spacing w:line="276" w:lineRule="auto"/>
        <w:jc w:val="both"/>
        <w:rPr>
          <w:rFonts w:ascii="Times New Roman" w:hAnsi="Times New Roman" w:cs="Times New Roman"/>
          <w:noProof/>
          <w:sz w:val="24"/>
          <w:szCs w:val="24"/>
          <w:lang w:val="fr-BE"/>
        </w:rPr>
      </w:pPr>
      <w:bookmarkStart w:id="8" w:name="_Hlk234778569"/>
      <w:r w:rsidRPr="00BC317F">
        <w:rPr>
          <w:rFonts w:ascii="Times New Roman" w:hAnsi="Times New Roman"/>
          <w:b/>
          <w:noProof/>
          <w:sz w:val="24"/>
          <w:lang w:val="fr-BE"/>
        </w:rPr>
        <w:t>Compte tenu de leur étendue et de leur nature, les défis auxquels est confronté le secteur bancaire de l’UE nécessitent des mesures cohérentes, tournées vers l’avenir, globales, ambitieuses et fondées sur une analyse d’impact, conformément aux principes du programme «Mieux légiférer».</w:t>
      </w:r>
      <w:r w:rsidRPr="00BC317F">
        <w:rPr>
          <w:rFonts w:ascii="Times New Roman" w:hAnsi="Times New Roman"/>
          <w:noProof/>
          <w:sz w:val="24"/>
          <w:lang w:val="fr-BE"/>
        </w:rPr>
        <w:t xml:space="preserve"> Il ne suffira pas de s’attaquer à certains de ces défis seulement pour créer les conditions d’une amélioration soutenable et structurelle de la compétitivité et garantir la pérennité de cette amélioration. Ce train de mesures comprendrait des mesures législatives et non législatives, notamment des mesures visant à simplifier et à rationaliser la réglementation des exigences de fonds propres. Les mesures proposées favoriseront l’intégration du marché tout en protégeant comme il se doit la stabilité financière dans tous les États membres; l’objectif est de faire en sorte que la mise en œuvre des normes internationales tienne davantage compte des spécificités de l’UE et soit le reflet d’une approche proportionnée, et de tendre à la simplification du cadre réglementaire de l’UE. Il s’agira notamment de formaliser la dépriorisation des mandats d’élaboration de normes techniques confiés à l’ABE, comme discuté avec les colégislateurs. </w:t>
      </w:r>
    </w:p>
    <w:p w14:paraId="7C312728" w14:textId="77777777" w:rsidR="00BC317F" w:rsidRPr="00BC317F" w:rsidDel="00BB72A2" w:rsidRDefault="00BC317F" w:rsidP="00BC317F">
      <w:pPr>
        <w:spacing w:line="276" w:lineRule="auto"/>
        <w:jc w:val="both"/>
        <w:rPr>
          <w:rFonts w:ascii="Times New Roman" w:hAnsi="Times New Roman" w:cs="Times New Roman"/>
          <w:noProof/>
          <w:sz w:val="24"/>
          <w:szCs w:val="24"/>
          <w:lang w:val="fr-BE"/>
        </w:rPr>
      </w:pPr>
      <w:r w:rsidRPr="00BC317F">
        <w:rPr>
          <w:rFonts w:ascii="Times New Roman" w:hAnsi="Times New Roman"/>
          <w:noProof/>
          <w:sz w:val="24"/>
          <w:lang w:val="fr-BE"/>
        </w:rPr>
        <w:t xml:space="preserve">   </w:t>
      </w:r>
    </w:p>
    <w:bookmarkEnd w:id="8"/>
    <w:p w14:paraId="04B8235E" w14:textId="77777777" w:rsidR="00BC317F" w:rsidRPr="00BC317F" w:rsidRDefault="00BC317F" w:rsidP="00BC317F">
      <w:pPr>
        <w:pStyle w:val="ListParagraph"/>
        <w:numPr>
          <w:ilvl w:val="1"/>
          <w:numId w:val="14"/>
        </w:numPr>
        <w:spacing w:line="276" w:lineRule="auto"/>
        <w:jc w:val="both"/>
        <w:rPr>
          <w:rFonts w:ascii="Times New Roman" w:hAnsi="Times New Roman" w:cs="Times New Roman"/>
          <w:b/>
          <w:i/>
          <w:iCs/>
          <w:noProof/>
          <w:sz w:val="28"/>
          <w:szCs w:val="28"/>
          <w:lang w:val="fr-BE"/>
        </w:rPr>
      </w:pPr>
      <w:r w:rsidRPr="00BC317F">
        <w:rPr>
          <w:rFonts w:ascii="Times New Roman" w:hAnsi="Times New Roman"/>
          <w:b/>
          <w:i/>
          <w:noProof/>
          <w:sz w:val="28"/>
          <w:lang w:val="fr-BE"/>
        </w:rPr>
        <w:t xml:space="preserve"> Favoriser l’intégration tout en prévoyant des garde-fous appropriés</w:t>
      </w:r>
    </w:p>
    <w:p w14:paraId="27318E1D" w14:textId="77777777" w:rsidR="00BC317F" w:rsidRPr="00BC317F" w:rsidRDefault="00BC317F" w:rsidP="00BC317F">
      <w:pPr>
        <w:spacing w:line="276" w:lineRule="auto"/>
        <w:jc w:val="both"/>
        <w:rPr>
          <w:rFonts w:ascii="Times New Roman" w:eastAsia="Yu Mincho" w:hAnsi="Times New Roman" w:cs="Times New Roman"/>
          <w:noProof/>
          <w:sz w:val="24"/>
          <w:szCs w:val="24"/>
          <w:lang w:val="fr-BE"/>
        </w:rPr>
      </w:pPr>
      <w:r w:rsidRPr="00BC317F">
        <w:rPr>
          <w:rFonts w:ascii="Times New Roman" w:hAnsi="Times New Roman"/>
          <w:noProof/>
          <w:sz w:val="24"/>
          <w:lang w:val="fr-BE"/>
        </w:rPr>
        <w:t>Les inefficiences qu’entraîne le morcellement du secteur bancaire de l’UE selon les frontières nationales nuisent indéniablement à la compétitivité de celui-ci, et il convient d’y remédier en prenant des mesures dans toute une série de domaines.</w:t>
      </w:r>
    </w:p>
    <w:p w14:paraId="3325B485" w14:textId="77777777" w:rsidR="00BC317F" w:rsidRPr="00BC317F" w:rsidRDefault="00BC317F" w:rsidP="00BC317F">
      <w:pPr>
        <w:pStyle w:val="ListParagraph"/>
        <w:numPr>
          <w:ilvl w:val="0"/>
          <w:numId w:val="44"/>
        </w:numPr>
        <w:spacing w:line="276" w:lineRule="auto"/>
        <w:jc w:val="both"/>
        <w:rPr>
          <w:rFonts w:ascii="Times New Roman" w:eastAsia="Yu Mincho" w:hAnsi="Times New Roman" w:cs="Times New Roman"/>
          <w:b/>
          <w:bCs/>
          <w:i/>
          <w:noProof/>
          <w:sz w:val="28"/>
          <w:szCs w:val="28"/>
          <w:lang w:val="fr-BE"/>
        </w:rPr>
      </w:pPr>
      <w:r w:rsidRPr="00BC317F">
        <w:rPr>
          <w:rFonts w:ascii="Times New Roman" w:hAnsi="Times New Roman"/>
          <w:b/>
          <w:i/>
          <w:noProof/>
          <w:sz w:val="28"/>
          <w:lang w:val="fr-BE"/>
        </w:rPr>
        <w:t>Lever les obstacles prudentiels à l’intégration</w:t>
      </w:r>
    </w:p>
    <w:p w14:paraId="488B1ED1" w14:textId="77777777" w:rsidR="00BC317F" w:rsidRPr="00BC317F" w:rsidRDefault="00BC317F" w:rsidP="00BC317F">
      <w:pPr>
        <w:spacing w:line="276" w:lineRule="auto"/>
        <w:jc w:val="both"/>
        <w:rPr>
          <w:rFonts w:ascii="Times New Roman" w:eastAsia="Yu Mincho" w:hAnsi="Times New Roman" w:cs="Times New Roman"/>
          <w:noProof/>
          <w:sz w:val="24"/>
          <w:szCs w:val="24"/>
          <w:lang w:val="fr-BE"/>
        </w:rPr>
      </w:pPr>
      <w:r w:rsidRPr="00BC317F">
        <w:rPr>
          <w:rFonts w:ascii="Times New Roman" w:hAnsi="Times New Roman"/>
          <w:b/>
          <w:noProof/>
          <w:sz w:val="24"/>
          <w:lang w:val="fr-BE"/>
        </w:rPr>
        <w:t>Les groupes bancaires de l’UE doivent se conformer à des exigences prudentielles à chaque niveau, de la société mère principale à chaque filiale.</w:t>
      </w:r>
      <w:r w:rsidRPr="00BC317F">
        <w:rPr>
          <w:rFonts w:ascii="Times New Roman" w:hAnsi="Times New Roman"/>
          <w:noProof/>
          <w:sz w:val="24"/>
          <w:lang w:val="fr-BE"/>
        </w:rPr>
        <w:t xml:space="preserve"> Le droit de l’Union prévoit des exceptions à ces règles, mais surtout dans le cas où une filiale est située dans le même État membre que sa société mère. Les exigences prudentielles applicables aux groupes transfrontières apportent des assurances aux États membres d’accueil quant à la stabilité financière locale, mais elles peuvent empêcher une allocation efficiente des ressources au sein de ces groupes et, en fin de compte, peser sur leurs performances et leur résilience globales. Les autorités de surveillance des groupes transfrontières devraient être dotées des pouvoirs nécessaires pour garantir une répartition plus efficiente des liquidités et des capitaux entre la société mère et ses filiales, notamment en situation de crise. Cette allocation plus efficiente des ressources au sein des groupes bancaires transfrontières serait synonyme de possibilités accrues d’économies d’échelle et de diversification des risques (notamment en ce qui concerne les expositions souveraines</w:t>
      </w:r>
      <w:r>
        <w:rPr>
          <w:rStyle w:val="FootnoteReference"/>
          <w:rFonts w:ascii="Times New Roman" w:eastAsia="Yu Mincho" w:hAnsi="Times New Roman" w:cs="Times New Roman"/>
          <w:noProof/>
          <w:sz w:val="24"/>
          <w:szCs w:val="24"/>
          <w:lang w:val="en-IE"/>
        </w:rPr>
        <w:footnoteReference w:id="17"/>
      </w:r>
      <w:r w:rsidRPr="00BC317F">
        <w:rPr>
          <w:rFonts w:ascii="Times New Roman" w:hAnsi="Times New Roman"/>
          <w:noProof/>
          <w:sz w:val="24"/>
          <w:lang w:val="fr-BE"/>
        </w:rPr>
        <w:t xml:space="preserve">) et de baisse des coûts pour les ménages et les entreprises. De tels effets positifs rendraient le secteur bancaire globalement plus compétitif et faciliteraient le financement des grandes priorités de l’UE. La manière dont les groupes transfrontières structurent leurs activités devrait se fonder sur des décisions commerciales conformes aux exigences prudentielles et à celles de la politique de concurrence et ne devrait pas faire l’objet d’ingérences injustifiées de la part des autorités nationales. </w:t>
      </w:r>
    </w:p>
    <w:p w14:paraId="1C2A233A" w14:textId="77777777" w:rsidR="00BC317F" w:rsidRPr="00BC317F" w:rsidRDefault="00BC317F" w:rsidP="00BC317F">
      <w:pPr>
        <w:spacing w:line="276" w:lineRule="auto"/>
        <w:jc w:val="both"/>
        <w:rPr>
          <w:rFonts w:ascii="Times New Roman" w:eastAsia="Yu Mincho" w:hAnsi="Times New Roman" w:cs="Times New Roman"/>
          <w:noProof/>
          <w:sz w:val="24"/>
          <w:szCs w:val="24"/>
          <w:lang w:val="fr-BE"/>
        </w:rPr>
      </w:pPr>
      <w:r w:rsidRPr="00BC317F">
        <w:rPr>
          <w:rFonts w:ascii="Times New Roman" w:hAnsi="Times New Roman"/>
          <w:noProof/>
          <w:sz w:val="24"/>
          <w:lang w:val="fr-BE"/>
        </w:rPr>
        <w:t>Dans ce contexte, la Commission:</w:t>
      </w:r>
    </w:p>
    <w:p w14:paraId="17961FBF" w14:textId="77777777" w:rsidR="00BC317F" w:rsidRPr="00BC317F" w:rsidRDefault="00BC317F" w:rsidP="00BC317F">
      <w:pPr>
        <w:pStyle w:val="ListParagraph"/>
        <w:numPr>
          <w:ilvl w:val="0"/>
          <w:numId w:val="17"/>
        </w:numPr>
        <w:spacing w:after="120" w:line="276" w:lineRule="auto"/>
        <w:ind w:left="714" w:hanging="357"/>
        <w:contextualSpacing w:val="0"/>
        <w:jc w:val="both"/>
        <w:rPr>
          <w:rFonts w:ascii="Times New Roman" w:hAnsi="Times New Roman" w:cs="Times New Roman"/>
          <w:noProof/>
          <w:sz w:val="24"/>
          <w:szCs w:val="24"/>
          <w:lang w:val="fr-BE"/>
        </w:rPr>
      </w:pPr>
      <w:r w:rsidRPr="00BC317F">
        <w:rPr>
          <w:rFonts w:ascii="Times New Roman" w:hAnsi="Times New Roman"/>
          <w:b/>
          <w:i/>
          <w:noProof/>
          <w:sz w:val="24"/>
          <w:lang w:val="fr-BE"/>
        </w:rPr>
        <w:t>proposera des mesures visant à permettre aux groupes transfrontières d’allouer leurs capitaux et leurs liquidités de manière plus efficiente. Les autorités de surveillance à l’échelle du groupe devraient être dotées des pouvoirs nécessaires pour faire respecter les exigences au niveau de l’entité mère et pour imposer à cette dernière d’allouer, de manière exécutoire et en temps utile, des ressources suffisantes à ses filiales, en situation de continuité d’exploitation comme en situation de crise. L’exercice de ces pouvoirs devrait prendre en compte la diversité des groupes bancaires transfrontières, notamment la nature de leurs filiales, leur résilience, ainsi que le niveau d’intégration et les engagements pris au sein de ces groupes.</w:t>
      </w:r>
      <w:r w:rsidRPr="00BC317F">
        <w:rPr>
          <w:rFonts w:ascii="Times New Roman" w:hAnsi="Times New Roman"/>
          <w:noProof/>
          <w:sz w:val="24"/>
          <w:lang w:val="fr-BE"/>
        </w:rPr>
        <w:t xml:space="preserve"> </w:t>
      </w:r>
      <w:r w:rsidRPr="00BC317F">
        <w:rPr>
          <w:rFonts w:ascii="Times New Roman" w:hAnsi="Times New Roman"/>
          <w:b/>
          <w:i/>
          <w:noProof/>
          <w:sz w:val="24"/>
          <w:lang w:val="fr-BE"/>
        </w:rPr>
        <w:t>En outre, il devrait reposer sur des garanties appropriées en ce qui concerne la protection des créanciers et des déposants;</w:t>
      </w:r>
    </w:p>
    <w:p w14:paraId="754C9449" w14:textId="77777777" w:rsidR="00BC317F" w:rsidRPr="00BC317F" w:rsidRDefault="00BC317F" w:rsidP="00BC317F">
      <w:pPr>
        <w:pStyle w:val="ListParagraph"/>
        <w:numPr>
          <w:ilvl w:val="0"/>
          <w:numId w:val="17"/>
        </w:numPr>
        <w:spacing w:after="120" w:line="276" w:lineRule="auto"/>
        <w:contextualSpacing w:val="0"/>
        <w:jc w:val="both"/>
        <w:rPr>
          <w:rFonts w:ascii="Times New Roman" w:hAnsi="Times New Roman" w:cs="Times New Roman"/>
          <w:b/>
          <w:bCs/>
          <w:i/>
          <w:iCs/>
          <w:noProof/>
          <w:sz w:val="24"/>
          <w:szCs w:val="24"/>
          <w:lang w:val="fr-BE"/>
        </w:rPr>
      </w:pPr>
      <w:r w:rsidRPr="00BC317F">
        <w:rPr>
          <w:rFonts w:ascii="Times New Roman" w:hAnsi="Times New Roman"/>
          <w:b/>
          <w:i/>
          <w:noProof/>
          <w:sz w:val="24"/>
          <w:lang w:val="fr-BE"/>
        </w:rPr>
        <w:t>proposera des mesures afin qu’un traitement réglementaire similaire des expositions intragroupe</w:t>
      </w:r>
      <w:r>
        <w:rPr>
          <w:rStyle w:val="FootnoteReference"/>
          <w:rFonts w:ascii="Times New Roman" w:hAnsi="Times New Roman" w:cs="Times New Roman"/>
          <w:b/>
          <w:bCs/>
          <w:i/>
          <w:iCs/>
          <w:noProof/>
          <w:sz w:val="24"/>
          <w:szCs w:val="24"/>
          <w:lang w:val="en-IE"/>
        </w:rPr>
        <w:footnoteReference w:id="18"/>
      </w:r>
      <w:r w:rsidRPr="00BC317F">
        <w:rPr>
          <w:rFonts w:ascii="Times New Roman" w:hAnsi="Times New Roman"/>
          <w:b/>
          <w:i/>
          <w:noProof/>
          <w:sz w:val="24"/>
          <w:lang w:val="fr-BE"/>
        </w:rPr>
        <w:t xml:space="preserve"> soit appliqué au niveau national et au niveau de l’UE;</w:t>
      </w:r>
    </w:p>
    <w:p w14:paraId="15E1B3AD" w14:textId="77777777" w:rsidR="00BC317F" w:rsidRPr="00BC317F" w:rsidRDefault="00BC317F" w:rsidP="00BC317F">
      <w:pPr>
        <w:pStyle w:val="ListParagraph"/>
        <w:numPr>
          <w:ilvl w:val="0"/>
          <w:numId w:val="17"/>
        </w:numPr>
        <w:spacing w:after="120" w:line="276" w:lineRule="auto"/>
        <w:ind w:left="714" w:hanging="357"/>
        <w:contextualSpacing w:val="0"/>
        <w:jc w:val="both"/>
        <w:rPr>
          <w:rFonts w:ascii="Times New Roman" w:hAnsi="Times New Roman" w:cs="Times New Roman"/>
          <w:noProof/>
          <w:sz w:val="24"/>
          <w:szCs w:val="24"/>
          <w:lang w:val="fr-BE"/>
        </w:rPr>
      </w:pPr>
      <w:r w:rsidRPr="00BC317F">
        <w:rPr>
          <w:rFonts w:ascii="Times New Roman" w:hAnsi="Times New Roman"/>
          <w:b/>
          <w:i/>
          <w:noProof/>
          <w:sz w:val="24"/>
          <w:lang w:val="fr-BE"/>
        </w:rPr>
        <w:t>proposera de nouvelles mesures pour remédier au risque de concentration excessive des expositions souveraines et encourager les banques à diversifier davantage leurs portefeuilles d’obligations souveraines;</w:t>
      </w:r>
      <w:r w:rsidRPr="00BC317F">
        <w:rPr>
          <w:rFonts w:ascii="Times New Roman" w:hAnsi="Times New Roman"/>
          <w:noProof/>
          <w:sz w:val="24"/>
          <w:lang w:val="fr-BE"/>
        </w:rPr>
        <w:t xml:space="preserve"> </w:t>
      </w:r>
    </w:p>
    <w:p w14:paraId="0EB6B0C5" w14:textId="77777777" w:rsidR="00BC317F" w:rsidRPr="00BC317F" w:rsidRDefault="00BC317F" w:rsidP="00BC317F">
      <w:pPr>
        <w:pStyle w:val="ListParagraph"/>
        <w:numPr>
          <w:ilvl w:val="0"/>
          <w:numId w:val="17"/>
        </w:numPr>
        <w:spacing w:after="120" w:line="276" w:lineRule="auto"/>
        <w:ind w:left="714" w:hanging="357"/>
        <w:contextualSpacing w:val="0"/>
        <w:jc w:val="both"/>
        <w:rPr>
          <w:rFonts w:ascii="Times New Roman" w:hAnsi="Times New Roman" w:cs="Times New Roman"/>
          <w:noProof/>
          <w:sz w:val="24"/>
          <w:szCs w:val="24"/>
          <w:lang w:val="fr-BE"/>
        </w:rPr>
      </w:pPr>
      <w:r w:rsidRPr="00BC317F">
        <w:rPr>
          <w:rFonts w:ascii="Times New Roman" w:hAnsi="Times New Roman"/>
          <w:b/>
          <w:i/>
          <w:noProof/>
          <w:sz w:val="24"/>
          <w:lang w:val="fr-BE"/>
        </w:rPr>
        <w:t>aura recours à la panoplie d’outils dont elle dispose pour faire respecter le droit de l’Union si elle constate des violations de celui-ci par les États membres, notamment en ce qui concerne les interventions dans des opérations de fusion et acquisition qui risquent de porter atteinte à la libre circulation des services et des capitaux ainsi qu’à la liberté d’établissement prévues par le traité sur le fonctionnement de l’Union européenne. Le projet de nouvelles lignes directrices sur les concentrations</w:t>
      </w:r>
      <w:r>
        <w:rPr>
          <w:rStyle w:val="FootnoteReference"/>
          <w:rFonts w:ascii="Times New Roman" w:eastAsia="Yu Mincho" w:hAnsi="Times New Roman" w:cs="Times New Roman"/>
          <w:b/>
          <w:i/>
          <w:noProof/>
          <w:sz w:val="24"/>
          <w:szCs w:val="24"/>
          <w:lang w:val="en-IE"/>
        </w:rPr>
        <w:footnoteReference w:id="19"/>
      </w:r>
      <w:r w:rsidRPr="00BC317F">
        <w:rPr>
          <w:rFonts w:ascii="Times New Roman" w:hAnsi="Times New Roman"/>
          <w:b/>
          <w:i/>
          <w:noProof/>
          <w:sz w:val="24"/>
          <w:lang w:val="fr-BE"/>
        </w:rPr>
        <w:t xml:space="preserve"> prévoit aussi de donner aux États membres des indications plus claires sur les circonstances dans lesquelles ils peuvent intervenir dans les opérations soumises au contrôle des concentrations au niveau de l’UE.</w:t>
      </w:r>
    </w:p>
    <w:p w14:paraId="11A81C88" w14:textId="77777777" w:rsidR="00BC317F" w:rsidRPr="00BC317F" w:rsidRDefault="00BC317F" w:rsidP="00BC317F">
      <w:pPr>
        <w:pStyle w:val="ListParagraph"/>
        <w:spacing w:after="120" w:line="276" w:lineRule="auto"/>
        <w:ind w:left="714"/>
        <w:contextualSpacing w:val="0"/>
        <w:jc w:val="both"/>
        <w:rPr>
          <w:rFonts w:ascii="Times New Roman" w:hAnsi="Times New Roman"/>
          <w:noProof/>
          <w:sz w:val="24"/>
          <w:lang w:val="fr-BE"/>
        </w:rPr>
      </w:pPr>
    </w:p>
    <w:p w14:paraId="795B5243" w14:textId="77777777" w:rsidR="00BC317F" w:rsidRPr="00B33098" w:rsidRDefault="00BC317F" w:rsidP="00BC317F">
      <w:pPr>
        <w:pStyle w:val="ListParagraph"/>
        <w:numPr>
          <w:ilvl w:val="0"/>
          <w:numId w:val="45"/>
        </w:numPr>
        <w:spacing w:line="276" w:lineRule="auto"/>
        <w:jc w:val="both"/>
        <w:rPr>
          <w:rFonts w:ascii="Times New Roman" w:eastAsia="Yu Mincho" w:hAnsi="Times New Roman" w:cs="Times New Roman"/>
          <w:b/>
          <w:bCs/>
          <w:i/>
          <w:iCs/>
          <w:noProof/>
          <w:sz w:val="28"/>
          <w:szCs w:val="28"/>
        </w:rPr>
      </w:pPr>
      <w:r>
        <w:rPr>
          <w:rFonts w:ascii="Times New Roman" w:hAnsi="Times New Roman"/>
          <w:b/>
          <w:i/>
          <w:noProof/>
          <w:sz w:val="28"/>
        </w:rPr>
        <w:t>Prévoir des garde-fous appropriés</w:t>
      </w:r>
    </w:p>
    <w:p w14:paraId="3F6FD1C5" w14:textId="77777777" w:rsidR="00BC317F" w:rsidRPr="00BC317F" w:rsidRDefault="00BC317F" w:rsidP="00BC317F">
      <w:pPr>
        <w:spacing w:line="276" w:lineRule="auto"/>
        <w:jc w:val="both"/>
        <w:rPr>
          <w:rFonts w:ascii="Times New Roman" w:eastAsia="Yu Mincho" w:hAnsi="Times New Roman" w:cs="Times New Roman"/>
          <w:noProof/>
          <w:sz w:val="24"/>
          <w:szCs w:val="24"/>
          <w:lang w:val="fr-BE"/>
        </w:rPr>
      </w:pPr>
      <w:r w:rsidRPr="00BC317F">
        <w:rPr>
          <w:rFonts w:ascii="Times New Roman" w:hAnsi="Times New Roman"/>
          <w:b/>
          <w:noProof/>
          <w:sz w:val="24"/>
          <w:lang w:val="fr-BE"/>
        </w:rPr>
        <w:t>Les mesures destinées à lever les obstacles prudentiels à l’intégration doivent s’accompagner de garde-fous appropriés garantissant la stabilité financière dans l’ensemble de l’UE.</w:t>
      </w:r>
      <w:r w:rsidRPr="00BC317F">
        <w:rPr>
          <w:rFonts w:ascii="Times New Roman" w:hAnsi="Times New Roman"/>
          <w:noProof/>
          <w:sz w:val="24"/>
          <w:lang w:val="fr-BE"/>
        </w:rPr>
        <w:t xml:space="preserve"> La possibilité que des filiales de groupes bancaires transfrontières soient confrontées, en particulier en temps de crise, à des manques de fonds propres et de liquidités qui obligeraient les autorités nationales à gérer leur défaillance sans soutien suffisant de la part de la société mère continue de susciter des préoccupations. </w:t>
      </w:r>
    </w:p>
    <w:p w14:paraId="3FCF4F1A" w14:textId="77777777" w:rsidR="00BC317F" w:rsidRPr="00BC317F" w:rsidRDefault="00BC317F" w:rsidP="00BC317F">
      <w:pPr>
        <w:spacing w:line="276" w:lineRule="auto"/>
        <w:jc w:val="both"/>
        <w:rPr>
          <w:rFonts w:ascii="Times New Roman" w:eastAsia="Yu Mincho" w:hAnsi="Times New Roman" w:cs="Times New Roman"/>
          <w:noProof/>
          <w:sz w:val="24"/>
          <w:szCs w:val="24"/>
          <w:lang w:val="fr-BE"/>
        </w:rPr>
      </w:pPr>
      <w:r w:rsidRPr="00BC317F">
        <w:rPr>
          <w:rFonts w:ascii="Times New Roman" w:hAnsi="Times New Roman"/>
          <w:noProof/>
          <w:sz w:val="24"/>
          <w:lang w:val="fr-BE"/>
        </w:rPr>
        <w:t xml:space="preserve">De nombreux groupes transfrontières opèrent dans le cadre d’une stratégie de résolution à </w:t>
      </w:r>
      <w:r w:rsidRPr="00BC317F">
        <w:rPr>
          <w:rFonts w:ascii="Times New Roman" w:hAnsi="Times New Roman"/>
          <w:i/>
          <w:noProof/>
          <w:sz w:val="24"/>
          <w:lang w:val="fr-BE"/>
        </w:rPr>
        <w:t>point d’entrée unique</w:t>
      </w:r>
      <w:r w:rsidRPr="00BC317F">
        <w:rPr>
          <w:rFonts w:ascii="Times New Roman" w:hAnsi="Times New Roman"/>
          <w:noProof/>
          <w:sz w:val="24"/>
          <w:lang w:val="fr-BE"/>
        </w:rPr>
        <w:t>, qui prévoit que des mesures de gestion de crise soient appliquées au niveau de la société mère, et que les filiales soient soutenues au moyen d’un transfert de leurs pertes à la société mère et de leur recapitalisation par cette dernière. En cas de défaillance de ce soutien à l’échelle du groupe, les filiales pourraient se retrouver vulnérables, ce qui pourrait déclencher une intervention du système national de garantie des dépôts (SGD), en particulier si les filiales concernées sont importantes pour l’économie locale</w:t>
      </w:r>
      <w:r>
        <w:rPr>
          <w:rStyle w:val="FootnoteReference"/>
          <w:rFonts w:ascii="Times New Roman" w:eastAsia="Yu Mincho" w:hAnsi="Times New Roman" w:cs="Times New Roman"/>
          <w:noProof/>
          <w:sz w:val="24"/>
          <w:szCs w:val="24"/>
          <w:lang w:val="en-IE"/>
        </w:rPr>
        <w:footnoteReference w:id="20"/>
      </w:r>
      <w:r w:rsidRPr="00BC317F">
        <w:rPr>
          <w:rFonts w:ascii="Times New Roman" w:hAnsi="Times New Roman"/>
          <w:noProof/>
          <w:sz w:val="24"/>
          <w:lang w:val="fr-BE"/>
        </w:rPr>
        <w:t>. Pour parer à ces risques, il est nécessaire de renforcer la confiance entre les autorités en veillant à ce que les plans de fonds propres, de liquidité, de redressement et de résolution soient suffisamment solides pour garantir une continuité de services adéquate et éviter des défaillances désordonnées. Il faut également des mécanismes permettant de garantir la solidité financière d’ensemble d’un groupe transfrontière qui, après une résolution, souhaite avoir à nouveau accès aux marchés financiers. Le MSU et le MRU constituent, avec le soutien du corpus réglementaire unique, un bon point de départ pour offrir ces garanties. Les trois quarts des dépôts couverts dans l’union bancaire sont désormais sous la supervision directe du MSU et du CRU et sont détenus dans des banques pour lesquelles une procédure de résolution au niveau de l’UE est prévue, au lieu d’une liquidation dans le cadre d’une procédure nationale d’insolvabilité. Ces banques disposent d’une capacité d’absorption des pertes appropriée et d’un accès potentiel au FRU, ce qui garantit déjà un degré élevé de mutualisation des pertes au sein du secteur bancaire.  Dans le même temps, la Commission tiendra dûment compte des États membres ne faisant pas partie de l’union bancaire, qui relèvent de modalités institutionnelles différentes.</w:t>
      </w:r>
    </w:p>
    <w:p w14:paraId="0F1A7ECD" w14:textId="77777777" w:rsidR="00BC317F" w:rsidRPr="00BC317F" w:rsidRDefault="00BC317F" w:rsidP="00BC317F">
      <w:pPr>
        <w:spacing w:line="276" w:lineRule="auto"/>
        <w:jc w:val="both"/>
        <w:rPr>
          <w:rFonts w:ascii="Times New Roman" w:eastAsia="Yu Mincho" w:hAnsi="Times New Roman" w:cs="Times New Roman"/>
          <w:noProof/>
          <w:sz w:val="24"/>
          <w:szCs w:val="24"/>
          <w:lang w:val="fr-BE"/>
        </w:rPr>
      </w:pPr>
      <w:r w:rsidRPr="00BC317F">
        <w:rPr>
          <w:rFonts w:ascii="Times New Roman" w:hAnsi="Times New Roman"/>
          <w:noProof/>
          <w:sz w:val="24"/>
          <w:lang w:val="fr-BE"/>
        </w:rPr>
        <w:t>Dans ce contexte, la Commission:</w:t>
      </w:r>
    </w:p>
    <w:p w14:paraId="067F3699" w14:textId="77777777" w:rsidR="00BC317F" w:rsidRPr="00BC317F" w:rsidRDefault="00BC317F" w:rsidP="00BC317F">
      <w:pPr>
        <w:pStyle w:val="ListParagraph"/>
        <w:numPr>
          <w:ilvl w:val="0"/>
          <w:numId w:val="46"/>
        </w:numPr>
        <w:spacing w:after="120" w:line="276" w:lineRule="auto"/>
        <w:contextualSpacing w:val="0"/>
        <w:jc w:val="both"/>
        <w:rPr>
          <w:rFonts w:ascii="Times New Roman" w:hAnsi="Times New Roman" w:cs="Times New Roman"/>
          <w:b/>
          <w:bCs/>
          <w:i/>
          <w:iCs/>
          <w:noProof/>
          <w:sz w:val="24"/>
          <w:szCs w:val="24"/>
          <w:lang w:val="fr-BE"/>
        </w:rPr>
      </w:pPr>
      <w:bookmarkStart w:id="9" w:name="_Hlk234778644"/>
      <w:r w:rsidRPr="00BC317F">
        <w:rPr>
          <w:rFonts w:ascii="Times New Roman" w:hAnsi="Times New Roman"/>
          <w:b/>
          <w:i/>
          <w:noProof/>
          <w:sz w:val="24"/>
          <w:lang w:val="fr-BE"/>
        </w:rPr>
        <w:t>remplacera la proposition de système européen d’assurance des dépôts (SEAD) de 2015 par une nouvelle proposition visant à réviser et à simplifier la structure du cadre régissant l’assurance des dépôts pour permettre un meilleur alignement de la responsabilité et du financement des mesures de gestion des crises et d’assurance des dépôts, dans le cadre des filets de sécurité existants de l’union bancaire, tant au niveau central qu’au niveau national. Cette proposition visera également à remédier à la vulnérabilité persistante des SGD aux pénuries de liquidités. L’objectif sera de faire en sorte que la défaillance éventuelle d’un groupe transfrontière n’engendre pas de distorsions dans certains États membres ni de passifs pour les SGD et les budgets nationaux, et que le niveau de protection des dépôts couverts soit le même dans toute l’union bancaire. Dans l’ensemble, le texte proposé réduira la complexité découlant de la séparation actuelle entre les systèmes de garantie des dépôts et les fonds de résolution;</w:t>
      </w:r>
    </w:p>
    <w:bookmarkEnd w:id="9"/>
    <w:p w14:paraId="595E40EE" w14:textId="77777777" w:rsidR="00BC317F" w:rsidRPr="00BC317F" w:rsidRDefault="00BC317F" w:rsidP="00BC317F">
      <w:pPr>
        <w:pStyle w:val="ListParagraph"/>
        <w:numPr>
          <w:ilvl w:val="0"/>
          <w:numId w:val="46"/>
        </w:numPr>
        <w:spacing w:after="120" w:line="276" w:lineRule="auto"/>
        <w:contextualSpacing w:val="0"/>
        <w:jc w:val="both"/>
        <w:rPr>
          <w:rFonts w:ascii="Times New Roman" w:hAnsi="Times New Roman" w:cs="Times New Roman"/>
          <w:b/>
          <w:bCs/>
          <w:i/>
          <w:iCs/>
          <w:noProof/>
          <w:sz w:val="24"/>
          <w:szCs w:val="24"/>
          <w:lang w:val="fr-BE"/>
        </w:rPr>
      </w:pPr>
      <w:r w:rsidRPr="00BC317F">
        <w:rPr>
          <w:rFonts w:ascii="Times New Roman" w:hAnsi="Times New Roman"/>
          <w:b/>
          <w:i/>
          <w:noProof/>
          <w:sz w:val="24"/>
          <w:lang w:val="fr-BE"/>
        </w:rPr>
        <w:t>proposera des mesures pour améliorer la prévisibilité des stratégies de résolution de groupe et favoriser une allocation plus intégrée des fonds au sein des groupes transfrontières, notamment en période de tensions;</w:t>
      </w:r>
    </w:p>
    <w:p w14:paraId="0FEDD0E4" w14:textId="77777777" w:rsidR="00BC317F" w:rsidRPr="00BC317F" w:rsidRDefault="00BC317F" w:rsidP="00BC317F">
      <w:pPr>
        <w:pStyle w:val="ListParagraph"/>
        <w:numPr>
          <w:ilvl w:val="0"/>
          <w:numId w:val="46"/>
        </w:numPr>
        <w:spacing w:after="120" w:line="276" w:lineRule="auto"/>
        <w:contextualSpacing w:val="0"/>
        <w:jc w:val="both"/>
        <w:rPr>
          <w:rFonts w:ascii="Times New Roman" w:hAnsi="Times New Roman" w:cs="Times New Roman"/>
          <w:b/>
          <w:bCs/>
          <w:i/>
          <w:iCs/>
          <w:noProof/>
          <w:sz w:val="24"/>
          <w:szCs w:val="24"/>
          <w:lang w:val="fr-BE"/>
        </w:rPr>
      </w:pPr>
      <w:r w:rsidRPr="00BC317F">
        <w:rPr>
          <w:rFonts w:ascii="Times New Roman" w:hAnsi="Times New Roman"/>
          <w:b/>
          <w:i/>
          <w:noProof/>
          <w:sz w:val="24"/>
          <w:lang w:val="fr-BE"/>
        </w:rPr>
        <w:t xml:space="preserve">soutiendra les efforts actuellement déployés par les établissements concernés et les États membres pour renforcer la crédibilité et la prédictibilité des mécanismes de financement de dernier recours pour la fourniture de liquidités en cas de résolution avec des garanties adéquates, conformément à la dimension européenne de la résolution et de la surveillance au sein de l’union bancaire et aux normes internationales. </w:t>
      </w:r>
    </w:p>
    <w:p w14:paraId="317379EB" w14:textId="77777777" w:rsidR="00BC317F" w:rsidRPr="00BC317F" w:rsidRDefault="00BC317F" w:rsidP="00BC317F">
      <w:pPr>
        <w:pStyle w:val="ListParagraph"/>
        <w:spacing w:after="120" w:line="276" w:lineRule="auto"/>
        <w:ind w:left="714"/>
        <w:contextualSpacing w:val="0"/>
        <w:jc w:val="both"/>
        <w:rPr>
          <w:rFonts w:ascii="Times New Roman" w:hAnsi="Times New Roman"/>
          <w:noProof/>
          <w:sz w:val="24"/>
          <w:lang w:val="fr-BE"/>
        </w:rPr>
      </w:pPr>
    </w:p>
    <w:p w14:paraId="361903F7" w14:textId="77777777" w:rsidR="00BC317F" w:rsidRPr="00BC317F" w:rsidRDefault="00BC317F" w:rsidP="00BC317F">
      <w:pPr>
        <w:pStyle w:val="ListParagraph"/>
        <w:numPr>
          <w:ilvl w:val="0"/>
          <w:numId w:val="47"/>
        </w:numPr>
        <w:spacing w:line="276" w:lineRule="auto"/>
        <w:jc w:val="both"/>
        <w:rPr>
          <w:rFonts w:ascii="Times New Roman" w:eastAsia="Yu Mincho" w:hAnsi="Times New Roman" w:cs="Times New Roman"/>
          <w:b/>
          <w:bCs/>
          <w:i/>
          <w:iCs/>
          <w:noProof/>
          <w:sz w:val="28"/>
          <w:szCs w:val="28"/>
          <w:lang w:val="fr-BE"/>
        </w:rPr>
      </w:pPr>
      <w:r w:rsidRPr="00BC317F">
        <w:rPr>
          <w:rFonts w:ascii="Times New Roman" w:hAnsi="Times New Roman"/>
          <w:b/>
          <w:i/>
          <w:noProof/>
          <w:sz w:val="28"/>
          <w:lang w:val="fr-BE"/>
        </w:rPr>
        <w:t>Lever les obstacles non prudentiels à l’intégration</w:t>
      </w:r>
    </w:p>
    <w:p w14:paraId="78B9DB2A" w14:textId="77777777" w:rsidR="00BC317F" w:rsidRPr="00BC317F" w:rsidRDefault="00BC317F" w:rsidP="00BC317F">
      <w:pPr>
        <w:jc w:val="both"/>
        <w:rPr>
          <w:noProof/>
          <w:lang w:val="fr-BE"/>
        </w:rPr>
      </w:pPr>
      <w:r w:rsidRPr="00BC317F">
        <w:rPr>
          <w:rFonts w:ascii="Times New Roman" w:hAnsi="Times New Roman"/>
          <w:b/>
          <w:noProof/>
          <w:sz w:val="24"/>
          <w:lang w:val="fr-BE"/>
        </w:rPr>
        <w:t xml:space="preserve">Il existe également des obstacles non prudentiels à l’intégration,  coûteux à surmonter pour l’exercice d’activités bancaires transfrontières. </w:t>
      </w:r>
      <w:r w:rsidRPr="00BC317F">
        <w:rPr>
          <w:rFonts w:ascii="Times New Roman" w:hAnsi="Times New Roman"/>
          <w:noProof/>
          <w:sz w:val="24"/>
          <w:lang w:val="fr-BE"/>
        </w:rPr>
        <w:t xml:space="preserve">En l’absence d’un cadre harmonisé au niveau de l’UE, les législations nationales en matière d’insolvabilité restent fragmentées, par exemple en ce qui concerne certains aspects ayant une incidence sur la saisie des garanties de prêts en vertu du droit de la faillite, ce qui continue de restreindre les opérations transfrontières des banques. Les colégislateurs ont accompli des progrès sur des questions spécifiques, par exemple en établissant, dans le cadre mis en place pour la gestion des crises bancaires et l’assurance des dépôts («cadre CMDI»), une hiérarchie uniforme des créanciers. Toutefois, les États membres ne sont, à ce jour, pas parvenus à un consensus sur des tentatives plus structurelles et plus ambitieuses d’harmonisation des législations en matière d’insolvabilité dans l’ensemble de l’Union. La Commission est prête et toujours déterminée à œuvrer en faveur d’une harmonisation plus poussée des législations en matière d’insolvabilité. </w:t>
      </w:r>
    </w:p>
    <w:p w14:paraId="0D19E28E" w14:textId="77777777" w:rsidR="00BC317F" w:rsidRPr="00BC317F" w:rsidRDefault="00BC317F" w:rsidP="00BC317F">
      <w:pPr>
        <w:spacing w:line="276" w:lineRule="auto"/>
        <w:jc w:val="both"/>
        <w:rPr>
          <w:rFonts w:ascii="Times New Roman" w:hAnsi="Times New Roman" w:cs="Times New Roman"/>
          <w:noProof/>
          <w:sz w:val="24"/>
          <w:szCs w:val="24"/>
          <w:lang w:val="fr-BE"/>
        </w:rPr>
      </w:pPr>
      <w:r w:rsidRPr="00BC317F">
        <w:rPr>
          <w:rFonts w:ascii="Times New Roman" w:hAnsi="Times New Roman"/>
          <w:noProof/>
          <w:sz w:val="24"/>
          <w:lang w:val="fr-BE"/>
        </w:rPr>
        <w:t>Les règles en matière de lutte contre le blanchiment de capitaux (LBC) et certaines règles de protection des consommateurs ont, dans une large mesure, été harmonisées à l’échelle de l’UE, mais elles sont souvent appliquées différemment d’un État membre à l’autre. Des efforts législatifs supplémentaires ont été déployés pour parvenir à un niveau d’harmonisation plus élevé, par exemple avec l’établissement, récemment, de l’autorité de lutte contre le blanchiment de capitaux (ALBC) et la nouvelle directive sur le crédit à la consommation, applicable à partir du 20 novembre 2026</w:t>
      </w:r>
      <w:r>
        <w:rPr>
          <w:rStyle w:val="FootnoteReference"/>
          <w:rFonts w:ascii="Times New Roman" w:hAnsi="Times New Roman" w:cs="Times New Roman"/>
          <w:noProof/>
          <w:sz w:val="24"/>
          <w:szCs w:val="24"/>
          <w:lang w:val="en-IE"/>
        </w:rPr>
        <w:footnoteReference w:id="21"/>
      </w:r>
      <w:r w:rsidRPr="00BC317F">
        <w:rPr>
          <w:rFonts w:ascii="Times New Roman" w:hAnsi="Times New Roman"/>
          <w:noProof/>
          <w:sz w:val="24"/>
          <w:lang w:val="fr-BE"/>
        </w:rPr>
        <w:t>.</w:t>
      </w:r>
    </w:p>
    <w:p w14:paraId="351524A6" w14:textId="77777777" w:rsidR="00BC317F" w:rsidRPr="00BC317F" w:rsidRDefault="00BC317F" w:rsidP="00BC317F">
      <w:pPr>
        <w:spacing w:line="276" w:lineRule="auto"/>
        <w:jc w:val="both"/>
        <w:rPr>
          <w:rFonts w:ascii="Times New Roman" w:hAnsi="Times New Roman" w:cs="Times New Roman"/>
          <w:noProof/>
          <w:sz w:val="24"/>
          <w:szCs w:val="24"/>
          <w:lang w:val="fr-BE"/>
        </w:rPr>
      </w:pPr>
      <w:r w:rsidRPr="00BC317F">
        <w:rPr>
          <w:rFonts w:ascii="Times New Roman" w:hAnsi="Times New Roman"/>
          <w:noProof/>
          <w:sz w:val="24"/>
          <w:lang w:val="fr-BE"/>
        </w:rPr>
        <w:t xml:space="preserve">Les obstacles non prudentiels peuvent dissuader les banques de proposer des produits bancaires paneuropéens, tels que des dépôts ou des prêts aux particuliers, et se traduire par des coûts supplémentaires liés à la nécessité d’adapter les systèmes informatiques aux ordres juridiques nationaux différents des 27 États membres. La numérisation et les avancées technologiques des services bancaires (par exemple la banque ouverte, la tokenisation des actifs, l’impact de l’intelligence artificielle, notamment l’accès à des données de haute qualité, l’adaptation des règles aux nouveaux modèles économiques tels que les plateformes de dépôt, les applications destinées aux clients, les portefeuilles électroniques) peuvent doper la compétitivité. </w:t>
      </w:r>
    </w:p>
    <w:p w14:paraId="072BBD97" w14:textId="77777777" w:rsidR="00BC317F" w:rsidRPr="00BC317F" w:rsidRDefault="00BC317F" w:rsidP="00BC317F">
      <w:pPr>
        <w:spacing w:line="276" w:lineRule="auto"/>
        <w:jc w:val="both"/>
        <w:rPr>
          <w:rFonts w:ascii="Times New Roman" w:hAnsi="Times New Roman" w:cs="Times New Roman"/>
          <w:b/>
          <w:bCs/>
          <w:noProof/>
          <w:color w:val="FF0000"/>
          <w:sz w:val="24"/>
          <w:szCs w:val="24"/>
          <w:lang w:val="fr-BE"/>
        </w:rPr>
      </w:pPr>
      <w:r w:rsidRPr="00BC317F">
        <w:rPr>
          <w:rFonts w:ascii="Times New Roman" w:hAnsi="Times New Roman"/>
          <w:noProof/>
          <w:sz w:val="24"/>
          <w:lang w:val="fr-BE"/>
        </w:rPr>
        <w:t>Dans ce contexte, la Commission:</w:t>
      </w:r>
    </w:p>
    <w:p w14:paraId="3414EFB2" w14:textId="77777777" w:rsidR="00BC317F" w:rsidRPr="00BC317F" w:rsidRDefault="00BC317F" w:rsidP="00BC317F">
      <w:pPr>
        <w:pStyle w:val="ListParagraph"/>
        <w:numPr>
          <w:ilvl w:val="0"/>
          <w:numId w:val="48"/>
        </w:numPr>
        <w:spacing w:after="120" w:line="276" w:lineRule="auto"/>
        <w:contextualSpacing w:val="0"/>
        <w:jc w:val="both"/>
        <w:rPr>
          <w:rFonts w:ascii="Times New Roman" w:hAnsi="Times New Roman" w:cs="Times New Roman"/>
          <w:b/>
          <w:bCs/>
          <w:i/>
          <w:iCs/>
          <w:noProof/>
          <w:sz w:val="24"/>
          <w:szCs w:val="24"/>
          <w:lang w:val="fr-BE"/>
        </w:rPr>
      </w:pPr>
      <w:r w:rsidRPr="00BC317F">
        <w:rPr>
          <w:rFonts w:ascii="Times New Roman" w:hAnsi="Times New Roman"/>
          <w:b/>
          <w:i/>
          <w:noProof/>
          <w:sz w:val="24"/>
          <w:lang w:val="fr-BE"/>
        </w:rPr>
        <w:t>collaborera avec l’ALBC à la mise en œuvre du corpus réglementaire unique de l’UE en matière de lutte contre le blanchiment de capitaux, qui sera directement applicable dans les États membres à partir du 10 juillet 2027 et harmonisera dans toute l’Union les exigences en matière de connaissance de la clientèle et de déclaration des activités suspectes;</w:t>
      </w:r>
      <w:r w:rsidRPr="00BC317F">
        <w:rPr>
          <w:rFonts w:ascii="Times New Roman" w:hAnsi="Times New Roman"/>
          <w:noProof/>
          <w:sz w:val="24"/>
          <w:lang w:val="fr-BE"/>
        </w:rPr>
        <w:t xml:space="preserve"> </w:t>
      </w:r>
    </w:p>
    <w:p w14:paraId="223C4F17" w14:textId="77777777" w:rsidR="00BC317F" w:rsidRPr="00BC317F" w:rsidRDefault="00BC317F" w:rsidP="00BC317F">
      <w:pPr>
        <w:pStyle w:val="ListParagraph"/>
        <w:numPr>
          <w:ilvl w:val="0"/>
          <w:numId w:val="48"/>
        </w:numPr>
        <w:spacing w:after="120" w:line="276" w:lineRule="auto"/>
        <w:contextualSpacing w:val="0"/>
        <w:jc w:val="both"/>
        <w:rPr>
          <w:rFonts w:ascii="Times New Roman" w:hAnsi="Times New Roman" w:cs="Times New Roman"/>
          <w:b/>
          <w:bCs/>
          <w:i/>
          <w:iCs/>
          <w:noProof/>
          <w:sz w:val="24"/>
          <w:szCs w:val="24"/>
          <w:lang w:val="fr-BE"/>
        </w:rPr>
      </w:pPr>
      <w:r w:rsidRPr="00BC317F">
        <w:rPr>
          <w:rFonts w:ascii="Times New Roman" w:hAnsi="Times New Roman"/>
          <w:b/>
          <w:i/>
          <w:noProof/>
          <w:sz w:val="24"/>
          <w:lang w:val="fr-BE"/>
        </w:rPr>
        <w:t>continuera de surveiller l’application nationale des règles de protection des consommateurs afin de faciliter et d’encourager les activités transfrontières, en veillant à ce que les consommateurs puissent accéder plus facilement à une offre plus vaste de services bancaires, tout en maintenant un niveau de protection approprié;</w:t>
      </w:r>
    </w:p>
    <w:p w14:paraId="7EB2ED82" w14:textId="77777777" w:rsidR="00BC317F" w:rsidRPr="00BC317F" w:rsidRDefault="00BC317F" w:rsidP="00BC317F">
      <w:pPr>
        <w:pStyle w:val="ListParagraph"/>
        <w:numPr>
          <w:ilvl w:val="0"/>
          <w:numId w:val="48"/>
        </w:numPr>
        <w:spacing w:after="120" w:line="276" w:lineRule="auto"/>
        <w:contextualSpacing w:val="0"/>
        <w:jc w:val="both"/>
        <w:rPr>
          <w:rFonts w:ascii="Times New Roman" w:hAnsi="Times New Roman" w:cs="Times New Roman"/>
          <w:b/>
          <w:bCs/>
          <w:i/>
          <w:iCs/>
          <w:noProof/>
          <w:sz w:val="24"/>
          <w:szCs w:val="24"/>
          <w:lang w:val="fr-BE"/>
        </w:rPr>
      </w:pPr>
      <w:r w:rsidRPr="00BC317F">
        <w:rPr>
          <w:rFonts w:ascii="Times New Roman" w:hAnsi="Times New Roman"/>
          <w:b/>
          <w:i/>
          <w:noProof/>
          <w:sz w:val="24"/>
          <w:lang w:val="fr-BE"/>
        </w:rPr>
        <w:t xml:space="preserve">évaluera si les règles de protection des consommateurs ont été surtransposées ou sont appliquées d’une manière qui fragmente inutilement le marché; </w:t>
      </w:r>
    </w:p>
    <w:p w14:paraId="314E915C" w14:textId="77777777" w:rsidR="00BC317F" w:rsidRPr="00BC317F" w:rsidRDefault="00BC317F" w:rsidP="00BC317F">
      <w:pPr>
        <w:pStyle w:val="ListParagraph"/>
        <w:numPr>
          <w:ilvl w:val="0"/>
          <w:numId w:val="48"/>
        </w:numPr>
        <w:spacing w:after="120" w:line="276" w:lineRule="auto"/>
        <w:contextualSpacing w:val="0"/>
        <w:jc w:val="both"/>
        <w:rPr>
          <w:rFonts w:ascii="Times New Roman" w:hAnsi="Times New Roman" w:cs="Times New Roman"/>
          <w:b/>
          <w:bCs/>
          <w:i/>
          <w:iCs/>
          <w:noProof/>
          <w:sz w:val="24"/>
          <w:szCs w:val="24"/>
          <w:lang w:val="fr-BE"/>
        </w:rPr>
      </w:pPr>
      <w:r w:rsidRPr="00BC317F">
        <w:rPr>
          <w:rFonts w:ascii="Times New Roman" w:hAnsi="Times New Roman"/>
          <w:b/>
          <w:i/>
          <w:noProof/>
          <w:sz w:val="24"/>
          <w:lang w:val="fr-BE"/>
        </w:rPr>
        <w:t xml:space="preserve">continuera d’assurer un suivi du potentiel de numérisation et des implications informatiques pour le secteur bancaire en vue de conserver au cadre réglementaire une souplesse suffisante pour permettre une numérisation plus poussée des services bancaires et favoriser l’innovation, tout en préservant la cyber-résilience.  </w:t>
      </w:r>
    </w:p>
    <w:p w14:paraId="2E2B3716" w14:textId="77777777" w:rsidR="00BC317F" w:rsidRPr="00BC317F" w:rsidRDefault="00BC317F" w:rsidP="00BC317F">
      <w:pPr>
        <w:pStyle w:val="ListParagraph"/>
        <w:spacing w:line="276" w:lineRule="auto"/>
        <w:jc w:val="both"/>
        <w:rPr>
          <w:rFonts w:ascii="Times New Roman" w:hAnsi="Times New Roman" w:cs="Times New Roman"/>
          <w:noProof/>
          <w:sz w:val="28"/>
          <w:szCs w:val="28"/>
          <w:lang w:val="fr-BE"/>
        </w:rPr>
      </w:pPr>
    </w:p>
    <w:p w14:paraId="4AED1777" w14:textId="77777777" w:rsidR="00BC317F" w:rsidRPr="00BC317F" w:rsidRDefault="00BC317F" w:rsidP="00BC317F">
      <w:pPr>
        <w:pStyle w:val="ListParagraph"/>
        <w:numPr>
          <w:ilvl w:val="1"/>
          <w:numId w:val="14"/>
        </w:numPr>
        <w:spacing w:line="276" w:lineRule="auto"/>
        <w:jc w:val="both"/>
        <w:rPr>
          <w:rFonts w:ascii="Times New Roman" w:hAnsi="Times New Roman" w:cs="Times New Roman"/>
          <w:b/>
          <w:bCs/>
          <w:i/>
          <w:iCs/>
          <w:noProof/>
          <w:sz w:val="28"/>
          <w:szCs w:val="28"/>
          <w:lang w:val="fr-BE"/>
        </w:rPr>
      </w:pPr>
      <w:r w:rsidRPr="00BC317F">
        <w:rPr>
          <w:rFonts w:ascii="Times New Roman" w:hAnsi="Times New Roman"/>
          <w:b/>
          <w:noProof/>
          <w:sz w:val="28"/>
          <w:lang w:val="fr-BE"/>
        </w:rPr>
        <w:t xml:space="preserve"> </w:t>
      </w:r>
      <w:r w:rsidRPr="00BC317F">
        <w:rPr>
          <w:rFonts w:ascii="Times New Roman" w:hAnsi="Times New Roman"/>
          <w:b/>
          <w:i/>
          <w:noProof/>
          <w:sz w:val="28"/>
          <w:lang w:val="fr-BE"/>
        </w:rPr>
        <w:t xml:space="preserve">Mettre en œuvre les normes internationales tout en tenant compte des spécificités de l’UE et en garantissant la proportionnalité </w:t>
      </w:r>
    </w:p>
    <w:p w14:paraId="04AA0D38" w14:textId="77777777" w:rsidR="00BC317F" w:rsidRPr="00BC317F" w:rsidRDefault="00BC317F" w:rsidP="00BC317F">
      <w:pPr>
        <w:spacing w:before="240" w:after="240" w:line="276" w:lineRule="auto"/>
        <w:jc w:val="both"/>
        <w:rPr>
          <w:rFonts w:ascii="Times New Roman" w:eastAsia="Yu Mincho" w:hAnsi="Times New Roman" w:cs="Times New Roman"/>
          <w:b/>
          <w:bCs/>
          <w:i/>
          <w:iCs/>
          <w:noProof/>
          <w:sz w:val="28"/>
          <w:szCs w:val="28"/>
          <w:lang w:val="fr-BE"/>
        </w:rPr>
      </w:pPr>
      <w:r w:rsidRPr="00BC317F">
        <w:rPr>
          <w:rFonts w:ascii="Times New Roman" w:hAnsi="Times New Roman"/>
          <w:noProof/>
          <w:sz w:val="24"/>
          <w:lang w:val="fr-BE"/>
        </w:rPr>
        <w:t xml:space="preserve">L’UE a fidèlement adopté les normes internationales et, dans certains domaines, les a surtransposées en les appliquant à tous les niveaux de consolidation et à toutes les banques, et non uniquement aux grandes banques actives à l’international. Cette approche a certes considérablement accru la résilience, mais elle a pu conduire à négliger certaines spécificités de l’UE. </w:t>
      </w:r>
    </w:p>
    <w:p w14:paraId="0AC9E0C8" w14:textId="77777777" w:rsidR="00BC317F" w:rsidRPr="00BC317F" w:rsidRDefault="00BC317F" w:rsidP="00BC317F">
      <w:pPr>
        <w:pStyle w:val="ListParagraph"/>
        <w:numPr>
          <w:ilvl w:val="0"/>
          <w:numId w:val="31"/>
        </w:numPr>
        <w:spacing w:before="240" w:after="240" w:line="276" w:lineRule="auto"/>
        <w:jc w:val="both"/>
        <w:rPr>
          <w:rFonts w:ascii="Times New Roman" w:eastAsia="Yu Mincho" w:hAnsi="Times New Roman" w:cs="Times New Roman"/>
          <w:b/>
          <w:bCs/>
          <w:i/>
          <w:iCs/>
          <w:noProof/>
          <w:sz w:val="28"/>
          <w:szCs w:val="28"/>
          <w:lang w:val="fr-BE"/>
        </w:rPr>
      </w:pPr>
      <w:r w:rsidRPr="00BC317F">
        <w:rPr>
          <w:rFonts w:ascii="Times New Roman" w:hAnsi="Times New Roman"/>
          <w:b/>
          <w:i/>
          <w:noProof/>
          <w:sz w:val="28"/>
          <w:lang w:val="fr-BE"/>
        </w:rPr>
        <w:t xml:space="preserve">Mise en œuvre des normes internationales en tenant compte des spécificités de l’UE </w:t>
      </w:r>
    </w:p>
    <w:p w14:paraId="7DC11E69" w14:textId="77777777" w:rsidR="00BC317F" w:rsidRPr="00BC317F" w:rsidRDefault="00BC317F" w:rsidP="00BC317F">
      <w:pPr>
        <w:spacing w:before="240" w:after="240" w:line="276" w:lineRule="auto"/>
        <w:jc w:val="both"/>
        <w:rPr>
          <w:rFonts w:ascii="Times New Roman" w:eastAsia="Times New Roman" w:hAnsi="Times New Roman" w:cs="Times New Roman"/>
          <w:noProof/>
          <w:sz w:val="24"/>
          <w:szCs w:val="24"/>
          <w:lang w:val="fr-BE"/>
        </w:rPr>
      </w:pPr>
      <w:r w:rsidRPr="00BC317F">
        <w:rPr>
          <w:rFonts w:ascii="Times New Roman" w:hAnsi="Times New Roman"/>
          <w:b/>
          <w:noProof/>
          <w:sz w:val="24"/>
          <w:lang w:val="fr-BE"/>
        </w:rPr>
        <w:t>L’UE a intégré l’accord de Bâle III dans le droit de l’Union et l’applique depuis le 1</w:t>
      </w:r>
      <w:r w:rsidRPr="00BC317F">
        <w:rPr>
          <w:rFonts w:ascii="Times New Roman" w:hAnsi="Times New Roman"/>
          <w:b/>
          <w:noProof/>
          <w:sz w:val="24"/>
          <w:vertAlign w:val="superscript"/>
          <w:lang w:val="fr-BE"/>
        </w:rPr>
        <w:t>er</w:t>
      </w:r>
      <w:r w:rsidRPr="00BC317F">
        <w:rPr>
          <w:rFonts w:ascii="Times New Roman" w:hAnsi="Times New Roman"/>
          <w:b/>
          <w:noProof/>
          <w:sz w:val="24"/>
          <w:lang w:val="fr-BE"/>
        </w:rPr>
        <w:t xml:space="preserve"> janvier 2025, avec un certain nombre de mesures transitoires. </w:t>
      </w:r>
      <w:r w:rsidRPr="00BC317F">
        <w:rPr>
          <w:rFonts w:ascii="Times New Roman" w:hAnsi="Times New Roman"/>
          <w:noProof/>
          <w:sz w:val="24"/>
          <w:lang w:val="fr-BE"/>
        </w:rPr>
        <w:t xml:space="preserve">L’UE constituant l’un des plus grands marchés bancaires au monde, ses autorités de surveillance et la Commission participent à l’élaboration des normes internationales et elles devraient militer activement pour que les cadres internationaux tiennent compte des réalités différentes qui caractérisent les marchés, et notamment de celles du secteur bancaire européen. En outre, les spécificités du secteur bancaire de l’UE devraient être dûment prises en compte lors de la transposition des normes internationales dans le droit de l’Union, pour éviter des effets disproportionnés sur certaines activités ou sur certaines banques et pour que le cadre atteigne ses objectifs prudentiels de manière efficace et équilibrée. </w:t>
      </w:r>
    </w:p>
    <w:p w14:paraId="74B8A677" w14:textId="77777777" w:rsidR="00BC317F" w:rsidRPr="00BC317F" w:rsidRDefault="00BC317F" w:rsidP="00BC317F">
      <w:pPr>
        <w:spacing w:before="240" w:after="240" w:line="276" w:lineRule="auto"/>
        <w:jc w:val="both"/>
        <w:rPr>
          <w:rFonts w:ascii="Times New Roman" w:eastAsia="Times New Roman" w:hAnsi="Times New Roman" w:cs="Times New Roman"/>
          <w:noProof/>
          <w:sz w:val="24"/>
          <w:szCs w:val="24"/>
          <w:lang w:val="fr-BE"/>
        </w:rPr>
      </w:pPr>
      <w:r w:rsidRPr="00BC317F">
        <w:rPr>
          <w:rFonts w:ascii="Times New Roman" w:hAnsi="Times New Roman"/>
          <w:b/>
          <w:noProof/>
          <w:sz w:val="24"/>
          <w:lang w:val="fr-BE"/>
        </w:rPr>
        <w:t>Il est essentiel que les conditions de concurrence soient équitables au niveau international.</w:t>
      </w:r>
      <w:r w:rsidRPr="00BC317F">
        <w:rPr>
          <w:rFonts w:ascii="Times New Roman" w:hAnsi="Times New Roman"/>
          <w:noProof/>
          <w:sz w:val="24"/>
          <w:lang w:val="fr-BE"/>
        </w:rPr>
        <w:t xml:space="preserve"> La Commission a pris des mesures pour reporter au 1</w:t>
      </w:r>
      <w:r w:rsidRPr="00BC317F">
        <w:rPr>
          <w:rFonts w:ascii="Times New Roman" w:hAnsi="Times New Roman"/>
          <w:noProof/>
          <w:sz w:val="24"/>
          <w:vertAlign w:val="superscript"/>
          <w:lang w:val="fr-BE"/>
        </w:rPr>
        <w:t>er</w:t>
      </w:r>
      <w:r w:rsidRPr="00BC317F">
        <w:rPr>
          <w:rFonts w:ascii="Times New Roman" w:hAnsi="Times New Roman"/>
          <w:noProof/>
          <w:sz w:val="24"/>
          <w:lang w:val="fr-BE"/>
        </w:rPr>
        <w:t xml:space="preserve"> janvier 2027 l’entrée en application dans l’UE de certains aspects du dispositif de Bâle sur le risque de marché (révision fondamentale du portefeuille de négociation), dans l’attente de leur mise en œuvre ailleurs dans le monde. Afin que certains des effets de son application soient atténués jusqu’à la fin de 2029, la Commission a adopté, le 4 juin 2026, un acte délégué. Cet acte délégué est à présent en cours d’examen au Conseil et au Parlement européen. </w:t>
      </w:r>
    </w:p>
    <w:p w14:paraId="6AD71B0A" w14:textId="77777777" w:rsidR="00BC317F" w:rsidRPr="00BC317F" w:rsidRDefault="00BC317F" w:rsidP="00BC317F">
      <w:pPr>
        <w:spacing w:before="240" w:after="240" w:line="276" w:lineRule="auto"/>
        <w:jc w:val="both"/>
        <w:rPr>
          <w:rFonts w:ascii="Times New Roman" w:eastAsia="Times New Roman" w:hAnsi="Times New Roman" w:cs="Times New Roman"/>
          <w:noProof/>
          <w:sz w:val="24"/>
          <w:szCs w:val="24"/>
          <w:lang w:val="fr-BE"/>
        </w:rPr>
      </w:pPr>
      <w:r w:rsidRPr="00BC317F">
        <w:rPr>
          <w:rFonts w:ascii="Times New Roman" w:hAnsi="Times New Roman"/>
          <w:b/>
          <w:noProof/>
          <w:sz w:val="24"/>
          <w:lang w:val="fr-BE"/>
        </w:rPr>
        <w:t>L’UE met progressivement en place le plancher de fonds propres</w:t>
      </w:r>
      <w:r>
        <w:rPr>
          <w:rStyle w:val="FootnoteReference"/>
          <w:rFonts w:ascii="Times New Roman" w:eastAsia="Times New Roman" w:hAnsi="Times New Roman" w:cs="Times New Roman"/>
          <w:b/>
          <w:bCs/>
          <w:noProof/>
          <w:sz w:val="24"/>
          <w:szCs w:val="24"/>
          <w:lang w:val="en-IE"/>
        </w:rPr>
        <w:footnoteReference w:id="22"/>
      </w:r>
      <w:r w:rsidRPr="00BC317F">
        <w:rPr>
          <w:rFonts w:ascii="Times New Roman" w:hAnsi="Times New Roman"/>
          <w:b/>
          <w:noProof/>
          <w:sz w:val="24"/>
          <w:lang w:val="fr-BE"/>
        </w:rPr>
        <w:t>, avec un certain nombre de mesures transitoires destinées à permettre aux banques et aux autorités de s’adapter progressivement à l’accord de Bâle.</w:t>
      </w:r>
      <w:r w:rsidRPr="00BC317F">
        <w:rPr>
          <w:rFonts w:ascii="Times New Roman" w:hAnsi="Times New Roman"/>
          <w:noProof/>
          <w:sz w:val="24"/>
          <w:lang w:val="fr-BE"/>
        </w:rPr>
        <w:t xml:space="preserve"> Entre-temps, diverses approches ont été adoptées dans les pays ou territoires tiers, y compris la suppression totale du plancher de fonds propres. Les parties prenantes établies dans l’UE ont exprimé des points de vue différents sur l’avenir du plancher de fonds propres, notamment sur ce qui constituerait un calibrage adéquat, sur le niveau auquel l’exigence devrait s’appliquer (niveau individuel ou consolidé), sur l’étendue des risques couverts par le cadre et la manière dont il interagit avec l’approche standard sous-jacente, par exemple dans des domaines tels que le financement spécialisé, le financement de projets et le financement lié au commerce. </w:t>
      </w:r>
    </w:p>
    <w:p w14:paraId="5935398E" w14:textId="77777777" w:rsidR="00BC317F" w:rsidRPr="00BC317F" w:rsidRDefault="00BC317F" w:rsidP="00BC317F">
      <w:pPr>
        <w:spacing w:before="240" w:after="240" w:line="276" w:lineRule="auto"/>
        <w:jc w:val="both"/>
        <w:rPr>
          <w:rFonts w:ascii="Times New Roman" w:eastAsia="Times New Roman" w:hAnsi="Times New Roman" w:cs="Times New Roman"/>
          <w:noProof/>
          <w:sz w:val="24"/>
          <w:szCs w:val="24"/>
          <w:lang w:val="fr-BE"/>
        </w:rPr>
      </w:pPr>
      <w:bookmarkStart w:id="10" w:name="_Hlk234778682"/>
      <w:r w:rsidRPr="00BC317F">
        <w:rPr>
          <w:rFonts w:ascii="Times New Roman" w:hAnsi="Times New Roman"/>
          <w:b/>
          <w:noProof/>
          <w:sz w:val="24"/>
          <w:lang w:val="fr-BE"/>
        </w:rPr>
        <w:t>Malgré le facteur supplétif pour les PME, le traitement prudentiel des entreprises non notées constitue un défi structurel pour le cadre réglementaire de l’UE.</w:t>
      </w:r>
      <w:r w:rsidRPr="00BC317F">
        <w:rPr>
          <w:rFonts w:ascii="Times New Roman" w:hAnsi="Times New Roman"/>
          <w:noProof/>
          <w:sz w:val="24"/>
          <w:lang w:val="fr-BE"/>
        </w:rPr>
        <w:t xml:space="preserve"> Étant donné que les entreprises de l’UE, et en particulier les PME, se tournent surtout vers les banques plutôt que vers les marchés des capitaux pour se financer, la plupart d’entre elles n’ont pas de notation de crédit externe. La Commission évaluera donc la possibilité de supprimer la nécessité d’une notation externe, en vue de faciliter l’accès de ces entreprises au financement bancaire. Dans le cadre de cette évaluation, elle devrait également examiner si la politique proposée est susceptible de dissuader les entreprises de se procurer une notation de crédit, ce qui nuirait à la transparence ainsi qu’à la croissance à long terme et à la profondeur du marché des actions et des obligations d’entreprises dans l’UE, et réduirait les informations dont disposent les banques pour évaluer les risques des entreprises. Une approche stratégique à long terme devrait être envisagée pour parvenir à l’objectif fondamental de l’union de l’épargne et des investissements consistant à promouvoir une plus grande diversification des sources de financement grâce au marché unique des capitaux. . </w:t>
      </w:r>
    </w:p>
    <w:bookmarkEnd w:id="10"/>
    <w:p w14:paraId="69EDDE37" w14:textId="77777777" w:rsidR="00BC317F" w:rsidRPr="00BC317F" w:rsidRDefault="00BC317F" w:rsidP="00BC317F">
      <w:pPr>
        <w:spacing w:before="240" w:after="240" w:line="276" w:lineRule="auto"/>
        <w:jc w:val="both"/>
        <w:rPr>
          <w:noProof/>
          <w:lang w:val="fr-BE"/>
        </w:rPr>
      </w:pPr>
      <w:r w:rsidRPr="00BC317F">
        <w:rPr>
          <w:rFonts w:ascii="Times New Roman" w:hAnsi="Times New Roman"/>
          <w:b/>
          <w:noProof/>
          <w:sz w:val="24"/>
          <w:lang w:val="fr-BE"/>
        </w:rPr>
        <w:t xml:space="preserve">Le traitement prudentiel des expositions sur les biens immobiliers résidentiels nécessite également un calibrage minutieux. </w:t>
      </w:r>
      <w:r w:rsidRPr="00BC317F">
        <w:rPr>
          <w:rFonts w:ascii="Times New Roman" w:hAnsi="Times New Roman"/>
          <w:noProof/>
          <w:sz w:val="24"/>
          <w:lang w:val="fr-BE"/>
        </w:rPr>
        <w:t>Les exigences dans ce domaine peuvent influer sur l’accès au financement pour le logement, notamment avoir un impact sur l’offre de logements, et affecter le fonctionnement de segments de marché spécifiques, tandis que le cadre doit rester sensible au risque. Dans le même temps, il convient de tenir compte du fait que, dans un contexte d’offre limitée, des mesures visant à accroître les prêts hypothécaires pourraient tirer les prix de l’immobilier vers le haut, ce qui aggraverait le problème d'accessibilité financière des logements et compromettrait l’objectif visé.</w:t>
      </w:r>
    </w:p>
    <w:p w14:paraId="6572D7D1" w14:textId="77777777" w:rsidR="00BC317F" w:rsidRPr="00BC317F" w:rsidRDefault="00BC317F" w:rsidP="00BC317F">
      <w:pPr>
        <w:spacing w:before="240" w:after="240" w:line="276" w:lineRule="auto"/>
        <w:jc w:val="both"/>
        <w:rPr>
          <w:rFonts w:ascii="Times New Roman" w:eastAsia="Times New Roman" w:hAnsi="Times New Roman" w:cs="Times New Roman"/>
          <w:noProof/>
          <w:sz w:val="24"/>
          <w:szCs w:val="24"/>
          <w:lang w:val="fr-BE"/>
        </w:rPr>
      </w:pPr>
      <w:r w:rsidRPr="00BC317F">
        <w:rPr>
          <w:rFonts w:ascii="Times New Roman" w:hAnsi="Times New Roman"/>
          <w:b/>
          <w:noProof/>
          <w:sz w:val="24"/>
          <w:lang w:val="fr-BE"/>
        </w:rPr>
        <w:t>Dans d’autres domaines, afin de renforcer la compétitivité internationale et de soutenir la numérisation, des modifications du cadre prudentiel, concernant par exemple le traitement des actifs logiciels, pourraient être envisagées.</w:t>
      </w:r>
      <w:r w:rsidRPr="00BC317F">
        <w:rPr>
          <w:rFonts w:ascii="Times New Roman" w:hAnsi="Times New Roman"/>
          <w:noProof/>
          <w:sz w:val="24"/>
          <w:lang w:val="fr-BE"/>
        </w:rPr>
        <w:t xml:space="preserve"> Les règles de l’UE imposent aux banques de déduire en grande partie les investissements dans des logiciels de leurs fonds propres de base. Cette approche traite les logiciels comme un coût physique et non comme un actif commercial concurrentiel, et beaucoup considèrent qu’elle désavantage les banques de l’UE par rapport à celles d’autres pays ou territoires. Toutefois, la prudence de l’approche de l’UE peut également être considérée comme un atout au moment même où les évolutions de l’intelligence artificielle remettent en question la valeur des actifs logiciels. Plus généralement, le cadre prudentiel devrait mieux tenir compte du rôle des actifs incorporels dans une économie moderne.  </w:t>
      </w:r>
    </w:p>
    <w:p w14:paraId="01CE6617" w14:textId="77777777" w:rsidR="00BC317F" w:rsidRPr="00BC317F" w:rsidRDefault="00BC317F" w:rsidP="00BC317F">
      <w:pPr>
        <w:spacing w:before="240" w:after="240" w:line="276" w:lineRule="auto"/>
        <w:jc w:val="both"/>
        <w:rPr>
          <w:rFonts w:ascii="Times New Roman" w:eastAsia="Times New Roman" w:hAnsi="Times New Roman" w:cs="Times New Roman"/>
          <w:noProof/>
          <w:sz w:val="24"/>
          <w:szCs w:val="24"/>
          <w:lang w:val="fr-BE"/>
        </w:rPr>
      </w:pPr>
      <w:r w:rsidRPr="00BC317F">
        <w:rPr>
          <w:rFonts w:ascii="Times New Roman" w:hAnsi="Times New Roman"/>
          <w:noProof/>
          <w:sz w:val="24"/>
          <w:lang w:val="fr-BE"/>
        </w:rPr>
        <w:t xml:space="preserve">Enfin, </w:t>
      </w:r>
      <w:r w:rsidRPr="00BC317F">
        <w:rPr>
          <w:rFonts w:ascii="Times New Roman" w:hAnsi="Times New Roman"/>
          <w:b/>
          <w:noProof/>
          <w:sz w:val="24"/>
          <w:lang w:val="fr-BE"/>
        </w:rPr>
        <w:t>la compétitivité du secteur bancaire de l’UE n’est pas seulement une question de considérations prudentielles, de technologie et d’innovation. Elle dépend également de la capacité des banques à attirer, retenir et valoriser les professionnels hautement qualifiés sur le marché mondial des talents.</w:t>
      </w:r>
      <w:r w:rsidRPr="00BC317F">
        <w:rPr>
          <w:rFonts w:ascii="Times New Roman" w:hAnsi="Times New Roman"/>
          <w:noProof/>
          <w:sz w:val="24"/>
          <w:lang w:val="fr-BE"/>
        </w:rPr>
        <w:t xml:space="preserve"> Dans ce contexte, la Commission évalue actuellement des ajustements possibles du cadre régissant la rémunération. Des règles de rémunération actualisées pourraient permettre de renforcer la compétitivité du secteur bancaire de l’UE tout en garantissant que les politiques de rémunération n’incitent pas à une prise de risque excessive. </w:t>
      </w:r>
    </w:p>
    <w:p w14:paraId="662F28D1" w14:textId="77777777" w:rsidR="00BC317F" w:rsidRPr="00BC317F" w:rsidRDefault="00BC317F" w:rsidP="00BC317F">
      <w:pPr>
        <w:spacing w:before="240" w:after="240" w:line="276" w:lineRule="auto"/>
        <w:jc w:val="both"/>
        <w:rPr>
          <w:rFonts w:ascii="Times New Roman" w:eastAsia="Times New Roman" w:hAnsi="Times New Roman" w:cs="Times New Roman"/>
          <w:noProof/>
          <w:sz w:val="24"/>
          <w:szCs w:val="24"/>
          <w:lang w:val="fr-BE"/>
        </w:rPr>
      </w:pPr>
      <w:r w:rsidRPr="00BC317F">
        <w:rPr>
          <w:rFonts w:ascii="Times New Roman" w:hAnsi="Times New Roman"/>
          <w:noProof/>
          <w:sz w:val="24"/>
          <w:lang w:val="fr-BE"/>
        </w:rPr>
        <w:t>Dans ce contexte, la Commission:</w:t>
      </w:r>
    </w:p>
    <w:p w14:paraId="3A3DB711" w14:textId="77777777" w:rsidR="00BC317F" w:rsidRPr="00BC317F" w:rsidRDefault="00BC317F" w:rsidP="00BC317F">
      <w:pPr>
        <w:pStyle w:val="ListParagraph"/>
        <w:numPr>
          <w:ilvl w:val="0"/>
          <w:numId w:val="49"/>
        </w:numPr>
        <w:spacing w:after="120" w:line="276" w:lineRule="auto"/>
        <w:contextualSpacing w:val="0"/>
        <w:jc w:val="both"/>
        <w:rPr>
          <w:rFonts w:ascii="Times New Roman" w:eastAsia="Times New Roman" w:hAnsi="Times New Roman" w:cs="Times New Roman"/>
          <w:b/>
          <w:bCs/>
          <w:i/>
          <w:iCs/>
          <w:noProof/>
          <w:sz w:val="24"/>
          <w:szCs w:val="24"/>
          <w:lang w:val="fr-BE"/>
        </w:rPr>
      </w:pPr>
      <w:bookmarkStart w:id="11" w:name="_Hlk234778721"/>
      <w:r w:rsidRPr="00BC317F">
        <w:rPr>
          <w:rFonts w:ascii="Times New Roman" w:hAnsi="Times New Roman"/>
          <w:b/>
          <w:i/>
          <w:noProof/>
          <w:sz w:val="24"/>
          <w:lang w:val="fr-BE"/>
        </w:rPr>
        <w:t>présentera des propositions claires sur le plancher de fonds propres et ses dispositions transitoires relatives aux entreprises non notées et aux prêts hypothécaires par rapport à la compétitivité des banques de l’UE, et sur son interaction avec les autres parties du cadre, y compris des mesures permettant de concilier comme il se doit résilience et financement plus large de l’économie;</w:t>
      </w:r>
    </w:p>
    <w:bookmarkEnd w:id="11"/>
    <w:p w14:paraId="6CA4C92F" w14:textId="77777777" w:rsidR="00BC317F" w:rsidRPr="00BC317F" w:rsidRDefault="00BC317F" w:rsidP="00BC317F">
      <w:pPr>
        <w:pStyle w:val="ListParagraph"/>
        <w:numPr>
          <w:ilvl w:val="0"/>
          <w:numId w:val="49"/>
        </w:numPr>
        <w:spacing w:after="120" w:line="276" w:lineRule="auto"/>
        <w:contextualSpacing w:val="0"/>
        <w:jc w:val="both"/>
        <w:rPr>
          <w:rFonts w:ascii="Times New Roman" w:hAnsi="Times New Roman" w:cs="Times New Roman"/>
          <w:b/>
          <w:bCs/>
          <w:i/>
          <w:iCs/>
          <w:noProof/>
          <w:sz w:val="24"/>
          <w:szCs w:val="24"/>
          <w:lang w:val="fr-BE"/>
        </w:rPr>
      </w:pPr>
      <w:r w:rsidRPr="00BC317F">
        <w:rPr>
          <w:rFonts w:ascii="Times New Roman" w:hAnsi="Times New Roman"/>
          <w:b/>
          <w:i/>
          <w:noProof/>
          <w:sz w:val="24"/>
          <w:lang w:val="fr-BE"/>
        </w:rPr>
        <w:t>continuera de surveiller la mise en œuvre des normes internationales dans les différents pays et territoires et à mettre en œuvre une approche stratégique à long terme propre à l’UE en matière d’exigences de fonds propres pour risque de marché, fondée sur l’expérience acquise et sur des considérations relatives à l’égalité des conditions de concurrence;</w:t>
      </w:r>
    </w:p>
    <w:p w14:paraId="08C71141" w14:textId="77777777" w:rsidR="00BC317F" w:rsidRPr="00BC317F" w:rsidRDefault="00BC317F" w:rsidP="00BC317F">
      <w:pPr>
        <w:pStyle w:val="ListParagraph"/>
        <w:numPr>
          <w:ilvl w:val="0"/>
          <w:numId w:val="49"/>
        </w:numPr>
        <w:spacing w:after="120" w:line="276" w:lineRule="auto"/>
        <w:jc w:val="both"/>
        <w:rPr>
          <w:rFonts w:ascii="Times New Roman" w:hAnsi="Times New Roman" w:cs="Times New Roman"/>
          <w:b/>
          <w:bCs/>
          <w:i/>
          <w:iCs/>
          <w:noProof/>
          <w:sz w:val="24"/>
          <w:szCs w:val="24"/>
          <w:lang w:val="fr-BE"/>
        </w:rPr>
      </w:pPr>
      <w:r w:rsidRPr="00BC317F">
        <w:rPr>
          <w:rFonts w:ascii="Times New Roman" w:hAnsi="Times New Roman"/>
          <w:b/>
          <w:i/>
          <w:noProof/>
          <w:sz w:val="24"/>
          <w:lang w:val="fr-BE"/>
        </w:rPr>
        <w:t xml:space="preserve">évaluera le traitement réglementaire des investissements stratégiques réalisés au moyen de prêts spécialisés, y compris le financement de projets en faveur des infrastructures et de la transition énergétique, ainsi que le traitement réglementaire du financement du commerce, en vue de garantir que les banques européennes puissent soutenir les entreprises européennes et renforcer la sécurité de la chaîne d’approvisionnement; </w:t>
      </w:r>
    </w:p>
    <w:p w14:paraId="57EDA3C8" w14:textId="77777777" w:rsidR="00BC317F" w:rsidRPr="00BC317F" w:rsidRDefault="00BC317F" w:rsidP="00BC317F">
      <w:pPr>
        <w:pStyle w:val="ListParagraph"/>
        <w:numPr>
          <w:ilvl w:val="0"/>
          <w:numId w:val="49"/>
        </w:numPr>
        <w:spacing w:after="120" w:line="276" w:lineRule="auto"/>
        <w:contextualSpacing w:val="0"/>
        <w:jc w:val="both"/>
        <w:rPr>
          <w:rFonts w:ascii="Times New Roman" w:hAnsi="Times New Roman" w:cs="Times New Roman"/>
          <w:b/>
          <w:bCs/>
          <w:i/>
          <w:iCs/>
          <w:noProof/>
          <w:sz w:val="24"/>
          <w:szCs w:val="24"/>
          <w:lang w:val="fr-BE"/>
        </w:rPr>
      </w:pPr>
      <w:r w:rsidRPr="00BC317F">
        <w:rPr>
          <w:rFonts w:ascii="Times New Roman" w:hAnsi="Times New Roman"/>
          <w:b/>
          <w:i/>
          <w:noProof/>
          <w:sz w:val="24"/>
          <w:lang w:val="fr-BE"/>
        </w:rPr>
        <w:t>proposera une révision du traitement prudentiel des investissements des banques dans des actifs logiciels afin de faire en sorte que le cadre soit sain sur le plan prudentiel et cohérent avec l’environnement numérique et de cyberrisque et qu’il prévoie des incitations adéquates pour encourager les banques à investir dans l’innovation et la résilience numérique;</w:t>
      </w:r>
    </w:p>
    <w:p w14:paraId="52B12033" w14:textId="77777777" w:rsidR="00BC317F" w:rsidRPr="00BC317F" w:rsidRDefault="00BC317F" w:rsidP="00BC317F">
      <w:pPr>
        <w:pStyle w:val="ListParagraph"/>
        <w:numPr>
          <w:ilvl w:val="0"/>
          <w:numId w:val="49"/>
        </w:numPr>
        <w:spacing w:after="120" w:line="276" w:lineRule="auto"/>
        <w:contextualSpacing w:val="0"/>
        <w:jc w:val="both"/>
        <w:rPr>
          <w:b/>
          <w:bCs/>
          <w:i/>
          <w:iCs/>
          <w:noProof/>
          <w:lang w:val="fr-BE"/>
        </w:rPr>
      </w:pPr>
      <w:r w:rsidRPr="00BC317F">
        <w:rPr>
          <w:rFonts w:ascii="Times New Roman" w:hAnsi="Times New Roman"/>
          <w:b/>
          <w:i/>
          <w:noProof/>
          <w:sz w:val="24"/>
          <w:lang w:val="fr-BE"/>
        </w:rPr>
        <w:t>étudiera les domaines d’action possibles pour garantir que les entreprises à forte intensité de droits de propriété intellectuelle et, plus généralement, l’économie immatérielle aient accès au crédit, notamment en invitant les parties prenantes concernées à réfléchir à des programmes de renforcement des capacités, à des cadres de valorisation et à des mécanismes de partage des risques; Ces travaux tiendront compte des mesures à venir en matière de propriété intellectuelle dans le cadre de la stratégie en faveur des start-up et des scale-up, telles que le règlement sur l’innovation.</w:t>
      </w:r>
    </w:p>
    <w:p w14:paraId="702D179F" w14:textId="77777777" w:rsidR="00BC317F" w:rsidRPr="00BC317F" w:rsidRDefault="00BC317F" w:rsidP="00BC317F">
      <w:pPr>
        <w:pStyle w:val="ListParagraph"/>
        <w:numPr>
          <w:ilvl w:val="0"/>
          <w:numId w:val="49"/>
        </w:numPr>
        <w:spacing w:line="276" w:lineRule="auto"/>
        <w:jc w:val="both"/>
        <w:rPr>
          <w:rFonts w:ascii="Times New Roman" w:hAnsi="Times New Roman" w:cs="Times New Roman"/>
          <w:b/>
          <w:bCs/>
          <w:i/>
          <w:iCs/>
          <w:noProof/>
          <w:sz w:val="24"/>
          <w:szCs w:val="24"/>
          <w:lang w:val="fr-BE"/>
        </w:rPr>
      </w:pPr>
      <w:r w:rsidRPr="00BC317F">
        <w:rPr>
          <w:rFonts w:ascii="Times New Roman" w:hAnsi="Times New Roman"/>
          <w:b/>
          <w:i/>
          <w:noProof/>
          <w:sz w:val="24"/>
          <w:lang w:val="fr-BE"/>
        </w:rPr>
        <w:t>évaluera les ajustements pouvant être apportés au cadre de rémunération actuel applicable aux preneurs de risques importants et son incidence sur le secteur bancaire de l’UE. La Commission évalue actuellement les moyens de réduire la charge et la complexité inutiles, de remédier aux effets non intentionnels sur les structures de rémunération, d’empêcher les distorsions de concurrence dans la course aux talents spécialisés et d’adapter le cadre aux risques systémiques.</w:t>
      </w:r>
    </w:p>
    <w:p w14:paraId="0CF01977" w14:textId="77777777" w:rsidR="00BC317F" w:rsidRPr="00BC317F" w:rsidRDefault="00BC317F" w:rsidP="00BC317F">
      <w:pPr>
        <w:spacing w:line="276" w:lineRule="auto"/>
        <w:jc w:val="both"/>
        <w:rPr>
          <w:rFonts w:ascii="Times New Roman" w:hAnsi="Times New Roman" w:cs="Times New Roman"/>
          <w:i/>
          <w:noProof/>
          <w:sz w:val="24"/>
          <w:szCs w:val="24"/>
          <w:lang w:val="fr-BE"/>
        </w:rPr>
      </w:pPr>
    </w:p>
    <w:p w14:paraId="720D9084" w14:textId="77777777" w:rsidR="00BC317F" w:rsidRPr="00BC317F" w:rsidRDefault="00BC317F" w:rsidP="00BC317F">
      <w:pPr>
        <w:pStyle w:val="ListParagraph"/>
        <w:numPr>
          <w:ilvl w:val="0"/>
          <w:numId w:val="63"/>
        </w:numPr>
        <w:spacing w:line="276" w:lineRule="auto"/>
        <w:jc w:val="both"/>
        <w:rPr>
          <w:rFonts w:ascii="Times New Roman" w:eastAsia="Yu Mincho" w:hAnsi="Times New Roman" w:cs="Times New Roman"/>
          <w:b/>
          <w:bCs/>
          <w:i/>
          <w:iCs/>
          <w:noProof/>
          <w:sz w:val="28"/>
          <w:szCs w:val="28"/>
          <w:lang w:val="fr-BE"/>
        </w:rPr>
      </w:pPr>
      <w:r w:rsidRPr="00BC317F">
        <w:rPr>
          <w:rFonts w:ascii="Times New Roman" w:hAnsi="Times New Roman"/>
          <w:b/>
          <w:i/>
          <w:noProof/>
          <w:sz w:val="28"/>
          <w:lang w:val="fr-BE"/>
        </w:rPr>
        <w:t>Garantir la proportionnalité du cadre réglementaire</w:t>
      </w:r>
    </w:p>
    <w:p w14:paraId="0D6E1131" w14:textId="77777777" w:rsidR="00BC317F" w:rsidRPr="00BC317F" w:rsidRDefault="00BC317F" w:rsidP="00BC317F">
      <w:pPr>
        <w:spacing w:after="120" w:line="276" w:lineRule="auto"/>
        <w:jc w:val="both"/>
        <w:rPr>
          <w:rFonts w:ascii="Times New Roman" w:eastAsia="Yu Mincho" w:hAnsi="Times New Roman" w:cs="Times New Roman"/>
          <w:noProof/>
          <w:sz w:val="24"/>
          <w:szCs w:val="24"/>
          <w:lang w:val="fr-BE"/>
        </w:rPr>
      </w:pPr>
      <w:r w:rsidRPr="00BC317F">
        <w:rPr>
          <w:rFonts w:ascii="Times New Roman" w:hAnsi="Times New Roman"/>
          <w:b/>
          <w:noProof/>
          <w:sz w:val="24"/>
          <w:lang w:val="fr-BE"/>
        </w:rPr>
        <w:t>L’Europe a besoin de grandes banques capables d’affronter la concurrence internationale sur des marchés où la taille est déterminante, mais aussi de banques plus petites, davantage tournées vers les besoins locaux.</w:t>
      </w:r>
      <w:r w:rsidRPr="00BC317F">
        <w:rPr>
          <w:rFonts w:ascii="Times New Roman" w:hAnsi="Times New Roman"/>
          <w:noProof/>
          <w:sz w:val="24"/>
          <w:lang w:val="fr-BE"/>
        </w:rPr>
        <w:t xml:space="preserve"> Les petites banques jouent un rôle dans le financement des priorités d’investissement de l’UE et des PME au niveau local, y compris dans les régions moins développées, en s’appuyant sur la proximité et en augmentant, en définitive, l’offre de prêts. </w:t>
      </w:r>
    </w:p>
    <w:p w14:paraId="52963461" w14:textId="48B24EAD" w:rsidR="00BC317F" w:rsidRPr="00BC317F" w:rsidRDefault="00BC317F" w:rsidP="00BC317F">
      <w:pPr>
        <w:spacing w:after="120" w:line="276" w:lineRule="auto"/>
        <w:jc w:val="both"/>
        <w:rPr>
          <w:rFonts w:ascii="Times New Roman" w:eastAsia="Yu Mincho" w:hAnsi="Times New Roman" w:cs="Times New Roman"/>
          <w:noProof/>
          <w:sz w:val="24"/>
          <w:szCs w:val="24"/>
          <w:lang w:val="fr-BE"/>
        </w:rPr>
      </w:pPr>
      <w:r w:rsidRPr="00BC317F">
        <w:rPr>
          <w:rFonts w:ascii="Times New Roman" w:hAnsi="Times New Roman"/>
          <w:b/>
          <w:noProof/>
          <w:sz w:val="24"/>
          <w:lang w:val="fr-BE"/>
        </w:rPr>
        <w:t>Le cadre r</w:t>
      </w:r>
      <w:r w:rsidR="00CB204A">
        <w:rPr>
          <w:rFonts w:ascii="Times New Roman" w:hAnsi="Times New Roman"/>
          <w:b/>
          <w:noProof/>
          <w:sz w:val="24"/>
          <w:lang w:val="fr-BE"/>
        </w:rPr>
        <w:t>é</w:t>
      </w:r>
      <w:r w:rsidRPr="00BC317F">
        <w:rPr>
          <w:rFonts w:ascii="Times New Roman" w:hAnsi="Times New Roman"/>
          <w:b/>
          <w:noProof/>
          <w:sz w:val="24"/>
          <w:lang w:val="fr-BE"/>
        </w:rPr>
        <w:t>glementaire de l’UE tient compte des spécificités des banques de petite taille et non complexes, mais sa complexité n’en demeure pas moins susceptible de peser sur elles de manière disproportionnée.</w:t>
      </w:r>
      <w:r w:rsidRPr="00BC317F">
        <w:rPr>
          <w:rFonts w:ascii="Times New Roman" w:hAnsi="Times New Roman"/>
          <w:noProof/>
          <w:sz w:val="24"/>
          <w:lang w:val="fr-BE"/>
        </w:rPr>
        <w:t xml:space="preserve"> Pour être mieux adapté aux banques de petite taille et non complexes, le régime devrait être sensiblement plus simple et entraîner des coûts de mise en conformité moins lourds, tout en maintenant un niveau adéquat d’exigences fondées sur les risques, en protégeant la stabilité financière et en préservant les incitations à améliorer les pratiques de gestion des risques. </w:t>
      </w:r>
    </w:p>
    <w:p w14:paraId="67645430" w14:textId="77777777" w:rsidR="00BC317F" w:rsidRPr="00BC317F" w:rsidRDefault="00BC317F" w:rsidP="00BC317F">
      <w:pPr>
        <w:spacing w:after="120" w:line="276" w:lineRule="auto"/>
        <w:jc w:val="both"/>
        <w:rPr>
          <w:rFonts w:ascii="Times New Roman" w:eastAsia="Times New Roman" w:hAnsi="Times New Roman" w:cs="Times New Roman"/>
          <w:noProof/>
          <w:sz w:val="24"/>
          <w:szCs w:val="24"/>
          <w:lang w:val="fr-BE"/>
        </w:rPr>
      </w:pPr>
      <w:r w:rsidRPr="00BC317F">
        <w:rPr>
          <w:rFonts w:ascii="Times New Roman" w:hAnsi="Times New Roman"/>
          <w:noProof/>
          <w:sz w:val="24"/>
          <w:lang w:val="fr-BE"/>
        </w:rPr>
        <w:t>Dans ce contexte, la Commission:</w:t>
      </w:r>
    </w:p>
    <w:p w14:paraId="0EFEA54F" w14:textId="77777777" w:rsidR="00BC317F" w:rsidRPr="00BC317F" w:rsidRDefault="00BC317F" w:rsidP="00BC317F">
      <w:pPr>
        <w:pStyle w:val="ListParagraph"/>
        <w:numPr>
          <w:ilvl w:val="0"/>
          <w:numId w:val="51"/>
        </w:numPr>
        <w:spacing w:after="120" w:line="276" w:lineRule="auto"/>
        <w:contextualSpacing w:val="0"/>
        <w:jc w:val="both"/>
        <w:rPr>
          <w:rFonts w:ascii="Times New Roman" w:hAnsi="Times New Roman" w:cs="Times New Roman"/>
          <w:noProof/>
          <w:sz w:val="24"/>
          <w:szCs w:val="24"/>
          <w:lang w:val="fr-BE"/>
        </w:rPr>
      </w:pPr>
      <w:r w:rsidRPr="00BC317F">
        <w:rPr>
          <w:rFonts w:ascii="Times New Roman" w:hAnsi="Times New Roman"/>
          <w:b/>
          <w:i/>
          <w:noProof/>
          <w:sz w:val="24"/>
          <w:lang w:val="fr-BE"/>
        </w:rPr>
        <w:t>proposera d’instaurer, dans le règlement sur les exigences de fonds propres (CRR), un régime qui permette aux banques de petite taille et peu complexes, quelle que soit leur structure juridique et organisationnelle, d’être plus clairement identifiées dans le cadre réglementaire, en ajustant éventuellement les critères et seuils actuels afin de tenir compte de la réalité du secteur bancaire de l’UE, grâce à des exigences adaptées, moins nombreuses et plus simples dans les cadres pertinents pour les dimensions prudentielle, macroprudentielle et de résolution. Un tel régime devrait également permettre à l’ABE de travailler sur des mesures de niveau 2 et de niveau 3 qui tiennent compte de manière plus effective des banques de petite taille et peu complexes, par une diminution du nombre d’exigences et de procédures.</w:t>
      </w:r>
    </w:p>
    <w:p w14:paraId="5A188271" w14:textId="77777777" w:rsidR="00BC317F" w:rsidRPr="00BC317F" w:rsidRDefault="00BC317F" w:rsidP="00BC317F">
      <w:pPr>
        <w:pStyle w:val="ListParagraph"/>
        <w:numPr>
          <w:ilvl w:val="0"/>
          <w:numId w:val="51"/>
        </w:numPr>
        <w:spacing w:after="120" w:line="276" w:lineRule="auto"/>
        <w:contextualSpacing w:val="0"/>
        <w:jc w:val="both"/>
        <w:rPr>
          <w:rFonts w:ascii="Times New Roman" w:hAnsi="Times New Roman" w:cs="Times New Roman"/>
          <w:noProof/>
          <w:sz w:val="24"/>
          <w:szCs w:val="24"/>
          <w:lang w:val="fr-BE"/>
        </w:rPr>
      </w:pPr>
      <w:r w:rsidRPr="00BC317F">
        <w:rPr>
          <w:rFonts w:ascii="Times New Roman" w:hAnsi="Times New Roman"/>
          <w:b/>
          <w:i/>
          <w:noProof/>
          <w:sz w:val="24"/>
          <w:lang w:val="fr-BE"/>
        </w:rPr>
        <w:t>Dans le cadre de l’achèvement de l’union bancaire, la Commission poursuivra son dialogue avec le MSU et le CRU sur l’application efficace du principe de proportionnalité, notamment en ce qui concerne les circonstances particulières qui justifient que des établissement de crédit soient considérés comme d'importance moindre bien qu'ils remplissent les critères d'importance par défaut énoncés dans le règlement MSU.</w:t>
      </w:r>
    </w:p>
    <w:p w14:paraId="79511279" w14:textId="77777777" w:rsidR="00BC317F" w:rsidRPr="00BC317F" w:rsidRDefault="00BC317F" w:rsidP="00BC317F">
      <w:pPr>
        <w:spacing w:after="120" w:line="276" w:lineRule="auto"/>
        <w:jc w:val="both"/>
        <w:rPr>
          <w:rFonts w:ascii="Times New Roman" w:eastAsia="Times New Roman" w:hAnsi="Times New Roman" w:cs="Times New Roman"/>
          <w:noProof/>
          <w:sz w:val="24"/>
          <w:szCs w:val="24"/>
          <w:lang w:val="fr-BE"/>
        </w:rPr>
      </w:pPr>
      <w:r w:rsidRPr="00BC317F">
        <w:rPr>
          <w:rFonts w:ascii="Times New Roman" w:hAnsi="Times New Roman"/>
          <w:noProof/>
          <w:sz w:val="24"/>
          <w:lang w:val="fr-BE"/>
        </w:rPr>
        <w:t>En outre, les entreprises d’investissement contribuent à la diversité et à la profondeur du marché des capitaux en offrant des services qui complètent et concurrencent ceux des établissements de crédit, tels que fournir des liquidités, contribuer à une allocation efficace des capitaux et accompagner l’émission d’actions et de titres de créance. Tout obstacle injustifié que pose le cadre réglementaire à cette contribution des entreprises d’investissement doit également être levé. Dans leur avis conjoint sur le fonctionnement du cadre prudentiel applicable aux entreprises d’investissement</w:t>
      </w:r>
      <w:r>
        <w:rPr>
          <w:rStyle w:val="FootnoteReference"/>
          <w:rFonts w:ascii="Times New Roman" w:eastAsia="Times New Roman" w:hAnsi="Times New Roman" w:cs="Times New Roman"/>
          <w:noProof/>
          <w:sz w:val="24"/>
          <w:szCs w:val="24"/>
          <w:lang w:val="en-IE"/>
        </w:rPr>
        <w:footnoteReference w:id="23"/>
      </w:r>
      <w:r w:rsidRPr="00BC317F">
        <w:rPr>
          <w:rStyle w:val="FootnoteReference"/>
          <w:noProof/>
          <w:lang w:val="fr-BE"/>
        </w:rPr>
        <w:t xml:space="preserve"> </w:t>
      </w:r>
      <w:r w:rsidRPr="00BC317F">
        <w:rPr>
          <w:rFonts w:ascii="Times New Roman" w:hAnsi="Times New Roman"/>
          <w:noProof/>
          <w:sz w:val="24"/>
          <w:lang w:val="fr-BE"/>
        </w:rPr>
        <w:t>,</w:t>
      </w:r>
      <w:r w:rsidRPr="00BC317F">
        <w:rPr>
          <w:rStyle w:val="FootnoteReference"/>
          <w:rFonts w:ascii="Times New Roman" w:hAnsi="Times New Roman"/>
          <w:noProof/>
          <w:sz w:val="24"/>
          <w:lang w:val="fr-BE"/>
        </w:rPr>
        <w:t xml:space="preserve"> </w:t>
      </w:r>
      <w:r w:rsidRPr="00BC317F">
        <w:rPr>
          <w:rFonts w:ascii="Times New Roman" w:hAnsi="Times New Roman"/>
          <w:noProof/>
          <w:sz w:val="24"/>
          <w:lang w:val="fr-BE"/>
        </w:rPr>
        <w:t xml:space="preserve">l’ABE et l’AEMF ont conclu que ce cadre atteignait ses objectifs initiaux, tout en proposant des modifications ciblées. </w:t>
      </w:r>
    </w:p>
    <w:p w14:paraId="363E9B9A" w14:textId="77777777" w:rsidR="00BC317F" w:rsidRPr="00BC317F" w:rsidRDefault="00BC317F" w:rsidP="00BC317F">
      <w:pPr>
        <w:spacing w:after="120" w:line="276" w:lineRule="auto"/>
        <w:jc w:val="both"/>
        <w:rPr>
          <w:rFonts w:ascii="Times New Roman" w:eastAsia="Times New Roman" w:hAnsi="Times New Roman" w:cs="Times New Roman"/>
          <w:noProof/>
          <w:sz w:val="24"/>
          <w:szCs w:val="24"/>
          <w:lang w:val="fr-BE"/>
        </w:rPr>
      </w:pPr>
      <w:r w:rsidRPr="00BC317F">
        <w:rPr>
          <w:rFonts w:ascii="Times New Roman" w:hAnsi="Times New Roman"/>
          <w:noProof/>
          <w:sz w:val="24"/>
          <w:lang w:val="fr-BE"/>
        </w:rPr>
        <w:t>Dans ce contexte, la Commission:</w:t>
      </w:r>
    </w:p>
    <w:p w14:paraId="116FA146" w14:textId="1AE42F4D" w:rsidR="0090086B" w:rsidRPr="00BC317F" w:rsidRDefault="00BC317F" w:rsidP="00BC317F">
      <w:pPr>
        <w:pStyle w:val="ListParagraph"/>
        <w:numPr>
          <w:ilvl w:val="0"/>
          <w:numId w:val="51"/>
        </w:numPr>
        <w:spacing w:after="120" w:line="276" w:lineRule="auto"/>
        <w:contextualSpacing w:val="0"/>
        <w:jc w:val="both"/>
        <w:rPr>
          <w:rFonts w:ascii="Times New Roman" w:hAnsi="Times New Roman" w:cs="Times New Roman"/>
          <w:b/>
          <w:bCs/>
          <w:i/>
          <w:iCs/>
          <w:noProof/>
          <w:sz w:val="24"/>
          <w:szCs w:val="24"/>
          <w:lang w:val="fr-BE"/>
        </w:rPr>
      </w:pPr>
      <w:r w:rsidRPr="00BC317F">
        <w:rPr>
          <w:rFonts w:ascii="Times New Roman" w:hAnsi="Times New Roman"/>
          <w:b/>
          <w:i/>
          <w:noProof/>
          <w:sz w:val="24"/>
          <w:lang w:val="fr-BE"/>
        </w:rPr>
        <w:t>proposera des modifications ciblées du cadre prudentiel applicable aux entreprises d’investissement, notamment en ce qui concerne la structure des seuils et les exigences en matière de gouvernance et de rémunération, et réexaminera le calibrage des exigences de fonds propres et de liquidité</w:t>
      </w:r>
      <w:r w:rsidR="0090086B" w:rsidRPr="00BC317F">
        <w:rPr>
          <w:rFonts w:ascii="Times New Roman" w:eastAsia="Times New Roman" w:hAnsi="Times New Roman" w:cs="Times New Roman"/>
          <w:b/>
          <w:bCs/>
          <w:i/>
          <w:iCs/>
          <w:noProof/>
          <w:sz w:val="24"/>
          <w:szCs w:val="24"/>
          <w:lang w:val="fr-BE"/>
        </w:rPr>
        <w:t>.</w:t>
      </w:r>
    </w:p>
    <w:p w14:paraId="1F049B58" w14:textId="77777777" w:rsidR="00D64AF9" w:rsidRPr="00BC317F" w:rsidRDefault="00D64AF9" w:rsidP="00A57759">
      <w:pPr>
        <w:rPr>
          <w:i/>
          <w:iCs/>
          <w:noProof/>
          <w:sz w:val="28"/>
          <w:szCs w:val="28"/>
          <w:lang w:val="fr-BE"/>
        </w:rPr>
      </w:pPr>
    </w:p>
    <w:p w14:paraId="6A6DCA42" w14:textId="77777777" w:rsidR="00491BC8" w:rsidRPr="00B33098" w:rsidRDefault="0015284D" w:rsidP="00491BC8">
      <w:pPr>
        <w:pStyle w:val="ListParagraph"/>
        <w:numPr>
          <w:ilvl w:val="1"/>
          <w:numId w:val="14"/>
        </w:numPr>
        <w:spacing w:line="276" w:lineRule="auto"/>
        <w:jc w:val="both"/>
        <w:rPr>
          <w:rFonts w:ascii="Times New Roman" w:hAnsi="Times New Roman" w:cs="Times New Roman"/>
          <w:b/>
          <w:i/>
          <w:iCs/>
          <w:noProof/>
          <w:sz w:val="28"/>
          <w:szCs w:val="28"/>
        </w:rPr>
      </w:pPr>
      <w:r w:rsidRPr="00BC317F">
        <w:rPr>
          <w:rFonts w:ascii="Times New Roman" w:hAnsi="Times New Roman" w:cs="Times New Roman"/>
          <w:b/>
          <w:bCs/>
          <w:i/>
          <w:iCs/>
          <w:noProof/>
          <w:sz w:val="28"/>
          <w:szCs w:val="28"/>
          <w:lang w:val="fr-BE"/>
        </w:rPr>
        <w:t xml:space="preserve">  </w:t>
      </w:r>
      <w:r w:rsidR="00491BC8">
        <w:rPr>
          <w:rFonts w:ascii="Times New Roman" w:hAnsi="Times New Roman"/>
          <w:b/>
          <w:i/>
          <w:noProof/>
          <w:sz w:val="28"/>
        </w:rPr>
        <w:t>Simplifier le cadre réglementaire</w:t>
      </w:r>
    </w:p>
    <w:p w14:paraId="10F53121"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b/>
          <w:noProof/>
          <w:sz w:val="24"/>
          <w:lang w:val="fr-BE"/>
        </w:rPr>
        <w:t xml:space="preserve">La simplification du cadre réglementaire peut procurer des avantages tangibles aux banques et aux autorités de surveillance, sans pour autant compromettre la résilience du secteur. </w:t>
      </w:r>
      <w:r w:rsidRPr="00491BC8">
        <w:rPr>
          <w:rFonts w:ascii="Times New Roman" w:hAnsi="Times New Roman"/>
          <w:noProof/>
          <w:sz w:val="24"/>
          <w:lang w:val="fr-BE"/>
        </w:rPr>
        <w:t xml:space="preserve">Ce cadre s'est complexifié sous l'effet de révisions successives des règles microprudentielles, macroprudentielles et de résolution, souvent effectuées indépendamment les unes des autres, sans qu’une attention suffisante soit accordée à la manière dont elles interagissent. Des mesures doivent maintenant être prises pour éliminer l’excès de détails, les chevauchements et les incohérences qui peuvent exister entre ces différents ensembles de règles et en leur sein. Mais réduire cet excès de complexité ne doit pas conduire à une déréglementation qui serait fondamentalement nuisible à la résilience du secteur bancaire, cette résilience étant une condition sine qua non de sa compétitivité. </w:t>
      </w:r>
    </w:p>
    <w:p w14:paraId="296A68BA" w14:textId="77777777" w:rsidR="00491BC8" w:rsidRPr="00491BC8" w:rsidRDefault="00491BC8" w:rsidP="00491BC8">
      <w:pPr>
        <w:spacing w:line="276" w:lineRule="auto"/>
        <w:jc w:val="both"/>
        <w:rPr>
          <w:rFonts w:ascii="Times New Roman" w:eastAsia="Times New Roman" w:hAnsi="Times New Roman" w:cs="Times New Roman"/>
          <w:noProof/>
          <w:sz w:val="24"/>
          <w:szCs w:val="24"/>
          <w:lang w:val="fr-BE"/>
        </w:rPr>
      </w:pPr>
      <w:r w:rsidRPr="00491BC8">
        <w:rPr>
          <w:rFonts w:ascii="Times New Roman" w:hAnsi="Times New Roman"/>
          <w:noProof/>
          <w:sz w:val="24"/>
          <w:lang w:val="fr-BE"/>
        </w:rPr>
        <w:t>En outre, les obligations déclaratives imposées par le cadre réglementaire sont devenues excessivement lourdes et coûteuses. Toute obligation déclarative qui ne contribue pas de manière proportionnée à améliorer la résilience et l’intégration du secteur devrait être allégée ou retirée de ce cadre.</w:t>
      </w:r>
    </w:p>
    <w:p w14:paraId="724061B6" w14:textId="77777777" w:rsidR="00491BC8" w:rsidRPr="00B33098" w:rsidRDefault="00491BC8" w:rsidP="00491BC8">
      <w:pPr>
        <w:pStyle w:val="ListParagraph"/>
        <w:numPr>
          <w:ilvl w:val="0"/>
          <w:numId w:val="31"/>
        </w:numPr>
        <w:spacing w:line="276" w:lineRule="auto"/>
        <w:jc w:val="both"/>
        <w:rPr>
          <w:rFonts w:ascii="Times New Roman" w:hAnsi="Times New Roman" w:cs="Times New Roman"/>
          <w:b/>
          <w:bCs/>
          <w:noProof/>
          <w:sz w:val="28"/>
          <w:szCs w:val="28"/>
        </w:rPr>
      </w:pPr>
      <w:r>
        <w:rPr>
          <w:rFonts w:ascii="Times New Roman" w:hAnsi="Times New Roman"/>
          <w:b/>
          <w:i/>
          <w:noProof/>
          <w:sz w:val="28"/>
        </w:rPr>
        <w:t>Règles macroprudentielles</w:t>
      </w:r>
    </w:p>
    <w:p w14:paraId="2AF18186" w14:textId="77777777" w:rsidR="00491BC8" w:rsidRPr="00491BC8" w:rsidRDefault="00491BC8" w:rsidP="00491BC8">
      <w:pPr>
        <w:spacing w:line="276" w:lineRule="auto"/>
        <w:jc w:val="both"/>
        <w:rPr>
          <w:rFonts w:ascii="Times New Roman" w:eastAsia="Times New Roman" w:hAnsi="Times New Roman" w:cs="Times New Roman"/>
          <w:b/>
          <w:bCs/>
          <w:noProof/>
          <w:sz w:val="24"/>
          <w:szCs w:val="24"/>
          <w:lang w:val="fr-BE"/>
        </w:rPr>
      </w:pPr>
      <w:r w:rsidRPr="00491BC8">
        <w:rPr>
          <w:rFonts w:ascii="Times New Roman" w:hAnsi="Times New Roman"/>
          <w:b/>
          <w:noProof/>
          <w:sz w:val="24"/>
          <w:lang w:val="fr-BE"/>
        </w:rPr>
        <w:t>Les règles microprudentielles comprennent les exigences du pilier 1, les exigences du pilier 2 et les orientations du pilier 2.</w:t>
      </w:r>
      <w:r w:rsidRPr="00491BC8">
        <w:rPr>
          <w:rFonts w:ascii="Times New Roman" w:hAnsi="Times New Roman"/>
          <w:noProof/>
          <w:sz w:val="24"/>
          <w:lang w:val="fr-BE"/>
        </w:rPr>
        <w:t xml:space="preserve"> Les exigences du pilier 1 déterminent les niveaux légaux de fonds propres que doivent détenir les banques. Les exigences du pilier 2 prévoient des niveaux de fonds propres applicables spécifiquement à des banques à titre individuel, tandis que les orientations du pilier 2, qui s’appliquent elles aussi à titre individuel, ne sont pas contraignantes et correspondent aux anticipations des autorités de surveillance quant au niveau total de fonds propres que les banques devraient conserver pour résister à des épisodes de tension.</w:t>
      </w:r>
      <w:r w:rsidRPr="00491BC8">
        <w:rPr>
          <w:noProof/>
          <w:lang w:val="fr-BE"/>
        </w:rPr>
        <w:t xml:space="preserve"> </w:t>
      </w:r>
      <w:r w:rsidRPr="00491BC8">
        <w:rPr>
          <w:rFonts w:ascii="Times New Roman" w:hAnsi="Times New Roman"/>
          <w:noProof/>
          <w:sz w:val="24"/>
          <w:lang w:val="fr-BE"/>
        </w:rPr>
        <w:t>Outre des exigences fondées sur les risques, les autorités de surveillance peuvent aussi imposer, au titre du pilier 2, des exigences en matière de ratio de levier.</w:t>
      </w:r>
      <w:r w:rsidRPr="00491BC8">
        <w:rPr>
          <w:rFonts w:ascii="Times New Roman" w:hAnsi="Times New Roman"/>
          <w:b/>
          <w:noProof/>
          <w:sz w:val="24"/>
          <w:lang w:val="fr-BE"/>
        </w:rPr>
        <w:t xml:space="preserve"> </w:t>
      </w:r>
    </w:p>
    <w:p w14:paraId="0E02B5A5" w14:textId="77777777" w:rsidR="00491BC8" w:rsidRPr="00491BC8" w:rsidRDefault="00491BC8" w:rsidP="00491BC8">
      <w:pPr>
        <w:spacing w:line="276" w:lineRule="auto"/>
        <w:jc w:val="both"/>
        <w:rPr>
          <w:rFonts w:ascii="Times New Roman" w:eastAsia="Times New Roman" w:hAnsi="Times New Roman" w:cs="Times New Roman"/>
          <w:noProof/>
          <w:sz w:val="24"/>
          <w:szCs w:val="24"/>
          <w:lang w:val="fr-BE"/>
        </w:rPr>
      </w:pPr>
      <w:r w:rsidRPr="00491BC8">
        <w:rPr>
          <w:rFonts w:ascii="Times New Roman" w:hAnsi="Times New Roman"/>
          <w:noProof/>
          <w:sz w:val="24"/>
          <w:lang w:val="fr-BE"/>
        </w:rPr>
        <w:t xml:space="preserve">Des préoccupations se sont fait jour à propos de la manière dont les exigences et orientations du pilier 2 sont actuellement conçues et apliquées, et plus particulièrement à propos d’éventuels chevauchements avec d’autres exigences, qui peuvent entraîner des doublons. D'aucuns se sont aussi dits préoccupés du manque de transparence des méthodes employées pour fixer les exigences et les orientations du pilier 2 et ont demandé que les décisions soient mieux expliquées, que les mesures de correction soient plus claires et fassent l'objet de davantage d’incitations, et que les risques sous-jacents soient mieux pris en compte. </w:t>
      </w:r>
    </w:p>
    <w:p w14:paraId="18FF24C1" w14:textId="77777777" w:rsidR="00491BC8" w:rsidRPr="00491BC8" w:rsidRDefault="00491BC8" w:rsidP="00491BC8">
      <w:pPr>
        <w:spacing w:line="276" w:lineRule="auto"/>
        <w:jc w:val="both"/>
        <w:rPr>
          <w:rFonts w:ascii="Times New Roman" w:eastAsia="Times New Roman" w:hAnsi="Times New Roman" w:cs="Times New Roman"/>
          <w:noProof/>
          <w:sz w:val="24"/>
          <w:szCs w:val="24"/>
          <w:lang w:val="fr-BE"/>
        </w:rPr>
      </w:pPr>
      <w:r w:rsidRPr="00491BC8">
        <w:rPr>
          <w:rFonts w:ascii="Times New Roman" w:hAnsi="Times New Roman"/>
          <w:b/>
          <w:noProof/>
          <w:sz w:val="24"/>
          <w:lang w:val="fr-BE"/>
        </w:rPr>
        <w:t>Le MSU s’est déjà engagé à mettre en œuvre une série d’améliorations concernant les exigences et les orientations du pilier 2.</w:t>
      </w:r>
      <w:r w:rsidRPr="00491BC8">
        <w:rPr>
          <w:rFonts w:ascii="Times New Roman" w:hAnsi="Times New Roman"/>
          <w:noProof/>
          <w:sz w:val="24"/>
          <w:lang w:val="fr-BE"/>
        </w:rPr>
        <w:t xml:space="preserve"> Il a récemment adopté une nouvelle méthode de définition des exigences au titre du pilier 2 et proposé un programme de réformes visant, de manière plus générale, à ce que la surveillance prudentielle soit plus efficiente, plus efficace et plus axée sur les risques. Ces réformes sont une étape importante pour obtenir un cadre de surveillance approprié. En complément de ces efforts, d’autres mesures pourraient être envisagées pour faire en sorte que les exigences du cadre de surveillance restent proportionnées et fondées sur les risques, tout en évitant une complexité inutile ou des chevauchements avec d’autres volets du cadre régissant les fonds propres. </w:t>
      </w:r>
    </w:p>
    <w:p w14:paraId="0F31C13B" w14:textId="77777777" w:rsidR="00491BC8" w:rsidRPr="00491BC8" w:rsidRDefault="00491BC8" w:rsidP="00491BC8">
      <w:pPr>
        <w:spacing w:line="276" w:lineRule="auto"/>
        <w:jc w:val="both"/>
        <w:rPr>
          <w:rFonts w:ascii="Times New Roman" w:eastAsia="Times New Roman" w:hAnsi="Times New Roman" w:cs="Times New Roman"/>
          <w:noProof/>
          <w:sz w:val="24"/>
          <w:szCs w:val="24"/>
          <w:lang w:val="fr-BE"/>
        </w:rPr>
      </w:pPr>
      <w:r w:rsidRPr="00491BC8">
        <w:rPr>
          <w:rFonts w:ascii="Times New Roman" w:hAnsi="Times New Roman"/>
          <w:noProof/>
          <w:sz w:val="24"/>
          <w:lang w:val="fr-BE"/>
        </w:rPr>
        <w:t>Dans ce contexte, la Commission:</w:t>
      </w:r>
    </w:p>
    <w:p w14:paraId="02CEA1FE" w14:textId="77777777" w:rsidR="00491BC8" w:rsidRPr="00491BC8" w:rsidRDefault="00491BC8" w:rsidP="00491BC8">
      <w:pPr>
        <w:pStyle w:val="ListParagraph"/>
        <w:numPr>
          <w:ilvl w:val="0"/>
          <w:numId w:val="52"/>
        </w:numPr>
        <w:spacing w:after="120" w:line="276" w:lineRule="auto"/>
        <w:contextualSpacing w:val="0"/>
        <w:jc w:val="both"/>
        <w:rPr>
          <w:rFonts w:ascii="Times New Roman" w:eastAsia="Times New Roman" w:hAnsi="Times New Roman" w:cs="Times New Roman"/>
          <w:b/>
          <w:bCs/>
          <w:i/>
          <w:iCs/>
          <w:noProof/>
          <w:sz w:val="24"/>
          <w:szCs w:val="24"/>
          <w:lang w:val="fr-BE"/>
        </w:rPr>
      </w:pPr>
      <w:r w:rsidRPr="00491BC8">
        <w:rPr>
          <w:rFonts w:ascii="Times New Roman" w:hAnsi="Times New Roman"/>
          <w:b/>
          <w:i/>
          <w:noProof/>
          <w:sz w:val="24"/>
          <w:lang w:val="fr-BE"/>
        </w:rPr>
        <w:t>proposera des mesures d’amélioration du fonctionnement des orientations du pilier 2 afin d’en garantir l’application ciblée;</w:t>
      </w:r>
    </w:p>
    <w:p w14:paraId="4C295188" w14:textId="77777777" w:rsidR="00491BC8" w:rsidRPr="00491BC8" w:rsidRDefault="00491BC8" w:rsidP="00491BC8">
      <w:pPr>
        <w:pStyle w:val="ListParagraph"/>
        <w:numPr>
          <w:ilvl w:val="0"/>
          <w:numId w:val="52"/>
        </w:numPr>
        <w:spacing w:after="120" w:line="276" w:lineRule="auto"/>
        <w:contextualSpacing w:val="0"/>
        <w:jc w:val="both"/>
        <w:rPr>
          <w:rFonts w:ascii="Times New Roman" w:eastAsia="Times New Roman" w:hAnsi="Times New Roman" w:cs="Times New Roman"/>
          <w:b/>
          <w:bCs/>
          <w:i/>
          <w:iCs/>
          <w:noProof/>
          <w:sz w:val="24"/>
          <w:szCs w:val="24"/>
          <w:lang w:val="fr-BE"/>
        </w:rPr>
      </w:pPr>
      <w:r w:rsidRPr="00491BC8">
        <w:rPr>
          <w:rFonts w:ascii="Times New Roman" w:hAnsi="Times New Roman"/>
          <w:b/>
          <w:i/>
          <w:noProof/>
          <w:sz w:val="24"/>
          <w:lang w:val="fr-BE"/>
        </w:rPr>
        <w:t xml:space="preserve">proposera de supprimer les exigences de fonds propres du pilier 2 liées au ratio de levier. </w:t>
      </w:r>
    </w:p>
    <w:p w14:paraId="6829BA74" w14:textId="77777777" w:rsidR="00491BC8" w:rsidRPr="00491BC8" w:rsidRDefault="00491BC8" w:rsidP="00491BC8">
      <w:pPr>
        <w:pStyle w:val="ListParagraph"/>
        <w:rPr>
          <w:i/>
          <w:iCs/>
          <w:noProof/>
          <w:lang w:val="fr-BE"/>
        </w:rPr>
      </w:pPr>
    </w:p>
    <w:p w14:paraId="23E2E223" w14:textId="77777777" w:rsidR="00491BC8" w:rsidRPr="00B33098" w:rsidRDefault="00491BC8" w:rsidP="00491BC8">
      <w:pPr>
        <w:pStyle w:val="ListParagraph"/>
        <w:numPr>
          <w:ilvl w:val="0"/>
          <w:numId w:val="31"/>
        </w:numPr>
        <w:spacing w:line="276" w:lineRule="auto"/>
        <w:jc w:val="both"/>
        <w:rPr>
          <w:rFonts w:ascii="Times New Roman" w:hAnsi="Times New Roman" w:cs="Times New Roman"/>
          <w:b/>
          <w:bCs/>
          <w:i/>
          <w:iCs/>
          <w:noProof/>
          <w:sz w:val="28"/>
          <w:szCs w:val="28"/>
        </w:rPr>
      </w:pPr>
      <w:r>
        <w:rPr>
          <w:rFonts w:ascii="Times New Roman" w:hAnsi="Times New Roman"/>
          <w:b/>
          <w:i/>
          <w:noProof/>
          <w:sz w:val="28"/>
        </w:rPr>
        <w:t>Règles en matière de résolution</w:t>
      </w:r>
    </w:p>
    <w:p w14:paraId="520A2511"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b/>
          <w:noProof/>
          <w:sz w:val="24"/>
          <w:lang w:val="fr-BE"/>
        </w:rPr>
        <w:t>Les règles de l’UE en matière de résolution imposent aux banques de détenir un montant minimal de fonds propres et d’engagements éligibles (MREL) pour pouvoir absorber les pertes en cas de défaillance.</w:t>
      </w:r>
      <w:r w:rsidRPr="00491BC8">
        <w:rPr>
          <w:rFonts w:ascii="Times New Roman" w:hAnsi="Times New Roman"/>
          <w:noProof/>
          <w:sz w:val="24"/>
          <w:lang w:val="fr-BE"/>
        </w:rPr>
        <w:t xml:space="preserve"> Les banques de l’UE y ont gagné en résilience, mais le dispositif de la MREL s’est complexifié et, dans certains cas, fait double emploi, notamment parce que les critères d’éligibilité et le calibrage des exigences de la MREL ne sont pas les mêmes que ceux de la capacité totale d’absorption des pertes (TLAC), qui découle quant à elle de normes internationales. Cette complexité nuit à la prévisibilité et à la cohérence des exigences à respecter, ainsi qu’à l’égalité des conditions de concurrence entre banques de l’UE. </w:t>
      </w:r>
    </w:p>
    <w:p w14:paraId="6A3CDA89"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noProof/>
          <w:sz w:val="24"/>
          <w:lang w:val="fr-BE"/>
        </w:rPr>
        <w:t xml:space="preserve">Les règles en matière de résolution comprennent aussi des dispositions auxiliaires, dérivées du régime des fonds propres, qui sont parfois trop complexes pour les instruments de la MREL. Par exemple, le régime d’autorisation préalable, conçu pour protéger la capacité d’absorption des pertes des banques, a alourdi la charge administrative des banques et des autorités de résolution. Bien que le CRU ait proposé une nouvelle approche rationalisée pour accélérer l’octroi de ces autorisations aux banques désireuses de racheter ou de remplacer leurs instruments MREL, des améliorations supplémentaires sont nécessaires. </w:t>
      </w:r>
    </w:p>
    <w:p w14:paraId="3B98A00C"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noProof/>
          <w:sz w:val="24"/>
          <w:lang w:val="fr-BE"/>
        </w:rPr>
        <w:t xml:space="preserve">Outre la détermination des exigences MREL, le CRU et les autorités de résolution nationales sont chargés d’élaborer des plans de résolution pour les banques. Il s’agit d’un processus long et pesant, qui ne tient pas compte de l’expérience acquise par la pratique et du fait qu’il serait maintenant possible de rationaliser l'élaboration de ces plans pour libérer des ressources, au sein des banques comme des autorités concernées, et les consacrer à tester ces plans et à les rendre opérationnels. </w:t>
      </w:r>
    </w:p>
    <w:p w14:paraId="6940C3E0"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noProof/>
          <w:sz w:val="24"/>
          <w:lang w:val="fr-BE"/>
        </w:rPr>
        <w:t>Dans ce contexte, la Commission:</w:t>
      </w:r>
    </w:p>
    <w:p w14:paraId="74A74835" w14:textId="77777777" w:rsidR="00491BC8" w:rsidRPr="00491BC8" w:rsidRDefault="00491BC8" w:rsidP="00491BC8">
      <w:pPr>
        <w:pStyle w:val="ListParagraph"/>
        <w:numPr>
          <w:ilvl w:val="0"/>
          <w:numId w:val="53"/>
        </w:numPr>
        <w:spacing w:after="120" w:line="276" w:lineRule="auto"/>
        <w:contextualSpacing w:val="0"/>
        <w:jc w:val="both"/>
        <w:rPr>
          <w:rFonts w:ascii="Times New Roman" w:hAnsi="Times New Roman" w:cs="Times New Roman"/>
          <w:b/>
          <w:bCs/>
          <w:i/>
          <w:iCs/>
          <w:noProof/>
          <w:sz w:val="24"/>
          <w:szCs w:val="24"/>
          <w:lang w:val="fr-BE"/>
        </w:rPr>
      </w:pPr>
      <w:r w:rsidRPr="00491BC8">
        <w:rPr>
          <w:rFonts w:ascii="Times New Roman" w:hAnsi="Times New Roman"/>
          <w:b/>
          <w:i/>
          <w:noProof/>
          <w:sz w:val="24"/>
          <w:lang w:val="fr-BE"/>
        </w:rPr>
        <w:t>proposera de réviser le cadre de la MREL afin de le rapprocher des normes internationales, en éliminant les divergences inutiles avec la norme TLAC et en prévoyant un calibrage plus simple, plus automatique et plus prévisible. Ce cadre révisé préservera la résilience du cadre de résolution, maintiendra les incitations à la résolvabilité et sera un gage d’exigences proportionnées, en particulier pour les petites banques;</w:t>
      </w:r>
    </w:p>
    <w:p w14:paraId="5089FF4E" w14:textId="77777777" w:rsidR="00491BC8" w:rsidRPr="00491BC8" w:rsidRDefault="00491BC8" w:rsidP="00491BC8">
      <w:pPr>
        <w:pStyle w:val="ListParagraph"/>
        <w:numPr>
          <w:ilvl w:val="0"/>
          <w:numId w:val="53"/>
        </w:numPr>
        <w:spacing w:after="120" w:line="276" w:lineRule="auto"/>
        <w:contextualSpacing w:val="0"/>
        <w:jc w:val="both"/>
        <w:rPr>
          <w:rFonts w:ascii="Times New Roman" w:hAnsi="Times New Roman" w:cs="Times New Roman"/>
          <w:b/>
          <w:bCs/>
          <w:i/>
          <w:iCs/>
          <w:noProof/>
          <w:sz w:val="24"/>
          <w:szCs w:val="24"/>
          <w:lang w:val="fr-BE"/>
        </w:rPr>
      </w:pPr>
      <w:r w:rsidRPr="00491BC8">
        <w:rPr>
          <w:rFonts w:ascii="Times New Roman" w:hAnsi="Times New Roman"/>
          <w:b/>
          <w:i/>
          <w:noProof/>
          <w:sz w:val="24"/>
          <w:lang w:val="fr-BE"/>
        </w:rPr>
        <w:t>proposera une rationalisation du processus d’autorisation pour les banques dont la situation financière est saine, afin d’accélérer l’autorisation de rachats et la gestion de passifs, de réduire les coûts de conformité et d’accroître la flexibilité, tout en maintenant la résolvabilité de ces établissements et le respect des normes TLAC;</w:t>
      </w:r>
    </w:p>
    <w:p w14:paraId="59143C76" w14:textId="77777777" w:rsidR="00491BC8" w:rsidRPr="00491BC8" w:rsidRDefault="00491BC8" w:rsidP="00491BC8">
      <w:pPr>
        <w:pStyle w:val="ListParagraph"/>
        <w:numPr>
          <w:ilvl w:val="0"/>
          <w:numId w:val="53"/>
        </w:numPr>
        <w:spacing w:after="120" w:line="276" w:lineRule="auto"/>
        <w:contextualSpacing w:val="0"/>
        <w:jc w:val="both"/>
        <w:rPr>
          <w:rFonts w:ascii="Times New Roman" w:hAnsi="Times New Roman" w:cs="Times New Roman"/>
          <w:b/>
          <w:bCs/>
          <w:i/>
          <w:iCs/>
          <w:noProof/>
          <w:sz w:val="24"/>
          <w:szCs w:val="24"/>
          <w:lang w:val="fr-BE"/>
        </w:rPr>
      </w:pPr>
      <w:r w:rsidRPr="00491BC8">
        <w:rPr>
          <w:rFonts w:ascii="Times New Roman" w:hAnsi="Times New Roman"/>
          <w:b/>
          <w:i/>
          <w:noProof/>
          <w:sz w:val="24"/>
          <w:lang w:val="fr-BE"/>
        </w:rPr>
        <w:t>proposera de mieux proportionner certaines évaluations à effectuer durant la phase de planification des résolutions – notamment celles concernant la fréquence des cycles de planification, ou les procédures d’adoption connexes – afin de tenir compte de l’expérience acquise dans cette planification depuis l’introduction du cadre de gestion des crises.</w:t>
      </w:r>
    </w:p>
    <w:p w14:paraId="78604EA2" w14:textId="77777777" w:rsidR="00491BC8" w:rsidRPr="00491BC8" w:rsidRDefault="00491BC8" w:rsidP="00491BC8">
      <w:pPr>
        <w:pStyle w:val="ListParagraph"/>
        <w:spacing w:after="120" w:line="276" w:lineRule="auto"/>
        <w:ind w:left="714"/>
        <w:contextualSpacing w:val="0"/>
        <w:jc w:val="both"/>
        <w:rPr>
          <w:rFonts w:ascii="Times New Roman" w:hAnsi="Times New Roman" w:cs="Times New Roman"/>
          <w:noProof/>
          <w:sz w:val="24"/>
          <w:szCs w:val="24"/>
          <w:lang w:val="fr-BE"/>
        </w:rPr>
      </w:pPr>
    </w:p>
    <w:p w14:paraId="21B59FE7" w14:textId="77777777" w:rsidR="00491BC8" w:rsidRPr="00B33098" w:rsidRDefault="00491BC8" w:rsidP="00491BC8">
      <w:pPr>
        <w:pStyle w:val="ListParagraph"/>
        <w:numPr>
          <w:ilvl w:val="0"/>
          <w:numId w:val="31"/>
        </w:numPr>
        <w:spacing w:line="276" w:lineRule="auto"/>
        <w:jc w:val="both"/>
        <w:rPr>
          <w:rFonts w:ascii="Times New Roman" w:hAnsi="Times New Roman" w:cs="Times New Roman"/>
          <w:b/>
          <w:bCs/>
          <w:i/>
          <w:noProof/>
          <w:sz w:val="28"/>
          <w:szCs w:val="28"/>
        </w:rPr>
      </w:pPr>
      <w:r>
        <w:rPr>
          <w:rFonts w:ascii="Times New Roman" w:hAnsi="Times New Roman"/>
          <w:b/>
          <w:i/>
          <w:noProof/>
          <w:sz w:val="28"/>
        </w:rPr>
        <w:t>Règles macroprudentielles</w:t>
      </w:r>
    </w:p>
    <w:p w14:paraId="4FC42EEB" w14:textId="77777777" w:rsidR="00491BC8" w:rsidRPr="00491BC8" w:rsidRDefault="00491BC8" w:rsidP="00491BC8">
      <w:pPr>
        <w:spacing w:line="276" w:lineRule="auto"/>
        <w:jc w:val="both"/>
        <w:rPr>
          <w:rFonts w:ascii="Times New Roman" w:eastAsia="Times New Roman" w:hAnsi="Times New Roman" w:cs="Times New Roman"/>
          <w:noProof/>
          <w:sz w:val="24"/>
          <w:szCs w:val="24"/>
          <w:lang w:val="fr-BE"/>
        </w:rPr>
      </w:pPr>
      <w:r w:rsidRPr="00491BC8">
        <w:rPr>
          <w:rFonts w:ascii="Times New Roman" w:hAnsi="Times New Roman"/>
          <w:b/>
          <w:noProof/>
          <w:sz w:val="24"/>
          <w:lang w:val="fr-BE"/>
        </w:rPr>
        <w:t xml:space="preserve">Les autorités nationales sont chargées de définir des mesures macroprudentielles en tenant compte des spécificités de leur secteur bancaire et de leurs cycles économiques, et disposent pour cela d'une panoplie d'outils tels que les coussins de fonds propres, l'ajustement des pondérations de risque et les mesures ciblant les emprunteurs. </w:t>
      </w:r>
      <w:r w:rsidRPr="00491BC8">
        <w:rPr>
          <w:rFonts w:ascii="Times New Roman" w:hAnsi="Times New Roman"/>
          <w:noProof/>
          <w:sz w:val="24"/>
          <w:lang w:val="fr-BE"/>
        </w:rPr>
        <w:t>Les mesures macroprudentielles les plus efficaces sont les coussins de fonds propres, qui viennent s'ajouter aux exigences des piliers 1 et 2 et que les banques peuvent utiliser en cas de difficulté, pour éviter d'avoir à se désendetter et pour continuer de prêter à l’économie. En l’absence de méthode harmonisée au niveau de l’UE, ce cadre décentralisé est devenu particulièrement complexe, en raison d’un nombre élevé de différents coussins de fonds propres, du fait que ces coussins sont conçus pour faire face à des risques et événements spécifiques, et de la marge d’appréciation dont disposent les autorités nationales pour en fixer le niveau et décider quelles banques doivent en constituer. L’application de ce cadre manque de prévisibilité et de cohérence, ce qui peut peser sur les décisions stratégiques des banques, en particulier en matière d’activités transfrontières, de regroupements d'entreprises ou de réorganisations. En outre, la pluralité des niveaux de gouvernance, entre l’UE et les autorités nationales, est une source de complexité supplémentaire. Ces problèmes sont confirmés par les recommandations du groupe de travail de haut niveau de la BCE sur la simplification</w:t>
      </w:r>
      <w:r>
        <w:rPr>
          <w:rStyle w:val="FootnoteReference"/>
          <w:rFonts w:ascii="Times New Roman" w:eastAsia="Times New Roman" w:hAnsi="Times New Roman" w:cs="Times New Roman"/>
          <w:noProof/>
          <w:sz w:val="24"/>
          <w:szCs w:val="24"/>
          <w:lang w:val="en-IE"/>
        </w:rPr>
        <w:footnoteReference w:id="24"/>
      </w:r>
      <w:r w:rsidRPr="00491BC8">
        <w:rPr>
          <w:rFonts w:ascii="Times New Roman" w:hAnsi="Times New Roman"/>
          <w:noProof/>
          <w:sz w:val="24"/>
          <w:lang w:val="fr-BE"/>
        </w:rPr>
        <w:t xml:space="preserve"> et par les réponses à la consultation ciblée. </w:t>
      </w:r>
    </w:p>
    <w:p w14:paraId="3448CA95" w14:textId="77777777" w:rsidR="00491BC8" w:rsidRPr="00491BC8" w:rsidRDefault="00491BC8" w:rsidP="00491BC8">
      <w:pPr>
        <w:spacing w:line="276" w:lineRule="auto"/>
        <w:jc w:val="both"/>
        <w:rPr>
          <w:rFonts w:ascii="Times New Roman" w:eastAsia="Times New Roman" w:hAnsi="Times New Roman" w:cs="Times New Roman"/>
          <w:noProof/>
          <w:sz w:val="24"/>
          <w:szCs w:val="24"/>
          <w:lang w:val="fr-BE"/>
        </w:rPr>
      </w:pPr>
      <w:r w:rsidRPr="00491BC8">
        <w:rPr>
          <w:rFonts w:ascii="Times New Roman" w:hAnsi="Times New Roman"/>
          <w:noProof/>
          <w:sz w:val="24"/>
          <w:lang w:val="fr-BE"/>
        </w:rPr>
        <w:t>Dans ce contexte, la Commission:</w:t>
      </w:r>
    </w:p>
    <w:p w14:paraId="67908E78" w14:textId="77777777" w:rsidR="00491BC8" w:rsidRPr="00491BC8" w:rsidRDefault="00491BC8" w:rsidP="00491BC8">
      <w:pPr>
        <w:pStyle w:val="ListParagraph"/>
        <w:numPr>
          <w:ilvl w:val="0"/>
          <w:numId w:val="54"/>
        </w:numPr>
        <w:spacing w:after="120" w:line="276" w:lineRule="auto"/>
        <w:contextualSpacing w:val="0"/>
        <w:jc w:val="both"/>
        <w:rPr>
          <w:rFonts w:ascii="Times New Roman" w:hAnsi="Times New Roman" w:cs="Times New Roman"/>
          <w:b/>
          <w:bCs/>
          <w:i/>
          <w:iCs/>
          <w:noProof/>
          <w:sz w:val="24"/>
          <w:szCs w:val="24"/>
          <w:lang w:val="fr-BE"/>
        </w:rPr>
      </w:pPr>
      <w:r w:rsidRPr="00491BC8">
        <w:rPr>
          <w:rFonts w:ascii="Times New Roman" w:hAnsi="Times New Roman"/>
          <w:b/>
          <w:i/>
          <w:noProof/>
          <w:sz w:val="24"/>
          <w:lang w:val="fr-BE"/>
        </w:rPr>
        <w:t xml:space="preserve">proposera de réviser le cadre macroprudentiel afin de favoriser une plus grande convergence et une plus grande cohérence dans l'application de ces outils macroprudentiels dans l'ensemble de l'UE. Il conviendrait en particulier de réduire le nombre de coussins de fonds propres (coussin contracyclique, coussin pour le risque systémique) et d’en améliorer la conception et le calibrage. Il y a lieu par ailleurs d’harmoniser le cadre applicable aux autres établissements d’importance systémique (autres EIS) en remédiant à des lacunes au niveau de l’identification de ces établissements et du calibrage des coussins. </w:t>
      </w:r>
    </w:p>
    <w:p w14:paraId="2FB6715A" w14:textId="77777777" w:rsidR="00491BC8" w:rsidRPr="00491BC8" w:rsidRDefault="00491BC8" w:rsidP="00491BC8">
      <w:pPr>
        <w:pStyle w:val="ListParagraph"/>
        <w:spacing w:after="120" w:line="276" w:lineRule="auto"/>
        <w:ind w:left="714"/>
        <w:contextualSpacing w:val="0"/>
        <w:jc w:val="both"/>
        <w:rPr>
          <w:rFonts w:ascii="Times New Roman" w:hAnsi="Times New Roman" w:cs="Times New Roman"/>
          <w:noProof/>
          <w:sz w:val="24"/>
          <w:szCs w:val="24"/>
          <w:lang w:val="fr-BE"/>
        </w:rPr>
      </w:pPr>
    </w:p>
    <w:p w14:paraId="052768C9" w14:textId="77777777" w:rsidR="00491BC8" w:rsidRPr="00491BC8" w:rsidRDefault="00491BC8" w:rsidP="00491BC8">
      <w:pPr>
        <w:pStyle w:val="ListParagraph"/>
        <w:numPr>
          <w:ilvl w:val="0"/>
          <w:numId w:val="31"/>
        </w:numPr>
        <w:spacing w:line="276" w:lineRule="auto"/>
        <w:jc w:val="both"/>
        <w:rPr>
          <w:rFonts w:ascii="Times New Roman" w:hAnsi="Times New Roman" w:cs="Times New Roman"/>
          <w:b/>
          <w:bCs/>
          <w:i/>
          <w:noProof/>
          <w:sz w:val="28"/>
          <w:szCs w:val="28"/>
          <w:lang w:val="fr-BE"/>
        </w:rPr>
      </w:pPr>
      <w:r w:rsidRPr="00491BC8">
        <w:rPr>
          <w:rFonts w:ascii="Times New Roman" w:hAnsi="Times New Roman"/>
          <w:b/>
          <w:i/>
          <w:noProof/>
          <w:sz w:val="28"/>
          <w:lang w:val="fr-BE"/>
        </w:rPr>
        <w:t>Interaction entre règles microprudentielles, règles en matière de résolution et règles macroprudentielles</w:t>
      </w:r>
    </w:p>
    <w:p w14:paraId="53EB8763"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b/>
          <w:noProof/>
          <w:sz w:val="24"/>
          <w:lang w:val="fr-BE"/>
        </w:rPr>
        <w:t>Les règles microprudentielles, macroprudentielles et de résolution sont mises en œuvre de manière autonome par les différentes autorités concernées, mais leurs interactions se traduisent souvent par des exigences redondantes et peu cohérentes les unes par rapport aux autres.</w:t>
      </w:r>
      <w:r w:rsidRPr="00491BC8">
        <w:rPr>
          <w:rFonts w:ascii="Times New Roman" w:hAnsi="Times New Roman"/>
          <w:noProof/>
          <w:sz w:val="24"/>
          <w:lang w:val="fr-BE"/>
        </w:rPr>
        <w:t xml:space="preserve"> Cette situation impose une charge excessive aux banques en raison d’une superposition d’exigences de fonds propres censées poursuivre des fins différentes mais qui peuvent, dans certains cas, porter sur les mêmes risques et restreindre indûment l’utilisation des coussins de fonds propres en période de tensions. Par exemple, le fait de comptabiliser deux fois certains instruments, au titre de coussins de fonds propres et au titre d’autres exigences minimales (ratio de levier et MREL), peut empêcher une banque d’utiliser ses coussins de fonds propres, sous peine de contrevenir à ces exigences. L’utilisation des coussins de fonds propres peut aussi se heurter à l’opinion des investisseurs et aux inquiétudes qu’elle peut susciter en termes de rentabilité. Pour relever ces défis, les autorités compétentes doivent aborder de manière globale la définition des exigences microprudentielles, macroprudentielles et de résolution. Elles doivent conserver une marge d’appréciation, mais la fixation de ces exigences doit être plus prévisible et plus transparente, afin afin de permettre aux banques d'effectuer une planification plus efficiente de leurs fonds propres et de donner aux marchés financiers une vision plus claire de la situation. </w:t>
      </w:r>
    </w:p>
    <w:p w14:paraId="0DB5CCCA"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noProof/>
          <w:sz w:val="24"/>
          <w:lang w:val="fr-BE"/>
        </w:rPr>
        <w:t xml:space="preserve">Dans ce contexte, la Commission: </w:t>
      </w:r>
    </w:p>
    <w:p w14:paraId="127E2379" w14:textId="77777777" w:rsidR="00491BC8" w:rsidRPr="00491BC8" w:rsidRDefault="00491BC8" w:rsidP="00491BC8">
      <w:pPr>
        <w:pStyle w:val="ListParagraph"/>
        <w:numPr>
          <w:ilvl w:val="1"/>
          <w:numId w:val="55"/>
        </w:numPr>
        <w:spacing w:after="120" w:line="276" w:lineRule="auto"/>
        <w:contextualSpacing w:val="0"/>
        <w:jc w:val="both"/>
        <w:rPr>
          <w:rFonts w:ascii="Times New Roman" w:eastAsia="Times New Roman" w:hAnsi="Times New Roman" w:cs="Times New Roman"/>
          <w:b/>
          <w:bCs/>
          <w:i/>
          <w:iCs/>
          <w:noProof/>
          <w:sz w:val="24"/>
          <w:szCs w:val="24"/>
          <w:lang w:val="fr-BE"/>
        </w:rPr>
      </w:pPr>
      <w:r w:rsidRPr="00491BC8">
        <w:rPr>
          <w:rFonts w:ascii="Times New Roman" w:hAnsi="Times New Roman"/>
          <w:b/>
          <w:i/>
          <w:noProof/>
          <w:sz w:val="24"/>
          <w:lang w:val="fr-BE"/>
        </w:rPr>
        <w:t>proposera un renforcement des mécanismes de coordination entre les autorités chargées de mettre en œuvre les règles microprudentielles, macroprudentielles et de résolution, afin que les exigences fixées le soient de manière cohérente et que les responsabilités soient renforcées et plus claires. Les autorités devront se coordonner plus étroitement et échanger davantage leurs informations, en ayant une vision globale à la fois des besoins totaux en fonds propres de l’ensemble du système et de ceux de la banque concernée;</w:t>
      </w:r>
    </w:p>
    <w:p w14:paraId="0C239461" w14:textId="77777777" w:rsidR="00491BC8" w:rsidRPr="00491BC8" w:rsidRDefault="00491BC8" w:rsidP="00491BC8">
      <w:pPr>
        <w:pStyle w:val="ListParagraph"/>
        <w:numPr>
          <w:ilvl w:val="0"/>
          <w:numId w:val="56"/>
        </w:numPr>
        <w:spacing w:after="120" w:line="276" w:lineRule="auto"/>
        <w:contextualSpacing w:val="0"/>
        <w:jc w:val="both"/>
        <w:rPr>
          <w:rFonts w:ascii="Times New Roman" w:hAnsi="Times New Roman" w:cs="Times New Roman"/>
          <w:b/>
          <w:bCs/>
          <w:i/>
          <w:iCs/>
          <w:noProof/>
          <w:sz w:val="24"/>
          <w:szCs w:val="24"/>
          <w:lang w:val="fr-BE"/>
        </w:rPr>
      </w:pPr>
      <w:r w:rsidRPr="00491BC8">
        <w:rPr>
          <w:rFonts w:ascii="Times New Roman" w:hAnsi="Times New Roman"/>
          <w:b/>
          <w:i/>
          <w:noProof/>
          <w:sz w:val="24"/>
          <w:lang w:val="fr-BE"/>
        </w:rPr>
        <w:t>réexaminera la procédure afin de modifier, si nécessaire, des normes techniques au sein du cadre, de renforcer l’obligation pour l’ABE d’effectuer une analyse d’impact, et d’améliorer les mécanismes de responsabilisation/de contrôle applicables à l’attribution et à l’exercice de mandats;</w:t>
      </w:r>
    </w:p>
    <w:p w14:paraId="4C000249" w14:textId="77777777" w:rsidR="00491BC8" w:rsidRPr="00491BC8" w:rsidRDefault="00491BC8" w:rsidP="00491BC8">
      <w:pPr>
        <w:pStyle w:val="ListParagraph"/>
        <w:numPr>
          <w:ilvl w:val="0"/>
          <w:numId w:val="56"/>
        </w:numPr>
        <w:spacing w:after="120" w:line="276" w:lineRule="auto"/>
        <w:contextualSpacing w:val="0"/>
        <w:jc w:val="both"/>
        <w:rPr>
          <w:rFonts w:ascii="Times New Roman" w:eastAsia="Times New Roman" w:hAnsi="Times New Roman" w:cs="Times New Roman"/>
          <w:noProof/>
          <w:sz w:val="24"/>
          <w:szCs w:val="24"/>
          <w:lang w:val="fr-BE"/>
        </w:rPr>
      </w:pPr>
      <w:r w:rsidRPr="00491BC8">
        <w:rPr>
          <w:rFonts w:ascii="Times New Roman" w:hAnsi="Times New Roman"/>
          <w:b/>
          <w:i/>
          <w:noProof/>
          <w:sz w:val="24"/>
          <w:lang w:val="fr-BE"/>
        </w:rPr>
        <w:t>proposera de transférer certaines règles microprudentielles, macroprudentielles et de résolution vers des règlements directement applicables, dans un souci de plus grande clarté, et afin de renforcer la convergence des pratiques de surveillance et de réduire la charge administrative pesant sur les banques.</w:t>
      </w:r>
      <w:r w:rsidRPr="00491BC8">
        <w:rPr>
          <w:rFonts w:ascii="Times New Roman" w:hAnsi="Times New Roman"/>
          <w:noProof/>
          <w:sz w:val="24"/>
          <w:lang w:val="fr-BE"/>
        </w:rPr>
        <w:t xml:space="preserve"> </w:t>
      </w:r>
    </w:p>
    <w:p w14:paraId="37649B70" w14:textId="77777777" w:rsidR="00491BC8" w:rsidRPr="00491BC8" w:rsidRDefault="00491BC8" w:rsidP="00491BC8">
      <w:pPr>
        <w:pStyle w:val="ListParagraph"/>
        <w:spacing w:line="276" w:lineRule="auto"/>
        <w:jc w:val="both"/>
        <w:rPr>
          <w:rFonts w:ascii="Times New Roman" w:hAnsi="Times New Roman" w:cs="Times New Roman"/>
          <w:i/>
          <w:iCs/>
          <w:noProof/>
          <w:sz w:val="24"/>
          <w:szCs w:val="24"/>
          <w:lang w:val="fr-BE"/>
        </w:rPr>
      </w:pPr>
    </w:p>
    <w:p w14:paraId="29ABE743" w14:textId="77777777" w:rsidR="00491BC8" w:rsidRPr="00491BC8" w:rsidDel="00E1619C" w:rsidRDefault="00491BC8" w:rsidP="00491BC8">
      <w:pPr>
        <w:pStyle w:val="ListParagraph"/>
        <w:numPr>
          <w:ilvl w:val="0"/>
          <w:numId w:val="57"/>
        </w:numPr>
        <w:spacing w:line="276" w:lineRule="auto"/>
        <w:jc w:val="both"/>
        <w:rPr>
          <w:rFonts w:ascii="Times New Roman" w:hAnsi="Times New Roman" w:cs="Times New Roman"/>
          <w:b/>
          <w:bCs/>
          <w:i/>
          <w:iCs/>
          <w:noProof/>
          <w:sz w:val="28"/>
          <w:szCs w:val="28"/>
          <w:lang w:val="fr-BE"/>
        </w:rPr>
      </w:pPr>
      <w:r w:rsidRPr="00491BC8">
        <w:rPr>
          <w:rFonts w:ascii="Times New Roman" w:hAnsi="Times New Roman"/>
          <w:b/>
          <w:i/>
          <w:noProof/>
          <w:sz w:val="28"/>
          <w:lang w:val="fr-BE"/>
        </w:rPr>
        <w:t>Rationaliser les obligations de déclaration et de publication</w:t>
      </w:r>
    </w:p>
    <w:p w14:paraId="42D3CB6F"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b/>
          <w:noProof/>
          <w:sz w:val="24"/>
          <w:lang w:val="fr-BE"/>
        </w:rPr>
        <w:t>Les obligations de déclaration et de publication sont essentielles au bon fonctionnement du secteur bancaire, mais le cadre qui les régit est devenu très pesant pour les banques.</w:t>
      </w:r>
      <w:r w:rsidRPr="00491BC8">
        <w:rPr>
          <w:rFonts w:ascii="Times New Roman" w:hAnsi="Times New Roman"/>
          <w:noProof/>
          <w:sz w:val="24"/>
          <w:lang w:val="fr-BE"/>
        </w:rPr>
        <w:t xml:space="preserve"> Le coût total des obligations déclaratives pour les banques de l’UE, qui comprend toutes les dépenses de fonctionnement des systèmes utilisés à cet effet (personnel, informatique, services juridiques, comptables, d’audit et de conseil), est estimé à 11,2 milliards d’EUR par an</w:t>
      </w:r>
      <w:r>
        <w:rPr>
          <w:rStyle w:val="FootnoteReference"/>
          <w:rFonts w:ascii="Times New Roman" w:hAnsi="Times New Roman" w:cs="Times New Roman"/>
          <w:noProof/>
          <w:sz w:val="24"/>
          <w:szCs w:val="24"/>
          <w:lang w:val="en-IE"/>
        </w:rPr>
        <w:footnoteReference w:id="25"/>
      </w:r>
      <w:r w:rsidRPr="00491BC8">
        <w:rPr>
          <w:rFonts w:ascii="Times New Roman" w:hAnsi="Times New Roman"/>
          <w:noProof/>
          <w:sz w:val="24"/>
          <w:lang w:val="fr-BE"/>
        </w:rPr>
        <w:t xml:space="preserve">. La charge que cela représente tient aux modifications fréquentes apportées aux exigences déclaratives, au fait qu’elles sont inutilement complexes, à leur manque de clarté et de cohérence et aux doublons qui en résultent, les autorités ne partageant pas assez entre elles les données dont elles disposent. </w:t>
      </w:r>
    </w:p>
    <w:p w14:paraId="52302FD9"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b/>
          <w:noProof/>
          <w:sz w:val="24"/>
          <w:lang w:val="fr-BE"/>
        </w:rPr>
        <w:t>D’importantes mesures ont déjà été prises pour simplifier et rationaliser les obligations déclaratives, conformément aussi à la stratégie de la Commission en matière de données de surveillance</w:t>
      </w:r>
      <w:r>
        <w:rPr>
          <w:rStyle w:val="FootnoteReference"/>
          <w:rFonts w:ascii="Times New Roman" w:hAnsi="Times New Roman" w:cs="Times New Roman"/>
          <w:noProof/>
          <w:sz w:val="24"/>
          <w:szCs w:val="24"/>
          <w:lang w:val="en-IE"/>
        </w:rPr>
        <w:footnoteReference w:id="26"/>
      </w:r>
      <w:r w:rsidRPr="00491BC8">
        <w:rPr>
          <w:rFonts w:ascii="Times New Roman" w:hAnsi="Times New Roman"/>
          <w:noProof/>
          <w:sz w:val="24"/>
          <w:lang w:val="fr-BE"/>
        </w:rPr>
        <w:t>. Ces mesures incluent: des modifications législatives visant à simplifier la réutilisation de données de surveillance aux fins de la publication d’informations; des mesures visant à alléger sensiblement la charge que représentent les obligations déclaratives pour les établissements de petite taille et non complexes (plateforme de données du pilier 3); un règlement sur l’amélioration du partage des données, qui réduira les demandes de données faisant doublon et imposera aux autorités de l’UE de réexaminer régulièrement les obligations déclaratives pour supprimer les redondances et d'intensifier leurs efforts d’intégration des processus de déclaration</w:t>
      </w:r>
      <w:r>
        <w:rPr>
          <w:rStyle w:val="FootnoteReference"/>
          <w:rFonts w:ascii="Times New Roman" w:hAnsi="Times New Roman" w:cs="Times New Roman"/>
          <w:noProof/>
          <w:sz w:val="24"/>
          <w:szCs w:val="24"/>
          <w:lang w:val="en-IE"/>
        </w:rPr>
        <w:footnoteReference w:id="27"/>
      </w:r>
      <w:r w:rsidRPr="00491BC8">
        <w:rPr>
          <w:rFonts w:ascii="Times New Roman" w:hAnsi="Times New Roman"/>
          <w:noProof/>
          <w:sz w:val="24"/>
          <w:lang w:val="fr-BE"/>
        </w:rPr>
        <w:t>; et le train de mesures Omnibus I et les simplifications ultérieures de la taxinomie de l’UE et des normes européennes d’information en matière de durabilité</w:t>
      </w:r>
      <w:r>
        <w:rPr>
          <w:rStyle w:val="FootnoteReference"/>
          <w:rFonts w:ascii="Times New Roman" w:hAnsi="Times New Roman" w:cs="Times New Roman"/>
          <w:noProof/>
          <w:sz w:val="24"/>
          <w:szCs w:val="24"/>
          <w:lang w:val="en-IE"/>
        </w:rPr>
        <w:footnoteReference w:id="28"/>
      </w:r>
      <w:r w:rsidRPr="00491BC8">
        <w:rPr>
          <w:rFonts w:ascii="Times New Roman" w:hAnsi="Times New Roman"/>
          <w:noProof/>
          <w:sz w:val="24"/>
          <w:lang w:val="fr-BE"/>
        </w:rPr>
        <w:t xml:space="preserve">. Une fois opérationnel, le point d’accès unique européen facilitera aussi l’obtention de données et réduira les doublons, en offrant un accès électronique centralisé aux données publiques sur les banques et leurs produits. La Commission poursuivra ses échanges avec l’ABE afin de s'assurer que les obligations prudentielles de déclaration et de publication soient proportionnées et cohérentes avec le cadre général mis en place en matière de durabilité. </w:t>
      </w:r>
    </w:p>
    <w:p w14:paraId="1DA87F76"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noProof/>
          <w:sz w:val="24"/>
          <w:lang w:val="fr-BE"/>
        </w:rPr>
        <w:t>En outre, l’ABE a déjà mis en œuvre plusieurs mesures de fond pour réduire la charge que les obligations déclaratives font peser sur les banques. Outre les mesures supplémentaires proposées en 2026, le nombre de points de données dans les cadres de déclaration de l’UE devrait être réduit de 50 %</w:t>
      </w:r>
      <w:r>
        <w:rPr>
          <w:rStyle w:val="FootnoteReference"/>
          <w:rFonts w:ascii="Times New Roman" w:hAnsi="Times New Roman" w:cs="Times New Roman"/>
          <w:noProof/>
          <w:sz w:val="24"/>
          <w:szCs w:val="24"/>
          <w:lang w:val="en-IE"/>
        </w:rPr>
        <w:footnoteReference w:id="29"/>
      </w:r>
      <w:r w:rsidRPr="00491BC8">
        <w:rPr>
          <w:rFonts w:ascii="Times New Roman" w:hAnsi="Times New Roman"/>
          <w:noProof/>
          <w:sz w:val="24"/>
          <w:lang w:val="fr-BE"/>
        </w:rPr>
        <w:t xml:space="preserve">. Malgré ces progrès, les parties prenantes confirment la nécessité de poursuivre cette rationalisation, en accordant la priorité à l’intégration des processus de déclaration, à la proportionnalité et à une mise à niveau technologique. </w:t>
      </w:r>
    </w:p>
    <w:p w14:paraId="642E8D5C"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noProof/>
          <w:sz w:val="24"/>
          <w:lang w:val="fr-BE"/>
        </w:rPr>
        <w:t>Dans ce contexte, la Commission:</w:t>
      </w:r>
    </w:p>
    <w:p w14:paraId="68F1E4CD" w14:textId="77777777" w:rsidR="00491BC8" w:rsidRPr="00491BC8" w:rsidRDefault="00491BC8" w:rsidP="00491BC8">
      <w:pPr>
        <w:numPr>
          <w:ilvl w:val="0"/>
          <w:numId w:val="58"/>
        </w:numPr>
        <w:spacing w:line="276" w:lineRule="auto"/>
        <w:jc w:val="both"/>
        <w:rPr>
          <w:rFonts w:ascii="Times New Roman" w:hAnsi="Times New Roman" w:cs="Times New Roman"/>
          <w:b/>
          <w:bCs/>
          <w:i/>
          <w:iCs/>
          <w:noProof/>
          <w:sz w:val="24"/>
          <w:szCs w:val="24"/>
          <w:lang w:val="fr-BE"/>
        </w:rPr>
      </w:pPr>
      <w:r w:rsidRPr="00491BC8">
        <w:rPr>
          <w:rFonts w:ascii="Times New Roman" w:hAnsi="Times New Roman"/>
          <w:b/>
          <w:i/>
          <w:noProof/>
          <w:sz w:val="24"/>
          <w:lang w:val="fr-BE"/>
        </w:rPr>
        <w:t xml:space="preserve">soutiendra le passage de l’approche actuelle à des processus plus intégrés de communication d’informations à des fins prudentielles, statistiques et de résolution, fondés sur des mécanismes de gouvernance solides et sur un dictionnaire de données commun, et incitera les autorités concernées à poursuivre leurs travaux techniques en ce sens, en s'appuyant sur les avis du comité conjoint pour les déclarations bancaires, afin d'obtenir des améliorations tangibles; </w:t>
      </w:r>
    </w:p>
    <w:p w14:paraId="22E37945" w14:textId="77777777" w:rsidR="00491BC8" w:rsidRPr="00491BC8" w:rsidRDefault="00491BC8" w:rsidP="00491BC8">
      <w:pPr>
        <w:numPr>
          <w:ilvl w:val="0"/>
          <w:numId w:val="58"/>
        </w:numPr>
        <w:spacing w:line="276" w:lineRule="auto"/>
        <w:jc w:val="both"/>
        <w:rPr>
          <w:rFonts w:ascii="Times New Roman" w:hAnsi="Times New Roman" w:cs="Times New Roman"/>
          <w:b/>
          <w:bCs/>
          <w:i/>
          <w:iCs/>
          <w:noProof/>
          <w:sz w:val="24"/>
          <w:szCs w:val="24"/>
          <w:lang w:val="fr-BE"/>
        </w:rPr>
      </w:pPr>
      <w:bookmarkStart w:id="12" w:name="_Hlk234778844"/>
      <w:r w:rsidRPr="00491BC8">
        <w:rPr>
          <w:rFonts w:ascii="Times New Roman" w:hAnsi="Times New Roman"/>
          <w:b/>
          <w:i/>
          <w:noProof/>
          <w:sz w:val="24"/>
          <w:lang w:val="fr-BE"/>
        </w:rPr>
        <w:t xml:space="preserve">après avoir étudié toutes les options disponibles pour améliorer la compétitivité du secteur bancaire de l’UE, y compris une éventuelle révision du mandat de l’ABE, proposera, là où ce sera nécessaire, des modifications législatives ciblées chargeant l’ABE de renforcer la proportionnalité, la simplification et l’automatisation des déclarations au niveau technique et portant notamment sur des seuils d’importance applicables aux erreurs mineures commises dans les déclarations et sur d’autres aspects qui alourdissent inutilement la charge des entités déclarantes; </w:t>
      </w:r>
    </w:p>
    <w:p w14:paraId="0BB01C05" w14:textId="77777777" w:rsidR="00491BC8" w:rsidRPr="00491BC8" w:rsidRDefault="00491BC8" w:rsidP="00491BC8">
      <w:pPr>
        <w:numPr>
          <w:ilvl w:val="0"/>
          <w:numId w:val="58"/>
        </w:numPr>
        <w:spacing w:line="276" w:lineRule="auto"/>
        <w:jc w:val="both"/>
        <w:rPr>
          <w:rFonts w:ascii="Times New Roman" w:hAnsi="Times New Roman" w:cs="Times New Roman"/>
          <w:b/>
          <w:bCs/>
          <w:i/>
          <w:iCs/>
          <w:noProof/>
          <w:sz w:val="24"/>
          <w:szCs w:val="24"/>
          <w:lang w:val="fr-BE"/>
        </w:rPr>
      </w:pPr>
      <w:r w:rsidRPr="00491BC8">
        <w:rPr>
          <w:rFonts w:ascii="Times New Roman" w:hAnsi="Times New Roman"/>
          <w:b/>
          <w:i/>
          <w:noProof/>
          <w:sz w:val="24"/>
          <w:lang w:val="fr-BE"/>
        </w:rPr>
        <w:t>proposera d'apporter au règlement ABE des modifications concernant des actes de niveau 2, à l’image de celles introduites dans la proposition de modification du règlement AEMF dans le cadre du train de mesures sur l’intégration et la surveillance du marché (MISP);</w:t>
      </w:r>
      <w:bookmarkEnd w:id="12"/>
      <w:r w:rsidRPr="00491BC8">
        <w:rPr>
          <w:rFonts w:ascii="Times New Roman" w:hAnsi="Times New Roman"/>
          <w:b/>
          <w:i/>
          <w:noProof/>
          <w:sz w:val="24"/>
          <w:lang w:val="fr-BE"/>
        </w:rPr>
        <w:t>invitera l’ABE à remanier son corpus réglementaire interactif en insérant sur son site web des liens directs entre toutes ses questions-réponses et orientations de niveau 3 et les dispositions correspondantes du cadre juridique, ce qui améliorera l’accessibilité et la transparence des informations. Ce faisant, l’ABE pourrait procéder à un audit de ses questions-réponses existantes et supprimer celles qui sont obsolètes;</w:t>
      </w:r>
    </w:p>
    <w:p w14:paraId="7E2F9805" w14:textId="77777777" w:rsidR="00491BC8" w:rsidRPr="00491BC8" w:rsidRDefault="00491BC8" w:rsidP="00491BC8">
      <w:pPr>
        <w:numPr>
          <w:ilvl w:val="0"/>
          <w:numId w:val="58"/>
        </w:numPr>
        <w:spacing w:line="276" w:lineRule="auto"/>
        <w:jc w:val="both"/>
        <w:rPr>
          <w:rFonts w:ascii="Times New Roman" w:hAnsi="Times New Roman" w:cs="Times New Roman"/>
          <w:b/>
          <w:bCs/>
          <w:i/>
          <w:iCs/>
          <w:noProof/>
          <w:sz w:val="24"/>
          <w:szCs w:val="24"/>
          <w:lang w:val="fr-BE"/>
        </w:rPr>
      </w:pPr>
      <w:r w:rsidRPr="00491BC8">
        <w:rPr>
          <w:rFonts w:ascii="Times New Roman" w:hAnsi="Times New Roman"/>
          <w:b/>
          <w:i/>
          <w:noProof/>
          <w:sz w:val="24"/>
          <w:lang w:val="fr-BE"/>
        </w:rPr>
        <w:t xml:space="preserve">aidera l’ABE et les autres autorités à réexaminer régulièrement les obligations déclaratives et à réduire ou supprimer celles qui font double emploi, conformément au règlement sur l’amélioration du partage des données; </w:t>
      </w:r>
    </w:p>
    <w:p w14:paraId="02E7FE77" w14:textId="77777777" w:rsidR="00491BC8" w:rsidRPr="00491BC8" w:rsidRDefault="00491BC8" w:rsidP="00491BC8">
      <w:pPr>
        <w:numPr>
          <w:ilvl w:val="0"/>
          <w:numId w:val="58"/>
        </w:numPr>
        <w:spacing w:line="276" w:lineRule="auto"/>
        <w:jc w:val="both"/>
        <w:rPr>
          <w:rFonts w:ascii="Times New Roman" w:hAnsi="Times New Roman" w:cs="Times New Roman"/>
          <w:b/>
          <w:bCs/>
          <w:i/>
          <w:iCs/>
          <w:noProof/>
          <w:sz w:val="24"/>
          <w:szCs w:val="24"/>
          <w:lang w:val="fr-BE"/>
        </w:rPr>
      </w:pPr>
      <w:r w:rsidRPr="00491BC8">
        <w:rPr>
          <w:rFonts w:ascii="Times New Roman" w:hAnsi="Times New Roman"/>
          <w:b/>
          <w:i/>
          <w:noProof/>
          <w:sz w:val="24"/>
          <w:lang w:val="fr-BE"/>
        </w:rPr>
        <w:t xml:space="preserve">coopérera avec les autorités nationales pour limiter l’ajout d’obligations déclaratives, qui est un facteur important de complexité et d'alourdissement de la charge des entités déclarantes; incitera les autorités nationales à utiliser au maximum la possibilité de partage des données offerte par le règlement sur l’amélioration du partage des données. </w:t>
      </w:r>
    </w:p>
    <w:p w14:paraId="1919DE72" w14:textId="77777777" w:rsidR="00491BC8" w:rsidRPr="00491BC8" w:rsidRDefault="00491BC8" w:rsidP="00491BC8">
      <w:pPr>
        <w:spacing w:line="276" w:lineRule="auto"/>
        <w:jc w:val="both"/>
        <w:rPr>
          <w:rFonts w:ascii="Times New Roman" w:hAnsi="Times New Roman"/>
          <w:noProof/>
          <w:sz w:val="32"/>
          <w:lang w:val="fr-BE"/>
        </w:rPr>
      </w:pPr>
    </w:p>
    <w:p w14:paraId="10776C46" w14:textId="77777777" w:rsidR="00491BC8" w:rsidRPr="00491BC8" w:rsidRDefault="00491BC8" w:rsidP="00491BC8">
      <w:pPr>
        <w:pStyle w:val="ListParagraph"/>
        <w:numPr>
          <w:ilvl w:val="0"/>
          <w:numId w:val="14"/>
        </w:numPr>
        <w:spacing w:line="276" w:lineRule="auto"/>
        <w:rPr>
          <w:rFonts w:ascii="Times New Roman" w:hAnsi="Times New Roman" w:cs="Times New Roman"/>
          <w:b/>
          <w:noProof/>
          <w:sz w:val="32"/>
          <w:szCs w:val="32"/>
          <w:lang w:val="fr-BE"/>
        </w:rPr>
      </w:pPr>
      <w:r w:rsidRPr="00491BC8">
        <w:rPr>
          <w:rFonts w:ascii="Times New Roman" w:hAnsi="Times New Roman"/>
          <w:b/>
          <w:noProof/>
          <w:sz w:val="32"/>
          <w:lang w:val="fr-BE"/>
        </w:rPr>
        <w:t xml:space="preserve">La compétitivité en tant que responsabilité partagée </w:t>
      </w:r>
    </w:p>
    <w:p w14:paraId="50816E07" w14:textId="77777777" w:rsidR="00491BC8" w:rsidRPr="00491BC8" w:rsidRDefault="00491BC8" w:rsidP="00491BC8">
      <w:pPr>
        <w:spacing w:line="276" w:lineRule="auto"/>
        <w:jc w:val="both"/>
        <w:rPr>
          <w:rFonts w:ascii="Times New Roman" w:hAnsi="Times New Roman" w:cs="Times New Roman"/>
          <w:b/>
          <w:bCs/>
          <w:noProof/>
          <w:sz w:val="24"/>
          <w:szCs w:val="24"/>
          <w:lang w:val="fr-BE"/>
        </w:rPr>
      </w:pPr>
      <w:r w:rsidRPr="00491BC8">
        <w:rPr>
          <w:rFonts w:ascii="Times New Roman" w:hAnsi="Times New Roman"/>
          <w:b/>
          <w:noProof/>
          <w:sz w:val="24"/>
          <w:lang w:val="fr-BE"/>
        </w:rPr>
        <w:t>Le renforcement de la compétitivité du secteur bancaire de l’UE nécessitera un changement de culture de la part de toutes les parties prenantes concernées.</w:t>
      </w:r>
      <w:r w:rsidRPr="00491BC8">
        <w:rPr>
          <w:rFonts w:ascii="Times New Roman" w:hAnsi="Times New Roman"/>
          <w:noProof/>
          <w:sz w:val="24"/>
          <w:lang w:val="fr-BE"/>
        </w:rPr>
        <w:t xml:space="preserve"> Les risques du secteur bancaire doivent être bien gérés, en particulier dans le contexte actuel, où aux risques déjà bien intégrés liés au crédit, aux opérations et aux fluctuations du marché viennent maintenant s'ajouter de nouveaux risques liés à la cyberactivité, aux tensions géopolitiques, à l’environnement et aux menaces climatiques. Cela étant, la gestion des risques devrait se concentrer sur les principales menaces et renoncer à une vision strictement basée sur la conformité, pour adopter une approche plus efficace, plus globale et plus ciblée. </w:t>
      </w:r>
    </w:p>
    <w:p w14:paraId="1066F004"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noProof/>
          <w:sz w:val="24"/>
          <w:lang w:val="fr-BE"/>
        </w:rPr>
        <w:t xml:space="preserve">La Commission devrait veiller de manière plus proactive au juste équilibre entre prise de risques et stabilité financière, afin d'éviter que le cadre réglementaire et son application n’entravent la compétitivité et la croissance. Les instances de réglementation et les autorités de surveillance devraient se concentrer sur les risques qui pèsent le plus sur la stabilité financière de l’ensemble du système, et éviter d'adopter une culture de tolérance zéro du risque, qui pourrait entraver le soutien des banques à l’activité économique. Les décideurs politiques devraient s’abstenir de maintenir les spécificités nationales qui fragmentent le marché. Il conviendrait d'utiliser au maximum les instruments de responsabilisation et, s’ils sont inefficaces, de les renforcer. </w:t>
      </w:r>
    </w:p>
    <w:p w14:paraId="58128B64" w14:textId="77777777" w:rsidR="00491BC8" w:rsidRPr="00491BC8" w:rsidRDefault="00491BC8" w:rsidP="00491BC8">
      <w:pPr>
        <w:spacing w:line="276" w:lineRule="auto"/>
        <w:jc w:val="both"/>
        <w:rPr>
          <w:rFonts w:ascii="Times New Roman" w:eastAsia="Times New Roman" w:hAnsi="Times New Roman" w:cs="Times New Roman"/>
          <w:noProof/>
          <w:sz w:val="24"/>
          <w:szCs w:val="24"/>
          <w:lang w:val="fr-BE"/>
        </w:rPr>
      </w:pPr>
      <w:r w:rsidRPr="00491BC8">
        <w:rPr>
          <w:rFonts w:ascii="Times New Roman" w:hAnsi="Times New Roman"/>
          <w:b/>
          <w:noProof/>
          <w:sz w:val="24"/>
          <w:lang w:val="fr-BE"/>
        </w:rPr>
        <w:t>Parmi les institutions de l’UE, c’est à la Commission qu’incombe la responsabilité première d’exécuter le mandat de l’UE en matière de compétitivité et de concurrence.</w:t>
      </w:r>
      <w:r w:rsidRPr="00491BC8">
        <w:rPr>
          <w:rFonts w:ascii="Times New Roman" w:hAnsi="Times New Roman"/>
          <w:noProof/>
          <w:sz w:val="24"/>
          <w:lang w:val="fr-BE"/>
        </w:rPr>
        <w:t xml:space="preserve"> Elle fera dorénavant davantage usage de son mandat de réexamen régulier du fonctionnement du système bancaire européen et de son impact sur le marché intérieur pour contribuer à ce que les activités de surveillance et de résolution restent efficaces et proportionnées et soutiennent le bon fonctionnement du marché unique et la compétitivité de l’UE</w:t>
      </w:r>
      <w:r>
        <w:rPr>
          <w:rStyle w:val="FootnoteReference"/>
          <w:rFonts w:ascii="Times New Roman" w:eastAsia="Times New Roman" w:hAnsi="Times New Roman" w:cs="Times New Roman"/>
          <w:noProof/>
          <w:sz w:val="24"/>
          <w:szCs w:val="24"/>
          <w:lang w:val="en-IE"/>
        </w:rPr>
        <w:footnoteReference w:id="30"/>
      </w:r>
      <w:r w:rsidRPr="00491BC8">
        <w:rPr>
          <w:rFonts w:ascii="Times New Roman" w:hAnsi="Times New Roman"/>
          <w:noProof/>
          <w:sz w:val="24"/>
          <w:lang w:val="fr-BE"/>
        </w:rPr>
        <w:t xml:space="preserve">. La Commission travaille avec l’ABE pour s'assurer que ses orientations en matière de surveillance soient proportionnées, en particulier lorsqu’elles sont soumises à des règles du type «appliquer ou expliquer». </w:t>
      </w:r>
    </w:p>
    <w:p w14:paraId="5A7A4F2C"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noProof/>
          <w:sz w:val="24"/>
          <w:lang w:val="fr-BE"/>
        </w:rPr>
        <w:t xml:space="preserve">Dans le même temps, les banques, leurs dirigeants et leur personnel, de même que les auditeurs et les comptables, doivent être prêts à participer à ce changement culturel et à assumer davantage la responsabilité d'appliquer la législation sur la base de sa substance. S’il est vrai que les autorités de réglementation et de surveillance doivent adopter une approche plus proportionnée et agir pour réduire la complexité, la longueur et le niveau de détail des textes qu’elles adoptent, qu’il s’agisse de mesures législatives, d’orientations ou de questions-réponses, les banques doivent faire leur part, en s’abstenant de leur demander continuellement des orientations, dans une quête de sécurité juridique absolue. Le respect de la loi devrait reposer sur la substance, et non sur le fait de cocher telle ou telle case. Il en va de la responsabilité de tous de modifier des comportements qui ont collectivement débouché sur un environnement bancaire hyper-prescriptif, exagérément complexe et dominé par l’aversion au risque. </w:t>
      </w:r>
    </w:p>
    <w:p w14:paraId="213C2EA4"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noProof/>
          <w:sz w:val="24"/>
          <w:lang w:val="fr-BE"/>
        </w:rPr>
        <w:t xml:space="preserve">Dans ce contexte, la Commission: </w:t>
      </w:r>
    </w:p>
    <w:p w14:paraId="1CD61363" w14:textId="77777777" w:rsidR="00491BC8" w:rsidRPr="00491BC8" w:rsidRDefault="00491BC8" w:rsidP="00491BC8">
      <w:pPr>
        <w:numPr>
          <w:ilvl w:val="0"/>
          <w:numId w:val="65"/>
        </w:numPr>
        <w:spacing w:line="276" w:lineRule="auto"/>
        <w:ind w:left="714" w:hanging="357"/>
        <w:jc w:val="both"/>
        <w:rPr>
          <w:rFonts w:ascii="Times New Roman" w:hAnsi="Times New Roman" w:cs="Times New Roman"/>
          <w:b/>
          <w:bCs/>
          <w:i/>
          <w:iCs/>
          <w:noProof/>
          <w:sz w:val="24"/>
          <w:szCs w:val="24"/>
          <w:lang w:val="fr-BE"/>
        </w:rPr>
      </w:pPr>
      <w:r w:rsidRPr="00491BC8">
        <w:rPr>
          <w:rFonts w:ascii="Times New Roman" w:hAnsi="Times New Roman"/>
          <w:b/>
          <w:i/>
          <w:noProof/>
          <w:sz w:val="24"/>
          <w:lang w:val="fr-BE"/>
        </w:rPr>
        <w:t xml:space="preserve">travaillera avec l’ABE, les autorités de surveillance et les acteurs du marché afin d’établir une distinction plus claire entre les exigences – qui sont impératives – et les orientations non contraignantes dont le but est d’assurer une application harmonisée des exigences; </w:t>
      </w:r>
    </w:p>
    <w:p w14:paraId="5BB26D38" w14:textId="77777777" w:rsidR="00491BC8" w:rsidRPr="00491BC8" w:rsidRDefault="00491BC8" w:rsidP="00491BC8">
      <w:pPr>
        <w:pStyle w:val="ListParagraph"/>
        <w:numPr>
          <w:ilvl w:val="0"/>
          <w:numId w:val="65"/>
        </w:numPr>
        <w:ind w:left="714" w:hanging="357"/>
        <w:contextualSpacing w:val="0"/>
        <w:jc w:val="both"/>
        <w:rPr>
          <w:rFonts w:ascii="Times New Roman" w:eastAsia="Times New Roman" w:hAnsi="Times New Roman" w:cs="Times New Roman"/>
          <w:b/>
          <w:i/>
          <w:noProof/>
          <w:sz w:val="24"/>
          <w:szCs w:val="24"/>
          <w:lang w:val="fr-BE"/>
        </w:rPr>
      </w:pPr>
      <w:bookmarkStart w:id="13" w:name="_Hlk232453167"/>
      <w:r w:rsidRPr="00491BC8">
        <w:rPr>
          <w:rFonts w:ascii="Times New Roman" w:hAnsi="Times New Roman"/>
          <w:b/>
          <w:i/>
          <w:noProof/>
          <w:sz w:val="24"/>
          <w:lang w:val="fr-BE"/>
        </w:rPr>
        <w:t xml:space="preserve">étudiera l'attribution à l’ABE et au CERS d’un mandat d'établissement régulier de rapports sur l’adéquation des exigences de fonds propres des banques dans l’ensemble de l’UE, afin de renforcer les processus de responsabilisation existants (dans le cadre du Parlement européen et des parlements nationaux, mais aussi du Conseil et des gouvernements nationaux); </w:t>
      </w:r>
    </w:p>
    <w:bookmarkEnd w:id="13"/>
    <w:p w14:paraId="6714D648" w14:textId="77777777" w:rsidR="00491BC8" w:rsidRPr="00491BC8" w:rsidRDefault="00491BC8" w:rsidP="00491BC8">
      <w:pPr>
        <w:pStyle w:val="ListParagraph"/>
        <w:numPr>
          <w:ilvl w:val="0"/>
          <w:numId w:val="65"/>
        </w:numPr>
        <w:spacing w:line="276" w:lineRule="auto"/>
        <w:ind w:left="714" w:hanging="357"/>
        <w:contextualSpacing w:val="0"/>
        <w:jc w:val="both"/>
        <w:rPr>
          <w:rFonts w:ascii="Times New Roman" w:hAnsi="Times New Roman" w:cs="Times New Roman"/>
          <w:b/>
          <w:bCs/>
          <w:i/>
          <w:iCs/>
          <w:noProof/>
          <w:sz w:val="24"/>
          <w:szCs w:val="24"/>
          <w:lang w:val="fr-BE"/>
        </w:rPr>
      </w:pPr>
      <w:r w:rsidRPr="00491BC8">
        <w:rPr>
          <w:rFonts w:ascii="Times New Roman" w:hAnsi="Times New Roman"/>
          <w:b/>
          <w:i/>
          <w:noProof/>
          <w:sz w:val="24"/>
          <w:lang w:val="fr-BE"/>
        </w:rPr>
        <w:t>coopérera avec les autorités européennes et nationales pour veiller à ce que les pratiques de surveillance soient neutres à l’égard du modèle organisationnel des banques et ne découragent pas les activités bancaires transfrontières, notamment celles exercées par le biais de succursales et de la libre prestation de services;</w:t>
      </w:r>
    </w:p>
    <w:p w14:paraId="256D794D" w14:textId="77777777" w:rsidR="00491BC8" w:rsidRPr="00491BC8" w:rsidRDefault="00491BC8" w:rsidP="00491BC8">
      <w:pPr>
        <w:pStyle w:val="ListParagraph"/>
        <w:numPr>
          <w:ilvl w:val="0"/>
          <w:numId w:val="65"/>
        </w:numPr>
        <w:spacing w:line="276" w:lineRule="auto"/>
        <w:ind w:left="714" w:hanging="357"/>
        <w:contextualSpacing w:val="0"/>
        <w:jc w:val="both"/>
        <w:rPr>
          <w:rFonts w:ascii="Times New Roman" w:hAnsi="Times New Roman" w:cs="Times New Roman"/>
          <w:b/>
          <w:bCs/>
          <w:i/>
          <w:iCs/>
          <w:noProof/>
          <w:sz w:val="24"/>
          <w:szCs w:val="24"/>
          <w:lang w:val="fr-BE"/>
        </w:rPr>
      </w:pPr>
      <w:r w:rsidRPr="00491BC8">
        <w:rPr>
          <w:rFonts w:ascii="Times New Roman" w:hAnsi="Times New Roman"/>
          <w:b/>
          <w:i/>
          <w:noProof/>
          <w:sz w:val="24"/>
          <w:lang w:val="fr-BE"/>
        </w:rPr>
        <w:t xml:space="preserve">organisera des échanges réguliers avec le MSU et le CRU, et éventuellement avec d’autres parties prenantes concernées, afin de discuter du fonctionnement du système bancaire et de l’impact des mesures de surveillance et de résolution sur le bon fonctionnement du marché intérieur. </w:t>
      </w:r>
    </w:p>
    <w:p w14:paraId="73D33D16" w14:textId="77777777" w:rsidR="00491BC8" w:rsidRPr="00491BC8" w:rsidRDefault="00491BC8" w:rsidP="00491BC8">
      <w:pPr>
        <w:pStyle w:val="ListParagraph"/>
        <w:spacing w:after="120" w:line="276" w:lineRule="auto"/>
        <w:contextualSpacing w:val="0"/>
        <w:jc w:val="both"/>
        <w:rPr>
          <w:rFonts w:ascii="Times New Roman" w:hAnsi="Times New Roman" w:cs="Times New Roman"/>
          <w:b/>
          <w:bCs/>
          <w:i/>
          <w:iCs/>
          <w:noProof/>
          <w:sz w:val="24"/>
          <w:szCs w:val="24"/>
          <w:lang w:val="fr-BE"/>
        </w:rPr>
      </w:pPr>
    </w:p>
    <w:p w14:paraId="09DB6517" w14:textId="77777777" w:rsidR="00491BC8" w:rsidRPr="00B33098" w:rsidRDefault="00491BC8" w:rsidP="00491BC8">
      <w:pPr>
        <w:pStyle w:val="ListParagraph"/>
        <w:numPr>
          <w:ilvl w:val="0"/>
          <w:numId w:val="14"/>
        </w:numPr>
        <w:spacing w:line="276" w:lineRule="auto"/>
        <w:rPr>
          <w:rFonts w:ascii="Times New Roman" w:hAnsi="Times New Roman" w:cs="Times New Roman"/>
          <w:b/>
          <w:noProof/>
          <w:sz w:val="32"/>
          <w:szCs w:val="32"/>
        </w:rPr>
      </w:pPr>
      <w:r>
        <w:rPr>
          <w:rFonts w:ascii="Times New Roman" w:hAnsi="Times New Roman"/>
          <w:b/>
          <w:noProof/>
          <w:sz w:val="32"/>
        </w:rPr>
        <w:t>Engagement et prochaines étapes</w:t>
      </w:r>
    </w:p>
    <w:p w14:paraId="40C1CCA4"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b/>
          <w:noProof/>
          <w:sz w:val="24"/>
          <w:lang w:val="fr-BE"/>
        </w:rPr>
        <w:t>La Commission s’est efforcée, dans la présente communication, de tracer la voie à suivre vers un secteur bancaire de l’UE plus compétitif</w:t>
      </w:r>
      <w:r w:rsidRPr="00491BC8">
        <w:rPr>
          <w:rFonts w:ascii="Times New Roman" w:hAnsi="Times New Roman"/>
          <w:noProof/>
          <w:sz w:val="24"/>
          <w:lang w:val="fr-BE"/>
        </w:rPr>
        <w:t xml:space="preserve">, qui mette plus efficacement en relation l’épargne et les investissements, qui exploite mieux le potentiel des marchés nationaux comme des marchés transfrontières, et qui assure aux ménages et aux entreprises un choix plus large de possibilités de financement, les coûts les plus bas et les meilleurs rendements possible. Pour être plus compétitif, le secteur bancaire doit être résilient, rentable et ouvert à la concurrence et à l’innovation. Le succès de cette démarche impliquera de procéder à une réforme d'ampleur, globale et prospective, axée sur des améliorations à fort impact. </w:t>
      </w:r>
    </w:p>
    <w:p w14:paraId="65D48CA3" w14:textId="77777777" w:rsidR="00491BC8" w:rsidRPr="00491BC8" w:rsidRDefault="00491BC8" w:rsidP="00491BC8">
      <w:pPr>
        <w:spacing w:line="276" w:lineRule="auto"/>
        <w:jc w:val="both"/>
        <w:rPr>
          <w:rFonts w:ascii="Times New Roman" w:hAnsi="Times New Roman" w:cs="Times New Roman"/>
          <w:noProof/>
          <w:sz w:val="24"/>
          <w:szCs w:val="24"/>
          <w:lang w:val="fr-BE"/>
        </w:rPr>
      </w:pPr>
      <w:r w:rsidRPr="00491BC8">
        <w:rPr>
          <w:rFonts w:ascii="Times New Roman" w:hAnsi="Times New Roman"/>
          <w:noProof/>
          <w:sz w:val="24"/>
          <w:lang w:val="fr-BE"/>
        </w:rPr>
        <w:t>La Commission a pris acte de l’ambition des colégislateurs de réformer le cadre bancaire et de renforcer la compétitivité des banques de l’UE, ambition affirmée dans les conclusions du Conseil européen de décembre 2025</w:t>
      </w:r>
      <w:r>
        <w:rPr>
          <w:rStyle w:val="FootnoteReference"/>
          <w:rFonts w:ascii="Times New Roman" w:hAnsi="Times New Roman" w:cs="Times New Roman"/>
          <w:bCs/>
          <w:noProof/>
          <w:sz w:val="24"/>
          <w:szCs w:val="24"/>
          <w:lang w:val="en-IE"/>
        </w:rPr>
        <w:footnoteReference w:id="31"/>
      </w:r>
      <w:r w:rsidRPr="00491BC8">
        <w:rPr>
          <w:rFonts w:ascii="Times New Roman" w:hAnsi="Times New Roman"/>
          <w:noProof/>
          <w:sz w:val="24"/>
          <w:lang w:val="fr-BE"/>
        </w:rPr>
        <w:t xml:space="preserve"> et de mars 2026</w:t>
      </w:r>
      <w:r>
        <w:rPr>
          <w:rStyle w:val="FootnoteReference"/>
          <w:rFonts w:ascii="Times New Roman" w:hAnsi="Times New Roman" w:cs="Times New Roman"/>
          <w:bCs/>
          <w:noProof/>
          <w:sz w:val="24"/>
          <w:szCs w:val="24"/>
          <w:lang w:val="en-IE"/>
        </w:rPr>
        <w:footnoteReference w:id="32"/>
      </w:r>
      <w:r w:rsidRPr="00491BC8">
        <w:rPr>
          <w:rFonts w:ascii="Times New Roman" w:hAnsi="Times New Roman"/>
          <w:noProof/>
          <w:sz w:val="24"/>
          <w:lang w:val="fr-BE"/>
        </w:rPr>
        <w:t>, ainsi que dans le rapport annuel du Parlement sur l’union bancaire</w:t>
      </w:r>
      <w:r>
        <w:rPr>
          <w:rStyle w:val="FootnoteReference"/>
          <w:rFonts w:ascii="Times New Roman" w:hAnsi="Times New Roman" w:cs="Times New Roman"/>
          <w:bCs/>
          <w:noProof/>
          <w:sz w:val="24"/>
          <w:szCs w:val="24"/>
          <w:lang w:val="en-IE"/>
        </w:rPr>
        <w:footnoteReference w:id="33"/>
      </w:r>
      <w:r w:rsidRPr="00491BC8">
        <w:rPr>
          <w:rFonts w:ascii="Times New Roman" w:hAnsi="Times New Roman"/>
          <w:noProof/>
          <w:sz w:val="24"/>
          <w:lang w:val="fr-BE"/>
        </w:rPr>
        <w:t>.</w:t>
      </w:r>
      <w:r w:rsidRPr="00491BC8">
        <w:rPr>
          <w:rFonts w:ascii="Times New Roman" w:hAnsi="Times New Roman"/>
          <w:b/>
          <w:noProof/>
          <w:sz w:val="24"/>
          <w:lang w:val="fr-BE"/>
        </w:rPr>
        <w:t xml:space="preserve"> </w:t>
      </w:r>
    </w:p>
    <w:p w14:paraId="0E83FB80" w14:textId="262439FC" w:rsidR="009D6B2D" w:rsidRPr="00491BC8" w:rsidRDefault="00491BC8" w:rsidP="00491BC8">
      <w:pPr>
        <w:spacing w:line="276" w:lineRule="auto"/>
        <w:jc w:val="both"/>
        <w:rPr>
          <w:bCs/>
          <w:noProof/>
          <w:lang w:val="fr-BE"/>
        </w:rPr>
      </w:pPr>
      <w:r w:rsidRPr="00491BC8">
        <w:rPr>
          <w:rFonts w:ascii="Times New Roman" w:hAnsi="Times New Roman"/>
          <w:noProof/>
          <w:sz w:val="24"/>
          <w:lang w:val="fr-BE"/>
        </w:rPr>
        <w:t>La Commission encourage donc toutes les parties prenantes à faire preuve d’ambition dans la mise en œuvre des réformes nécessaires et les invite à donner leur avis sur la présente communication, en vue de la préparation des mesures qu’elle proposera au premier trimestre 2027</w:t>
      </w:r>
      <w:r w:rsidR="00F037C9" w:rsidRPr="00491BC8">
        <w:rPr>
          <w:rFonts w:ascii="Times New Roman" w:hAnsi="Times New Roman" w:cs="Times New Roman"/>
          <w:bCs/>
          <w:noProof/>
          <w:sz w:val="24"/>
          <w:szCs w:val="24"/>
          <w:lang w:val="fr-BE"/>
        </w:rPr>
        <w:t xml:space="preserve">. </w:t>
      </w:r>
    </w:p>
    <w:sectPr w:rsidR="009D6B2D" w:rsidRPr="00491BC8" w:rsidSect="00687B5B">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39279" w14:textId="77777777" w:rsidR="00422E8C" w:rsidRDefault="00422E8C" w:rsidP="009D6B2D">
      <w:pPr>
        <w:spacing w:after="0" w:line="240" w:lineRule="auto"/>
      </w:pPr>
      <w:r>
        <w:separator/>
      </w:r>
    </w:p>
  </w:endnote>
  <w:endnote w:type="continuationSeparator" w:id="0">
    <w:p w14:paraId="57602258" w14:textId="77777777" w:rsidR="00422E8C" w:rsidRDefault="00422E8C" w:rsidP="009D6B2D">
      <w:pPr>
        <w:spacing w:after="0" w:line="240" w:lineRule="auto"/>
      </w:pPr>
      <w:r>
        <w:continuationSeparator/>
      </w:r>
    </w:p>
  </w:endnote>
  <w:endnote w:type="continuationNotice" w:id="1">
    <w:p w14:paraId="463203D7" w14:textId="77777777" w:rsidR="00422E8C" w:rsidRDefault="00422E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FECEA" w14:textId="705CCDDD" w:rsidR="006E0CE1" w:rsidRPr="006E0CE1" w:rsidRDefault="006E0CE1" w:rsidP="006E0CE1">
    <w:pPr>
      <w:pStyle w:val="FooterCoverPage"/>
      <w:rPr>
        <w:rFonts w:ascii="Arial" w:hAnsi="Arial" w:cs="Arial"/>
        <w:b/>
        <w:sz w:val="48"/>
      </w:rPr>
    </w:pPr>
    <w:r w:rsidRPr="006E0CE1">
      <w:rPr>
        <w:rFonts w:ascii="Arial" w:hAnsi="Arial" w:cs="Arial"/>
        <w:b/>
        <w:sz w:val="48"/>
      </w:rPr>
      <w:t>FR</w:t>
    </w:r>
    <w:r w:rsidRPr="006E0CE1">
      <w:rPr>
        <w:rFonts w:ascii="Arial" w:hAnsi="Arial" w:cs="Arial"/>
        <w:b/>
        <w:sz w:val="48"/>
      </w:rPr>
      <w:tab/>
    </w:r>
    <w:r w:rsidRPr="006E0CE1">
      <w:rPr>
        <w:rFonts w:ascii="Arial" w:hAnsi="Arial" w:cs="Arial"/>
        <w:b/>
        <w:sz w:val="48"/>
      </w:rPr>
      <w:tab/>
    </w:r>
    <w:r w:rsidRPr="006E0CE1">
      <w:tab/>
    </w:r>
    <w:r w:rsidRPr="006E0CE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1F984" w14:textId="5382A7BF" w:rsidR="006E0CE1" w:rsidRPr="006E0CE1" w:rsidRDefault="006E0CE1" w:rsidP="006E0CE1">
    <w:pPr>
      <w:pStyle w:val="FooterCoverPage"/>
      <w:rPr>
        <w:rFonts w:ascii="Arial" w:hAnsi="Arial" w:cs="Arial"/>
        <w:b/>
        <w:sz w:val="48"/>
      </w:rPr>
    </w:pPr>
    <w:r w:rsidRPr="006E0CE1">
      <w:rPr>
        <w:rFonts w:ascii="Arial" w:hAnsi="Arial" w:cs="Arial"/>
        <w:b/>
        <w:sz w:val="48"/>
      </w:rPr>
      <w:t>FR</w:t>
    </w:r>
    <w:r w:rsidRPr="006E0CE1">
      <w:rPr>
        <w:rFonts w:ascii="Arial" w:hAnsi="Arial" w:cs="Arial"/>
        <w:b/>
        <w:sz w:val="48"/>
      </w:rPr>
      <w:tab/>
    </w:r>
    <w:r w:rsidRPr="006E0CE1">
      <w:rPr>
        <w:rFonts w:ascii="Arial" w:hAnsi="Arial" w:cs="Arial"/>
        <w:b/>
        <w:sz w:val="48"/>
      </w:rPr>
      <w:tab/>
    </w:r>
    <w:r w:rsidRPr="006E0CE1">
      <w:tab/>
    </w:r>
    <w:r w:rsidRPr="006E0CE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FFEF3" w14:textId="77777777" w:rsidR="006E0CE1" w:rsidRPr="006E0CE1" w:rsidRDefault="006E0CE1" w:rsidP="006E0CE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9A503" w14:textId="77777777" w:rsidR="00755D31" w:rsidRDefault="00755D3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215774578"/>
      <w:docPartObj>
        <w:docPartGallery w:val="Page Numbers (Bottom of Page)"/>
        <w:docPartUnique/>
      </w:docPartObj>
    </w:sdtPr>
    <w:sdtEndPr/>
    <w:sdtContent>
      <w:p w14:paraId="24A0FB09" w14:textId="268F3EAC" w:rsidR="00755D31" w:rsidRPr="00A02627" w:rsidRDefault="00755D31">
        <w:pPr>
          <w:pStyle w:val="Footer"/>
          <w:jc w:val="center"/>
          <w:rPr>
            <w:rFonts w:ascii="Times New Roman" w:hAnsi="Times New Roman" w:cs="Times New Roman"/>
          </w:rPr>
        </w:pPr>
        <w:r w:rsidRPr="00A02627">
          <w:rPr>
            <w:rFonts w:ascii="Times New Roman" w:hAnsi="Times New Roman" w:cs="Times New Roman"/>
          </w:rPr>
          <w:fldChar w:fldCharType="begin"/>
        </w:r>
        <w:r w:rsidRPr="00A02627">
          <w:rPr>
            <w:rFonts w:ascii="Times New Roman" w:hAnsi="Times New Roman" w:cs="Times New Roman"/>
          </w:rPr>
          <w:instrText xml:space="preserve"> PAGE   \* MERGEFORMAT </w:instrText>
        </w:r>
        <w:r w:rsidRPr="00A02627">
          <w:rPr>
            <w:rFonts w:ascii="Times New Roman" w:hAnsi="Times New Roman" w:cs="Times New Roman"/>
          </w:rPr>
          <w:fldChar w:fldCharType="separate"/>
        </w:r>
        <w:r w:rsidR="006E0CE1">
          <w:rPr>
            <w:rFonts w:ascii="Times New Roman" w:hAnsi="Times New Roman" w:cs="Times New Roman"/>
            <w:noProof/>
          </w:rPr>
          <w:t>1</w:t>
        </w:r>
        <w:r w:rsidRPr="00A02627">
          <w:rPr>
            <w:rFonts w:ascii="Times New Roman" w:hAnsi="Times New Roman" w:cs="Times New Roman"/>
          </w:rPr>
          <w:fldChar w:fldCharType="end"/>
        </w:r>
      </w:p>
    </w:sdtContent>
  </w:sdt>
  <w:p w14:paraId="4ECB5080" w14:textId="77777777" w:rsidR="00755D31" w:rsidRDefault="00755D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AA642" w14:textId="77777777" w:rsidR="00755D31" w:rsidRDefault="00755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67922" w14:textId="77777777" w:rsidR="00422E8C" w:rsidRDefault="00422E8C" w:rsidP="009D6B2D">
      <w:pPr>
        <w:spacing w:after="0" w:line="240" w:lineRule="auto"/>
      </w:pPr>
      <w:r>
        <w:separator/>
      </w:r>
    </w:p>
  </w:footnote>
  <w:footnote w:type="continuationSeparator" w:id="0">
    <w:p w14:paraId="121958FC" w14:textId="77777777" w:rsidR="00422E8C" w:rsidRDefault="00422E8C" w:rsidP="009D6B2D">
      <w:pPr>
        <w:spacing w:after="0" w:line="240" w:lineRule="auto"/>
      </w:pPr>
      <w:r>
        <w:continuationSeparator/>
      </w:r>
    </w:p>
  </w:footnote>
  <w:footnote w:type="continuationNotice" w:id="1">
    <w:p w14:paraId="113DE493" w14:textId="77777777" w:rsidR="00422E8C" w:rsidRDefault="00422E8C">
      <w:pPr>
        <w:spacing w:after="0" w:line="240" w:lineRule="auto"/>
      </w:pPr>
    </w:p>
  </w:footnote>
  <w:footnote w:id="2">
    <w:p w14:paraId="44B4C6E2" w14:textId="77777777" w:rsidR="006D4C88" w:rsidRPr="006D4C88" w:rsidRDefault="006D4C88" w:rsidP="006D4C88">
      <w:pPr>
        <w:pStyle w:val="FootnoteText"/>
        <w:jc w:val="both"/>
        <w:rPr>
          <w:rFonts w:ascii="Times New Roman" w:hAnsi="Times New Roman" w:cs="Times New Roman"/>
          <w:lang w:val="fr-BE"/>
        </w:rPr>
      </w:pPr>
      <w:r>
        <w:rPr>
          <w:rStyle w:val="FootnoteReference"/>
          <w:rFonts w:ascii="Times New Roman" w:eastAsia="Aptos" w:hAnsi="Times New Roman" w:cs="Times New Roman"/>
        </w:rPr>
        <w:footnoteRef/>
      </w:r>
      <w:r w:rsidRPr="006D4C88">
        <w:rPr>
          <w:lang w:val="fr-BE"/>
        </w:rPr>
        <w:t xml:space="preserve"> </w:t>
      </w:r>
      <w:r w:rsidRPr="006D4C88">
        <w:rPr>
          <w:rFonts w:ascii="Times New Roman" w:hAnsi="Times New Roman"/>
          <w:lang w:val="fr-BE"/>
        </w:rPr>
        <w:t>Commission européenne (2025),</w:t>
      </w:r>
      <w:r w:rsidRPr="006D4C88">
        <w:rPr>
          <w:lang w:val="fr-BE"/>
        </w:rPr>
        <w:t xml:space="preserve"> </w:t>
      </w:r>
      <w:hyperlink r:id="rId1">
        <w:r w:rsidRPr="006D4C88">
          <w:rPr>
            <w:rStyle w:val="Hyperlink"/>
            <w:rFonts w:ascii="Times New Roman" w:hAnsi="Times New Roman"/>
            <w:i/>
            <w:lang w:val="fr-BE"/>
          </w:rPr>
          <w:t>Stratégie pour une union de l’épargne et des investissements</w:t>
        </w:r>
      </w:hyperlink>
      <w:r w:rsidRPr="006D4C88">
        <w:rPr>
          <w:lang w:val="fr-BE"/>
        </w:rPr>
        <w:t>.</w:t>
      </w:r>
    </w:p>
  </w:footnote>
  <w:footnote w:id="3">
    <w:p w14:paraId="663E9F32" w14:textId="77777777" w:rsidR="006D4C88" w:rsidRPr="006D4C88" w:rsidRDefault="006D4C88" w:rsidP="006D4C88">
      <w:pPr>
        <w:pStyle w:val="FootnoteText"/>
        <w:jc w:val="both"/>
        <w:rPr>
          <w:rFonts w:ascii="Times New Roman" w:hAnsi="Times New Roman" w:cs="Times New Roman"/>
          <w:lang w:val="fr-BE"/>
        </w:rPr>
      </w:pPr>
      <w:r>
        <w:rPr>
          <w:rStyle w:val="FootnoteReference"/>
          <w:rFonts w:ascii="Times New Roman" w:eastAsia="Aptos" w:hAnsi="Times New Roman" w:cs="Times New Roman"/>
        </w:rPr>
        <w:footnoteRef/>
      </w:r>
      <w:r w:rsidRPr="006D4C88">
        <w:rPr>
          <w:lang w:val="fr-BE"/>
        </w:rPr>
        <w:tab/>
      </w:r>
      <w:r w:rsidRPr="006D4C88">
        <w:rPr>
          <w:rFonts w:ascii="Times New Roman" w:hAnsi="Times New Roman"/>
          <w:lang w:val="fr-BE"/>
        </w:rPr>
        <w:t>Commission européenne (2025),</w:t>
      </w:r>
      <w:r w:rsidRPr="006D4C88">
        <w:rPr>
          <w:lang w:val="fr-BE"/>
        </w:rPr>
        <w:t xml:space="preserve"> </w:t>
      </w:r>
      <w:bookmarkStart w:id="2" w:name="_Hlt233970636"/>
      <w:bookmarkEnd w:id="2"/>
      <w:r>
        <w:fldChar w:fldCharType="begin"/>
      </w:r>
      <w:r w:rsidRPr="006D4C88">
        <w:rPr>
          <w:lang w:val="fr-BE"/>
        </w:rPr>
        <w:instrText>HYPERLINK "https://commission.europa.eu/topics/competitiveness/competitiveness-compass_fr" \h</w:instrText>
      </w:r>
      <w:r>
        <w:fldChar w:fldCharType="separate"/>
      </w:r>
      <w:r w:rsidRPr="006D4C88">
        <w:rPr>
          <w:rStyle w:val="Hyperlink"/>
          <w:lang w:val="fr-BE"/>
        </w:rPr>
        <w:t>Une boussole pour la compétitivité de l’UE</w:t>
      </w:r>
      <w:r>
        <w:fldChar w:fldCharType="end"/>
      </w:r>
      <w:r w:rsidRPr="006D4C88">
        <w:rPr>
          <w:rStyle w:val="Hyperlink"/>
          <w:rFonts w:ascii="Times New Roman" w:hAnsi="Times New Roman"/>
          <w:i/>
          <w:lang w:val="fr-BE"/>
        </w:rPr>
        <w:t>.</w:t>
      </w:r>
    </w:p>
  </w:footnote>
  <w:footnote w:id="4">
    <w:p w14:paraId="0B6E2BDE" w14:textId="77777777" w:rsidR="006D4C88" w:rsidRPr="005A76B5" w:rsidRDefault="006D4C88" w:rsidP="006D4C88">
      <w:pPr>
        <w:pStyle w:val="FootnoteText"/>
        <w:jc w:val="both"/>
        <w:rPr>
          <w:rFonts w:ascii="Times New Roman" w:hAnsi="Times New Roman" w:cs="Times New Roman"/>
        </w:rPr>
      </w:pPr>
      <w:r>
        <w:rPr>
          <w:rStyle w:val="FootnoteReference"/>
          <w:rFonts w:ascii="Times New Roman" w:eastAsia="Aptos" w:hAnsi="Times New Roman" w:cs="Times New Roman"/>
        </w:rPr>
        <w:footnoteRef/>
      </w:r>
      <w:r>
        <w:tab/>
      </w:r>
      <w:r>
        <w:rPr>
          <w:rFonts w:ascii="Times New Roman" w:hAnsi="Times New Roman"/>
        </w:rPr>
        <w:t xml:space="preserve">Enrico Letta (2024), </w:t>
      </w:r>
      <w:hyperlink r:id="rId2">
        <w:r>
          <w:rPr>
            <w:rStyle w:val="Hyperlink"/>
            <w:rFonts w:ascii="Times New Roman" w:hAnsi="Times New Roman"/>
            <w:i/>
          </w:rPr>
          <w:t>Much more than a Market</w:t>
        </w:r>
      </w:hyperlink>
      <w:r>
        <w:rPr>
          <w:rFonts w:ascii="Times New Roman" w:hAnsi="Times New Roman"/>
        </w:rPr>
        <w:t>.</w:t>
      </w:r>
    </w:p>
  </w:footnote>
  <w:footnote w:id="5">
    <w:p w14:paraId="1C9589F0" w14:textId="77777777" w:rsidR="006D4C88" w:rsidRPr="005A76B5" w:rsidRDefault="006D4C88" w:rsidP="006D4C88">
      <w:pPr>
        <w:pStyle w:val="FootnoteText"/>
        <w:jc w:val="both"/>
        <w:rPr>
          <w:rFonts w:ascii="Times New Roman" w:hAnsi="Times New Roman" w:cs="Times New Roman"/>
        </w:rPr>
      </w:pPr>
      <w:r>
        <w:rPr>
          <w:rStyle w:val="FootnoteReference"/>
          <w:rFonts w:ascii="Times New Roman" w:eastAsia="Aptos" w:hAnsi="Times New Roman" w:cs="Times New Roman"/>
        </w:rPr>
        <w:footnoteRef/>
      </w:r>
      <w:r>
        <w:t xml:space="preserve"> </w:t>
      </w:r>
      <w:r>
        <w:rPr>
          <w:rFonts w:ascii="Times New Roman" w:hAnsi="Times New Roman"/>
        </w:rPr>
        <w:t xml:space="preserve">Mario Draghi (2025), </w:t>
      </w:r>
      <w:hyperlink r:id="rId3">
        <w:r>
          <w:rPr>
            <w:rStyle w:val="Hyperlink"/>
            <w:rFonts w:ascii="Times New Roman" w:hAnsi="Times New Roman"/>
            <w:i/>
          </w:rPr>
          <w:t>The future of European competitiveness</w:t>
        </w:r>
      </w:hyperlink>
      <w:r>
        <w:t xml:space="preserve"> </w:t>
      </w:r>
    </w:p>
  </w:footnote>
  <w:footnote w:id="6">
    <w:p w14:paraId="2FD98F0F" w14:textId="77777777" w:rsidR="006D4C88" w:rsidRPr="006D4C88" w:rsidRDefault="006D4C88" w:rsidP="006D4C88">
      <w:pPr>
        <w:pStyle w:val="FootnoteText"/>
        <w:ind w:left="709" w:hanging="709"/>
        <w:jc w:val="both"/>
        <w:rPr>
          <w:rFonts w:ascii="Times New Roman" w:hAnsi="Times New Roman" w:cs="Times New Roman"/>
          <w:lang w:val="fr-BE"/>
        </w:rPr>
      </w:pPr>
      <w:r>
        <w:rPr>
          <w:rStyle w:val="FootnoteReference"/>
          <w:rFonts w:ascii="Times New Roman" w:eastAsia="Aptos" w:hAnsi="Times New Roman" w:cs="Times New Roman"/>
        </w:rPr>
        <w:footnoteRef/>
      </w:r>
      <w:r w:rsidRPr="006D4C88">
        <w:rPr>
          <w:lang w:val="fr-BE"/>
        </w:rPr>
        <w:t xml:space="preserve"> </w:t>
      </w:r>
      <w:r w:rsidRPr="006D4C88">
        <w:rPr>
          <w:rFonts w:ascii="Times New Roman" w:hAnsi="Times New Roman"/>
          <w:lang w:val="fr-BE"/>
        </w:rPr>
        <w:t>Commission européenne (2025),</w:t>
      </w:r>
      <w:r w:rsidRPr="006D4C88">
        <w:rPr>
          <w:lang w:val="fr-BE"/>
        </w:rPr>
        <w:t xml:space="preserve"> </w:t>
      </w:r>
      <w:hyperlink r:id="rId4">
        <w:r w:rsidRPr="006D4C88">
          <w:rPr>
            <w:rStyle w:val="Hyperlink"/>
            <w:rFonts w:ascii="Times New Roman" w:hAnsi="Times New Roman"/>
            <w:i/>
            <w:lang w:val="fr-BE"/>
          </w:rPr>
          <w:t>Stratégie pour un marché unique simple, homogène et solide</w:t>
        </w:r>
      </w:hyperlink>
      <w:r w:rsidRPr="006D4C88">
        <w:rPr>
          <w:rFonts w:ascii="Times New Roman" w:hAnsi="Times New Roman"/>
          <w:lang w:val="fr-BE"/>
        </w:rPr>
        <w:t>.</w:t>
      </w:r>
    </w:p>
  </w:footnote>
  <w:footnote w:id="7">
    <w:p w14:paraId="4852083E" w14:textId="77777777" w:rsidR="006D4C88" w:rsidRPr="006D4C88" w:rsidRDefault="006D4C88" w:rsidP="006D4C88">
      <w:pPr>
        <w:pStyle w:val="FootnoteText"/>
        <w:ind w:left="709" w:hanging="709"/>
        <w:jc w:val="both"/>
        <w:rPr>
          <w:rFonts w:ascii="Times New Roman" w:hAnsi="Times New Roman" w:cs="Times New Roman"/>
          <w:lang w:val="fr-BE"/>
        </w:rPr>
      </w:pPr>
      <w:r>
        <w:rPr>
          <w:rStyle w:val="FootnoteReference"/>
          <w:rFonts w:ascii="Times New Roman" w:eastAsia="Aptos" w:hAnsi="Times New Roman" w:cs="Times New Roman"/>
        </w:rPr>
        <w:footnoteRef/>
      </w:r>
      <w:r w:rsidRPr="006D4C88">
        <w:rPr>
          <w:lang w:val="fr-BE"/>
        </w:rPr>
        <w:tab/>
      </w:r>
      <w:r w:rsidRPr="006D4C88">
        <w:rPr>
          <w:rFonts w:ascii="Times New Roman" w:hAnsi="Times New Roman"/>
          <w:lang w:val="fr-BE"/>
        </w:rPr>
        <w:t>Commission européenne (2026),</w:t>
      </w:r>
      <w:hyperlink r:id="rId5">
        <w:r w:rsidRPr="006D4C88">
          <w:rPr>
            <w:rStyle w:val="Hyperlink"/>
            <w:rFonts w:ascii="Times New Roman" w:hAnsi="Times New Roman"/>
            <w:i/>
            <w:lang w:val="fr-BE"/>
          </w:rPr>
          <w:t>Feuille de route «Une Europe, un marché» du Parlement européen, du Conseil de l'Union européenne et de la Commission européenne</w:t>
        </w:r>
      </w:hyperlink>
      <w:r w:rsidRPr="006D4C88">
        <w:rPr>
          <w:rFonts w:ascii="Times New Roman" w:hAnsi="Times New Roman"/>
          <w:lang w:val="fr-BE"/>
        </w:rPr>
        <w:t xml:space="preserve">. </w:t>
      </w:r>
    </w:p>
  </w:footnote>
  <w:footnote w:id="8">
    <w:p w14:paraId="0E130B8B" w14:textId="77777777" w:rsidR="006D4C88" w:rsidRPr="006D4C88" w:rsidRDefault="006D4C88" w:rsidP="006D4C88">
      <w:pPr>
        <w:pStyle w:val="FootnoteText"/>
        <w:ind w:left="709" w:hanging="709"/>
        <w:jc w:val="both"/>
        <w:rPr>
          <w:lang w:val="fr-BE"/>
        </w:rPr>
      </w:pPr>
      <w:r>
        <w:rPr>
          <w:rStyle w:val="FootnoteReference"/>
        </w:rPr>
        <w:footnoteRef/>
      </w:r>
      <w:r w:rsidRPr="006D4C88">
        <w:rPr>
          <w:lang w:val="fr-BE"/>
        </w:rPr>
        <w:tab/>
      </w:r>
      <w:r w:rsidRPr="006D4C88">
        <w:rPr>
          <w:rFonts w:ascii="Times New Roman" w:hAnsi="Times New Roman"/>
          <w:lang w:val="fr-BE"/>
        </w:rPr>
        <w:t>Commission européenne (avril 2026), plan d’action pour un nettoyage approfondi de la réglementation accompagnant la communication intitulée</w:t>
      </w:r>
      <w:r w:rsidRPr="006D4C88">
        <w:rPr>
          <w:lang w:val="fr-BE"/>
        </w:rPr>
        <w:t xml:space="preserve"> </w:t>
      </w:r>
      <w:hyperlink r:id="rId6" w:history="1">
        <w:bookmarkStart w:id="4" w:name="_Hlt233970712"/>
        <w:bookmarkStart w:id="5" w:name="_Hlt233970713"/>
        <w:bookmarkEnd w:id="4"/>
        <w:r w:rsidRPr="006D4C88">
          <w:rPr>
            <w:rStyle w:val="Hyperlink"/>
            <w:rFonts w:ascii="Times New Roman" w:hAnsi="Times New Roman"/>
            <w:i/>
            <w:lang w:val="fr-BE"/>
          </w:rPr>
          <w:t>Un corpus réglementaire de l’UE plus simple, plus clair et mieux mis en œuvre</w:t>
        </w:r>
        <w:bookmarkEnd w:id="5"/>
      </w:hyperlink>
    </w:p>
  </w:footnote>
  <w:footnote w:id="9">
    <w:p w14:paraId="0BAE7EE2" w14:textId="77777777" w:rsidR="006D4C88" w:rsidRPr="006D4C88" w:rsidRDefault="006D4C88" w:rsidP="006D4C88">
      <w:pPr>
        <w:pStyle w:val="FootnoteText"/>
        <w:ind w:left="709" w:hanging="709"/>
        <w:jc w:val="both"/>
        <w:rPr>
          <w:rFonts w:ascii="Times New Roman" w:hAnsi="Times New Roman" w:cs="Times New Roman"/>
          <w:lang w:val="fr-BE"/>
        </w:rPr>
      </w:pPr>
      <w:r>
        <w:rPr>
          <w:rStyle w:val="FootnoteReference"/>
          <w:rFonts w:ascii="Times New Roman" w:hAnsi="Times New Roman" w:cs="Times New Roman"/>
        </w:rPr>
        <w:footnoteRef/>
      </w:r>
      <w:r w:rsidRPr="006D4C88">
        <w:rPr>
          <w:rFonts w:ascii="Times New Roman" w:hAnsi="Times New Roman"/>
          <w:lang w:val="fr-BE"/>
        </w:rPr>
        <w:t xml:space="preserve"> </w:t>
      </w:r>
      <w:r w:rsidRPr="006D4C88">
        <w:rPr>
          <w:lang w:val="fr-BE"/>
        </w:rPr>
        <w:tab/>
      </w:r>
      <w:r w:rsidRPr="006D4C88">
        <w:rPr>
          <w:rFonts w:ascii="Times New Roman" w:hAnsi="Times New Roman"/>
          <w:lang w:val="fr-BE"/>
        </w:rPr>
        <w:t>Pour en savoir plus, voir ici les rapports conclusifs de la série 2025 de tests de résistance menés à l’échelle de l’UE par l’ABE (</w:t>
      </w:r>
      <w:hyperlink r:id="rId7" w:history="1">
        <w:r w:rsidRPr="006D4C88">
          <w:rPr>
            <w:rStyle w:val="Hyperlink"/>
            <w:rFonts w:ascii="Times New Roman" w:hAnsi="Times New Roman"/>
            <w:lang w:val="fr-BE"/>
          </w:rPr>
          <w:t>lien</w:t>
        </w:r>
      </w:hyperlink>
      <w:r w:rsidRPr="006D4C88">
        <w:rPr>
          <w:rFonts w:ascii="Times New Roman" w:hAnsi="Times New Roman"/>
          <w:lang w:val="fr-BE"/>
        </w:rPr>
        <w:t>) et la BCE (</w:t>
      </w:r>
      <w:hyperlink r:id="rId8" w:history="1">
        <w:r w:rsidRPr="006D4C88">
          <w:rPr>
            <w:rStyle w:val="Hyperlink"/>
            <w:rFonts w:ascii="Times New Roman" w:hAnsi="Times New Roman"/>
            <w:lang w:val="fr-BE"/>
          </w:rPr>
          <w:t>lien</w:t>
        </w:r>
      </w:hyperlink>
      <w:r w:rsidRPr="006D4C88">
        <w:rPr>
          <w:rFonts w:ascii="Times New Roman" w:hAnsi="Times New Roman"/>
          <w:lang w:val="fr-BE"/>
        </w:rPr>
        <w:t>).</w:t>
      </w:r>
    </w:p>
  </w:footnote>
  <w:footnote w:id="10">
    <w:p w14:paraId="40465E19" w14:textId="77777777" w:rsidR="006D4C88" w:rsidRPr="00DD168B" w:rsidRDefault="006D4C88" w:rsidP="006D4C88">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Banque centrale européenne (2026), </w:t>
      </w:r>
      <w:hyperlink r:id="rId9" w:history="1">
        <w:r>
          <w:rPr>
            <w:rStyle w:val="Hyperlink"/>
            <w:rFonts w:ascii="Times New Roman" w:hAnsi="Times New Roman"/>
            <w:i/>
          </w:rPr>
          <w:t>ECB response to the Commission consultation on the competitiveness of the EU banking sector</w:t>
        </w:r>
      </w:hyperlink>
      <w:r>
        <w:rPr>
          <w:rFonts w:ascii="Times New Roman" w:hAnsi="Times New Roman"/>
        </w:rPr>
        <w:t>.</w:t>
      </w:r>
    </w:p>
  </w:footnote>
  <w:footnote w:id="11">
    <w:p w14:paraId="6694AF2F" w14:textId="77777777" w:rsidR="006D4C88" w:rsidRPr="00BD1202" w:rsidRDefault="006D4C88" w:rsidP="006D4C88">
      <w:pPr>
        <w:pStyle w:val="FootnoteText"/>
        <w:ind w:left="709" w:hanging="709"/>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Banque centrale européenne (2026), </w:t>
      </w:r>
      <w:hyperlink r:id="rId10" w:history="1">
        <w:r>
          <w:rPr>
            <w:rStyle w:val="Hyperlink"/>
            <w:rFonts w:ascii="Times New Roman" w:hAnsi="Times New Roman"/>
            <w:i/>
          </w:rPr>
          <w:t>ECB response to the Commission consultation on the competitiveness of the EU banking sector</w:t>
        </w:r>
      </w:hyperlink>
      <w:r>
        <w:rPr>
          <w:rFonts w:ascii="Times New Roman" w:hAnsi="Times New Roman"/>
        </w:rPr>
        <w:t>.</w:t>
      </w:r>
    </w:p>
  </w:footnote>
  <w:footnote w:id="12">
    <w:p w14:paraId="71119090" w14:textId="77777777" w:rsidR="006D4C88" w:rsidRPr="006D4C88" w:rsidRDefault="006D4C88" w:rsidP="006D4C88">
      <w:pPr>
        <w:pStyle w:val="FootnoteText"/>
        <w:ind w:left="709" w:hanging="709"/>
        <w:jc w:val="both"/>
        <w:rPr>
          <w:rFonts w:ascii="Times New Roman" w:hAnsi="Times New Roman" w:cs="Times New Roman"/>
          <w:lang w:val="fr-BE"/>
        </w:rPr>
      </w:pPr>
      <w:r>
        <w:rPr>
          <w:rStyle w:val="FootnoteReference"/>
          <w:rFonts w:ascii="Times New Roman" w:hAnsi="Times New Roman" w:cs="Times New Roman"/>
        </w:rPr>
        <w:footnoteRef/>
      </w:r>
      <w:r w:rsidRPr="006D4C88">
        <w:rPr>
          <w:lang w:val="fr-BE"/>
        </w:rPr>
        <w:tab/>
      </w:r>
      <w:r w:rsidRPr="006D4C88">
        <w:rPr>
          <w:rFonts w:ascii="Times New Roman" w:hAnsi="Times New Roman"/>
          <w:lang w:val="fr-BE"/>
        </w:rPr>
        <w:t>L’échelle est un facteur important, qui détermine la contribution d’une banque à l’économie dans plusieurs domaines relevant de la banque d’investissement, par exemple la souscription d’émissions de dette souveraine ou commerciale, l’émission d’actions, les services de dépositaire, la négociation primaire sur les marchés des changes et de produits dérivés en euros, le conseil en fusions et acquisitions et les montages financiers, le financement de grands projets critiques, etc.</w:t>
      </w:r>
    </w:p>
  </w:footnote>
  <w:footnote w:id="13">
    <w:p w14:paraId="49E3D322" w14:textId="77777777" w:rsidR="006D4C88" w:rsidRPr="006D4C88" w:rsidRDefault="006D4C88" w:rsidP="006D4C88">
      <w:pPr>
        <w:pStyle w:val="FootnoteText"/>
        <w:ind w:left="709" w:hanging="709"/>
        <w:jc w:val="both"/>
        <w:rPr>
          <w:rFonts w:ascii="Times New Roman" w:hAnsi="Times New Roman"/>
          <w:lang w:val="fr-BE"/>
        </w:rPr>
      </w:pPr>
      <w:r>
        <w:rPr>
          <w:rStyle w:val="FootnoteReference"/>
          <w:rFonts w:ascii="Times New Roman" w:hAnsi="Times New Roman"/>
          <w:lang w:val="en-IE"/>
        </w:rPr>
        <w:footnoteRef/>
      </w:r>
      <w:r w:rsidRPr="006D4C88">
        <w:rPr>
          <w:rFonts w:ascii="Times New Roman" w:hAnsi="Times New Roman"/>
          <w:lang w:val="fr-BE"/>
        </w:rPr>
        <w:t xml:space="preserve"> </w:t>
      </w:r>
      <w:r w:rsidRPr="006D4C88">
        <w:rPr>
          <w:lang w:val="fr-BE"/>
        </w:rPr>
        <w:tab/>
      </w:r>
      <w:r w:rsidRPr="006D4C88">
        <w:rPr>
          <w:rFonts w:ascii="Times New Roman" w:hAnsi="Times New Roman"/>
          <w:lang w:val="fr-BE"/>
        </w:rPr>
        <w:t xml:space="preserve">La Commission européenne a récemment publié une </w:t>
      </w:r>
      <w:hyperlink r:id="rId11" w:tgtFrame="_blank" w:history="1">
        <w:r w:rsidRPr="006D4C88">
          <w:rPr>
            <w:rStyle w:val="Hyperlink"/>
            <w:rFonts w:ascii="Times New Roman" w:hAnsi="Times New Roman"/>
            <w:lang w:val="fr-BE"/>
          </w:rPr>
          <w:t>étude</w:t>
        </w:r>
      </w:hyperlink>
      <w:r w:rsidRPr="006D4C88">
        <w:rPr>
          <w:rFonts w:ascii="Times New Roman" w:hAnsi="Times New Roman"/>
          <w:lang w:val="fr-BE"/>
        </w:rPr>
        <w:t xml:space="preserve"> réalisée par un consultant externe sur le cadre fiscal actuel du secteur financier. Cette étude porte à la fois sur la TVA, dont la plupart des services financiers de base sont exonérés, et sur les taxes sectorielles appliquées au niveau national dans l’UE. </w:t>
      </w:r>
    </w:p>
    <w:p w14:paraId="44278BB4" w14:textId="77777777" w:rsidR="006D4C88" w:rsidRPr="006D4C88" w:rsidRDefault="006D4C88" w:rsidP="006D4C88">
      <w:pPr>
        <w:pStyle w:val="FootnoteText"/>
        <w:ind w:left="709" w:hanging="709"/>
        <w:jc w:val="both"/>
        <w:rPr>
          <w:rFonts w:ascii="Times New Roman" w:hAnsi="Times New Roman" w:cs="Times New Roman"/>
          <w:lang w:val="fr-BE"/>
        </w:rPr>
      </w:pPr>
    </w:p>
    <w:p w14:paraId="3C2755C0" w14:textId="77777777" w:rsidR="006D4C88" w:rsidRPr="006D4C88" w:rsidRDefault="006D4C88" w:rsidP="006D4C88">
      <w:pPr>
        <w:pStyle w:val="FootnoteText"/>
        <w:rPr>
          <w:lang w:val="fr-BE"/>
        </w:rPr>
      </w:pPr>
    </w:p>
  </w:footnote>
  <w:footnote w:id="14">
    <w:p w14:paraId="4C118D07" w14:textId="77777777" w:rsidR="006D4C88" w:rsidRPr="006D4C88" w:rsidRDefault="006D4C88" w:rsidP="006D4C88">
      <w:pPr>
        <w:pStyle w:val="FootnoteText"/>
        <w:ind w:left="709" w:hanging="709"/>
        <w:jc w:val="both"/>
        <w:rPr>
          <w:lang w:val="fr-BE"/>
        </w:rPr>
      </w:pPr>
      <w:r>
        <w:rPr>
          <w:rStyle w:val="FootnoteReference"/>
          <w:sz w:val="16"/>
          <w:szCs w:val="16"/>
        </w:rPr>
        <w:footnoteRef/>
      </w:r>
      <w:r w:rsidRPr="006D4C88">
        <w:rPr>
          <w:sz w:val="16"/>
          <w:lang w:val="fr-BE"/>
        </w:rPr>
        <w:t xml:space="preserve"> </w:t>
      </w:r>
      <w:r w:rsidRPr="006D4C88">
        <w:rPr>
          <w:lang w:val="fr-BE"/>
        </w:rPr>
        <w:tab/>
      </w:r>
      <w:r w:rsidRPr="006D4C88">
        <w:rPr>
          <w:rFonts w:ascii="Times New Roman" w:hAnsi="Times New Roman"/>
          <w:lang w:val="fr-BE"/>
        </w:rPr>
        <w:t xml:space="preserve">Le niveau 1 correspond à la «législation-cadre» (règlements ou directives), et le niveau 2 à des «mesures techniques» (actes délégués et d’exécution et normes techniques de réglementation et d’exécution). </w:t>
      </w:r>
    </w:p>
  </w:footnote>
  <w:footnote w:id="15">
    <w:p w14:paraId="585C1D0F" w14:textId="77777777" w:rsidR="006D4C88" w:rsidRPr="006D4C88" w:rsidRDefault="006D4C88" w:rsidP="006D4C88">
      <w:pPr>
        <w:pStyle w:val="FootnoteText"/>
        <w:ind w:left="709" w:hanging="709"/>
        <w:jc w:val="both"/>
        <w:rPr>
          <w:lang w:val="fr-BE"/>
        </w:rPr>
      </w:pPr>
      <w:r>
        <w:rPr>
          <w:rStyle w:val="FootnoteReference"/>
        </w:rPr>
        <w:footnoteRef/>
      </w:r>
      <w:r w:rsidRPr="006D4C88">
        <w:rPr>
          <w:lang w:val="fr-BE"/>
        </w:rPr>
        <w:tab/>
      </w:r>
      <w:r w:rsidRPr="006D4C88">
        <w:rPr>
          <w:rFonts w:ascii="Times New Roman" w:hAnsi="Times New Roman"/>
          <w:lang w:val="fr-BE"/>
        </w:rPr>
        <w:t xml:space="preserve">Le niveau 3 correspond à des orientations aux fins de la «convergence de la surveillance» (orientations des autorités européennes de surveillance), à des communications interprétatives sous forme de questions-réponses, à des avis, à des recommandations, à des pratiques de surveillance et à des attentes prudentielles transversales. </w:t>
      </w:r>
    </w:p>
  </w:footnote>
  <w:footnote w:id="16">
    <w:p w14:paraId="60D3A848" w14:textId="77777777" w:rsidR="006D4C88" w:rsidRPr="00BD1202" w:rsidRDefault="006D4C88" w:rsidP="006D4C88">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ABE (juin 2026), </w:t>
      </w:r>
      <w:hyperlink r:id="rId12" w:history="1">
        <w:r>
          <w:rPr>
            <w:rStyle w:val="Hyperlink"/>
            <w:rFonts w:ascii="Times New Roman" w:hAnsi="Times New Roman"/>
            <w:i/>
          </w:rPr>
          <w:t>EBA Report on Simplifying the Stacking Order of the EU Prudential and Resolution Framework</w:t>
        </w:r>
      </w:hyperlink>
    </w:p>
  </w:footnote>
  <w:footnote w:id="17">
    <w:p w14:paraId="3EF753F8" w14:textId="77777777" w:rsidR="00BC317F" w:rsidRPr="00BC317F" w:rsidRDefault="00BC317F" w:rsidP="00BC317F">
      <w:pPr>
        <w:pStyle w:val="FootnoteText"/>
        <w:ind w:left="709" w:hanging="709"/>
        <w:jc w:val="both"/>
        <w:rPr>
          <w:rFonts w:ascii="Times New Roman" w:hAnsi="Times New Roman" w:cs="Times New Roman"/>
          <w:lang w:val="fr-BE"/>
        </w:rPr>
      </w:pPr>
      <w:r>
        <w:rPr>
          <w:rStyle w:val="FootnoteReference"/>
          <w:rFonts w:ascii="Times New Roman" w:hAnsi="Times New Roman" w:cs="Times New Roman"/>
        </w:rPr>
        <w:footnoteRef/>
      </w:r>
      <w:r w:rsidRPr="00BC317F">
        <w:rPr>
          <w:lang w:val="fr-BE"/>
        </w:rPr>
        <w:tab/>
      </w:r>
      <w:r w:rsidRPr="00BC317F">
        <w:rPr>
          <w:rFonts w:ascii="Times New Roman" w:hAnsi="Times New Roman"/>
          <w:lang w:val="fr-BE"/>
        </w:rPr>
        <w:t xml:space="preserve">Claudia Buch (2026), </w:t>
      </w:r>
      <w:hyperlink r:id="rId13">
        <w:r w:rsidRPr="00BC317F">
          <w:rPr>
            <w:rStyle w:val="Hyperlink"/>
            <w:rFonts w:ascii="Times New Roman" w:hAnsi="Times New Roman"/>
            <w:i/>
            <w:lang w:val="fr-BE"/>
          </w:rPr>
          <w:t>The bank-sovereign nexus: securing progress by completing the banking union</w:t>
        </w:r>
      </w:hyperlink>
      <w:r w:rsidRPr="00BC317F">
        <w:rPr>
          <w:rFonts w:ascii="Times New Roman" w:hAnsi="Times New Roman"/>
          <w:lang w:val="fr-BE"/>
        </w:rPr>
        <w:t>, qui note également que le biais domestique des portefeuilles d’expositions souveraines détenus par les banques a diminué ces dernières années, en particulier dans le cas des grandes banques surveillées par le MSU.</w:t>
      </w:r>
    </w:p>
  </w:footnote>
  <w:footnote w:id="18">
    <w:p w14:paraId="315D375F" w14:textId="77777777" w:rsidR="00BC317F" w:rsidRPr="00BC317F" w:rsidRDefault="00BC317F" w:rsidP="00BC317F">
      <w:pPr>
        <w:pStyle w:val="FootnoteText"/>
        <w:ind w:left="709" w:hanging="709"/>
        <w:jc w:val="both"/>
        <w:rPr>
          <w:rFonts w:ascii="Times New Roman" w:hAnsi="Times New Roman" w:cs="Times New Roman"/>
          <w:lang w:val="fr-BE"/>
        </w:rPr>
      </w:pPr>
      <w:r>
        <w:rPr>
          <w:rStyle w:val="FootnoteReference"/>
          <w:rFonts w:ascii="Times New Roman" w:hAnsi="Times New Roman" w:cs="Times New Roman"/>
        </w:rPr>
        <w:footnoteRef/>
      </w:r>
      <w:r w:rsidRPr="00BC317F">
        <w:rPr>
          <w:rFonts w:ascii="Times New Roman" w:hAnsi="Times New Roman"/>
          <w:lang w:val="fr-BE"/>
        </w:rPr>
        <w:t xml:space="preserve"> </w:t>
      </w:r>
      <w:r w:rsidRPr="00BC317F">
        <w:rPr>
          <w:lang w:val="fr-BE"/>
        </w:rPr>
        <w:tab/>
      </w:r>
      <w:r w:rsidRPr="00BC317F">
        <w:rPr>
          <w:rFonts w:ascii="Times New Roman" w:hAnsi="Times New Roman"/>
          <w:lang w:val="fr-BE"/>
        </w:rPr>
        <w:t>Tout actif, passif ou relation financière entre entités d’un même groupe.</w:t>
      </w:r>
    </w:p>
  </w:footnote>
  <w:footnote w:id="19">
    <w:p w14:paraId="60220F07" w14:textId="77777777" w:rsidR="00BC317F" w:rsidRPr="00BC317F" w:rsidRDefault="00BC317F" w:rsidP="00BC317F">
      <w:pPr>
        <w:pStyle w:val="FootnoteText"/>
        <w:ind w:left="709" w:hanging="709"/>
        <w:jc w:val="both"/>
        <w:rPr>
          <w:rFonts w:ascii="Times New Roman" w:hAnsi="Times New Roman" w:cs="Times New Roman"/>
          <w:lang w:val="fr-BE"/>
        </w:rPr>
      </w:pPr>
      <w:r>
        <w:rPr>
          <w:rStyle w:val="FootnoteReference"/>
        </w:rPr>
        <w:footnoteRef/>
      </w:r>
      <w:r w:rsidRPr="00BC317F">
        <w:rPr>
          <w:lang w:val="fr-BE"/>
        </w:rPr>
        <w:t xml:space="preserve"> </w:t>
      </w:r>
      <w:r w:rsidRPr="00BC317F">
        <w:rPr>
          <w:lang w:val="fr-BE"/>
        </w:rPr>
        <w:tab/>
      </w:r>
      <w:r w:rsidRPr="00BC317F">
        <w:rPr>
          <w:rFonts w:ascii="Times New Roman" w:hAnsi="Times New Roman"/>
          <w:lang w:val="fr-BE"/>
        </w:rPr>
        <w:t xml:space="preserve">Ces lignes directrices soulignent que le droit de l’Union n’autorise de telles interventions nationales que pour des raisons spécifiques autres que la protection de la concurrence. Ces interventions doivent être strictement nécessaires pour protéger des intérêts légitimes réels et doivent respecter les principes de proportionnalité et de non-discrimination.  </w:t>
      </w:r>
      <w:hyperlink r:id="rId14" w:history="1">
        <w:r w:rsidRPr="00BC317F">
          <w:rPr>
            <w:rStyle w:val="Hyperlink"/>
            <w:rFonts w:ascii="Times New Roman" w:hAnsi="Times New Roman"/>
            <w:lang w:val="fr-BE"/>
          </w:rPr>
          <w:t>Projet de nouvelles lignes directrices de la Commission sur les concentrations</w:t>
        </w:r>
      </w:hyperlink>
      <w:r w:rsidRPr="00BC317F">
        <w:rPr>
          <w:rFonts w:ascii="Times New Roman" w:hAnsi="Times New Roman"/>
          <w:lang w:val="fr-BE"/>
        </w:rPr>
        <w:t xml:space="preserve">, p. 90. </w:t>
      </w:r>
    </w:p>
  </w:footnote>
  <w:footnote w:id="20">
    <w:p w14:paraId="15A75F61" w14:textId="77777777" w:rsidR="00BC317F" w:rsidRPr="00BC317F" w:rsidRDefault="00BC317F" w:rsidP="00BC317F">
      <w:pPr>
        <w:pStyle w:val="FootnoteText"/>
        <w:ind w:left="709" w:hanging="709"/>
        <w:jc w:val="both"/>
        <w:rPr>
          <w:rFonts w:ascii="Times New Roman" w:hAnsi="Times New Roman"/>
          <w:lang w:val="fr-BE"/>
        </w:rPr>
      </w:pPr>
      <w:r>
        <w:rPr>
          <w:rStyle w:val="FootnoteReference"/>
        </w:rPr>
        <w:footnoteRef/>
      </w:r>
      <w:r w:rsidRPr="00BC317F">
        <w:rPr>
          <w:lang w:val="fr-BE"/>
        </w:rPr>
        <w:t xml:space="preserve"> </w:t>
      </w:r>
      <w:r w:rsidRPr="00BC317F">
        <w:rPr>
          <w:lang w:val="fr-BE"/>
        </w:rPr>
        <w:tab/>
      </w:r>
      <w:r w:rsidRPr="00BC317F">
        <w:rPr>
          <w:rFonts w:ascii="Times New Roman" w:hAnsi="Times New Roman"/>
          <w:lang w:val="fr-BE"/>
        </w:rPr>
        <w:t xml:space="preserve">En outre, bien que les SGD soient pleinement constitués et que certains d’entre eux dépassent le niveau cible minimal, il est possible qu’ils demeurent vulnérables à des chocs locaux provoqués par la défaillance d’une ou de plusieurs petites banques, pouvant créer des pénuries de liquidités susceptibles de les contraindre à faire appel à un soutien public. </w:t>
      </w:r>
    </w:p>
    <w:p w14:paraId="5102CBED" w14:textId="77777777" w:rsidR="00BC317F" w:rsidRPr="00BC317F" w:rsidRDefault="00BC317F" w:rsidP="00BC317F">
      <w:pPr>
        <w:pStyle w:val="FootnoteText"/>
        <w:rPr>
          <w:lang w:val="fr-BE"/>
        </w:rPr>
      </w:pPr>
    </w:p>
  </w:footnote>
  <w:footnote w:id="21">
    <w:p w14:paraId="73562C12" w14:textId="77777777" w:rsidR="00BC317F" w:rsidRPr="00BC317F" w:rsidRDefault="00BC317F" w:rsidP="00BC317F">
      <w:pPr>
        <w:pStyle w:val="FootnoteText"/>
        <w:ind w:left="709" w:hanging="709"/>
        <w:jc w:val="both"/>
        <w:rPr>
          <w:rFonts w:ascii="Times New Roman" w:hAnsi="Times New Roman" w:cs="Times New Roman"/>
          <w:lang w:val="fr-BE"/>
        </w:rPr>
      </w:pPr>
      <w:r>
        <w:rPr>
          <w:rStyle w:val="FootnoteReference"/>
        </w:rPr>
        <w:footnoteRef/>
      </w:r>
      <w:r w:rsidRPr="00BC317F">
        <w:rPr>
          <w:lang w:val="fr-BE"/>
        </w:rPr>
        <w:t xml:space="preserve"> </w:t>
      </w:r>
      <w:r w:rsidRPr="00BC317F">
        <w:rPr>
          <w:lang w:val="fr-BE"/>
        </w:rPr>
        <w:tab/>
      </w:r>
      <w:r w:rsidRPr="00BC317F">
        <w:rPr>
          <w:rFonts w:ascii="Times New Roman" w:hAnsi="Times New Roman"/>
          <w:lang w:val="fr-BE"/>
        </w:rPr>
        <w:t xml:space="preserve">La directive (UE) 2023/2225 du Parlement européen et du Conseil du 18 octobre 2023 relative aux contrats de crédit aux consommateurs et abrogeant la directive 2008/48/CE (JO L, 2023/2225, 30.10.2023) harmonise complètement les règles de protection des consommateurs dans le domaine du crédit à la consommation, afin de garantir que tous les consommateurs de l’Union bénéficient d’un même niveau élevé de protection de leurs intérêts et de créer un marché intérieur performant. </w:t>
      </w:r>
    </w:p>
    <w:p w14:paraId="4BE59ABC" w14:textId="77777777" w:rsidR="00BC317F" w:rsidRPr="00BC317F" w:rsidRDefault="00BC317F" w:rsidP="00BC317F">
      <w:pPr>
        <w:pStyle w:val="FootnoteText"/>
        <w:jc w:val="both"/>
        <w:rPr>
          <w:lang w:val="fr-BE"/>
        </w:rPr>
      </w:pPr>
    </w:p>
    <w:p w14:paraId="426E033A" w14:textId="77777777" w:rsidR="00BC317F" w:rsidRPr="00BC317F" w:rsidRDefault="00BC317F" w:rsidP="00BC317F">
      <w:pPr>
        <w:pStyle w:val="FootnoteText"/>
        <w:rPr>
          <w:lang w:val="fr-BE"/>
        </w:rPr>
      </w:pPr>
    </w:p>
  </w:footnote>
  <w:footnote w:id="22">
    <w:p w14:paraId="117E9540" w14:textId="77777777" w:rsidR="00BC317F" w:rsidRPr="00BC317F" w:rsidRDefault="00BC317F" w:rsidP="00BC317F">
      <w:pPr>
        <w:pStyle w:val="FootnoteText"/>
        <w:ind w:left="709" w:hanging="709"/>
        <w:jc w:val="both"/>
        <w:rPr>
          <w:rFonts w:ascii="Times New Roman" w:hAnsi="Times New Roman" w:cs="Times New Roman"/>
          <w:lang w:val="fr-BE"/>
        </w:rPr>
      </w:pPr>
      <w:r>
        <w:rPr>
          <w:rStyle w:val="FootnoteReference"/>
          <w:rFonts w:ascii="Times New Roman" w:hAnsi="Times New Roman" w:cs="Times New Roman"/>
        </w:rPr>
        <w:footnoteRef/>
      </w:r>
      <w:r w:rsidRPr="00BC317F">
        <w:rPr>
          <w:lang w:val="fr-BE"/>
        </w:rPr>
        <w:tab/>
      </w:r>
      <w:r w:rsidRPr="00BC317F">
        <w:rPr>
          <w:rFonts w:ascii="Times New Roman" w:hAnsi="Times New Roman"/>
          <w:lang w:val="fr-BE"/>
        </w:rPr>
        <w:t>Le plancher de fonds propres est un garde-fou réglementaire qui limite la mesure dans laquelle les banques, en utilisant des modèles internes, peuvent réduire leurs exigences de fonds propres par rapport aux approches standard.</w:t>
      </w:r>
    </w:p>
  </w:footnote>
  <w:footnote w:id="23">
    <w:p w14:paraId="40306F2C" w14:textId="77777777" w:rsidR="00BC317F" w:rsidRPr="0026553E" w:rsidRDefault="00BC317F" w:rsidP="00BC317F">
      <w:pPr>
        <w:pStyle w:val="FootnoteText"/>
        <w:ind w:left="709" w:hanging="709"/>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Autorité bancaire européenne (2025), </w:t>
      </w:r>
      <w:hyperlink r:id="rId15" w:history="1">
        <w:r>
          <w:rPr>
            <w:rStyle w:val="Hyperlink"/>
            <w:rFonts w:ascii="Times New Roman" w:hAnsi="Times New Roman"/>
            <w:i/>
          </w:rPr>
          <w:t>The EBA and ESMA recommend targeted revisions to the investment firms’ prudential framework</w:t>
        </w:r>
      </w:hyperlink>
      <w:r>
        <w:rPr>
          <w:rFonts w:ascii="Times New Roman" w:hAnsi="Times New Roman"/>
        </w:rPr>
        <w:t>.</w:t>
      </w:r>
    </w:p>
  </w:footnote>
  <w:footnote w:id="24">
    <w:p w14:paraId="56D13A2F" w14:textId="77777777" w:rsidR="00491BC8" w:rsidRPr="0026553E" w:rsidRDefault="00491BC8" w:rsidP="00491BC8">
      <w:pPr>
        <w:pStyle w:val="FootnoteText"/>
        <w:ind w:left="709" w:hanging="709"/>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Banque centrale européenne (2025), </w:t>
      </w:r>
      <w:hyperlink r:id="rId16" w:history="1">
        <w:r>
          <w:rPr>
            <w:rStyle w:val="Hyperlink"/>
            <w:rFonts w:ascii="Times New Roman" w:hAnsi="Times New Roman"/>
            <w:i/>
          </w:rPr>
          <w:t>Simplification of the European prudential regulatory, supervisory and reporting framework</w:t>
        </w:r>
      </w:hyperlink>
      <w:r>
        <w:rPr>
          <w:rFonts w:ascii="Times New Roman" w:hAnsi="Times New Roman"/>
        </w:rPr>
        <w:t>.</w:t>
      </w:r>
    </w:p>
  </w:footnote>
  <w:footnote w:id="25">
    <w:p w14:paraId="33B1FB69" w14:textId="77777777" w:rsidR="00491BC8" w:rsidRPr="0026553E" w:rsidRDefault="00491BC8" w:rsidP="00491BC8">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Autorité bancaire européenne (2021), </w:t>
      </w:r>
      <w:hyperlink r:id="rId17" w:history="1">
        <w:r>
          <w:rPr>
            <w:rStyle w:val="Hyperlink"/>
            <w:rFonts w:ascii="Times New Roman" w:hAnsi="Times New Roman"/>
            <w:i/>
          </w:rPr>
          <w:t>Study of the cost of compliance with supervisory reporting requirements</w:t>
        </w:r>
      </w:hyperlink>
      <w:r>
        <w:rPr>
          <w:rFonts w:ascii="Times New Roman" w:hAnsi="Times New Roman"/>
        </w:rPr>
        <w:t>.</w:t>
      </w:r>
    </w:p>
  </w:footnote>
  <w:footnote w:id="26">
    <w:p w14:paraId="4E06B8EB" w14:textId="77777777" w:rsidR="00491BC8" w:rsidRPr="00491BC8" w:rsidRDefault="00491BC8" w:rsidP="00491BC8">
      <w:pPr>
        <w:pStyle w:val="FootnoteText"/>
        <w:rPr>
          <w:rFonts w:ascii="Times New Roman" w:hAnsi="Times New Roman" w:cs="Times New Roman"/>
          <w:lang w:val="fr-BE"/>
        </w:rPr>
      </w:pPr>
      <w:r>
        <w:rPr>
          <w:rStyle w:val="FootnoteReference"/>
          <w:rFonts w:ascii="Times New Roman" w:hAnsi="Times New Roman" w:cs="Times New Roman"/>
        </w:rPr>
        <w:footnoteRef/>
      </w:r>
      <w:r w:rsidRPr="00491BC8">
        <w:rPr>
          <w:lang w:val="fr-BE"/>
        </w:rPr>
        <w:tab/>
      </w:r>
      <w:r w:rsidRPr="00491BC8">
        <w:rPr>
          <w:rFonts w:ascii="Times New Roman" w:hAnsi="Times New Roman"/>
          <w:lang w:val="fr-BE"/>
        </w:rPr>
        <w:t xml:space="preserve">Commission européenne (2021), </w:t>
      </w:r>
      <w:hyperlink r:id="rId18" w:history="1">
        <w:r w:rsidRPr="00491BC8">
          <w:rPr>
            <w:rStyle w:val="Hyperlink"/>
            <w:rFonts w:ascii="Times New Roman" w:hAnsi="Times New Roman"/>
            <w:i/>
            <w:lang w:val="fr-BE"/>
          </w:rPr>
          <w:t>Stratégie en matière de données de surveillance dans les services financiers de l’UE</w:t>
        </w:r>
      </w:hyperlink>
      <w:r w:rsidRPr="00491BC8">
        <w:rPr>
          <w:rFonts w:ascii="Times New Roman" w:hAnsi="Times New Roman"/>
          <w:lang w:val="fr-BE"/>
        </w:rPr>
        <w:t>.</w:t>
      </w:r>
    </w:p>
  </w:footnote>
  <w:footnote w:id="27">
    <w:p w14:paraId="72F0FE0A" w14:textId="77777777" w:rsidR="00491BC8" w:rsidRPr="004E3714" w:rsidRDefault="00491BC8" w:rsidP="00491BC8">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JO L, 2025/2088, 21.10.2025, ELI: </w:t>
      </w:r>
      <w:hyperlink r:id="rId19" w:tgtFrame="_blank" w:tooltip="Permet d’accéder à ce document par l’intermédiaire de son URI ELI." w:history="1">
        <w:r>
          <w:rPr>
            <w:rStyle w:val="Hyperlink"/>
            <w:rFonts w:ascii="Times New Roman" w:hAnsi="Times New Roman"/>
          </w:rPr>
          <w:t>https://eur-lex.europa.eu/legal-content/FR/TXT/HTML/?uri=OJ:L_202502088</w:t>
        </w:r>
      </w:hyperlink>
      <w:r>
        <w:t>.</w:t>
      </w:r>
    </w:p>
  </w:footnote>
  <w:footnote w:id="28">
    <w:p w14:paraId="224EAA57" w14:textId="77777777" w:rsidR="00491BC8" w:rsidRPr="00491BC8" w:rsidRDefault="00491BC8" w:rsidP="00491BC8">
      <w:pPr>
        <w:pStyle w:val="FootnoteText"/>
        <w:ind w:left="709" w:hanging="709"/>
        <w:jc w:val="both"/>
        <w:rPr>
          <w:rFonts w:ascii="Times New Roman" w:hAnsi="Times New Roman" w:cs="Times New Roman"/>
          <w:lang w:val="fr-BE"/>
        </w:rPr>
      </w:pPr>
      <w:r>
        <w:rPr>
          <w:rStyle w:val="FootnoteReference"/>
          <w:rFonts w:ascii="Times New Roman" w:hAnsi="Times New Roman" w:cs="Times New Roman"/>
        </w:rPr>
        <w:footnoteRef/>
      </w:r>
      <w:r w:rsidRPr="00491BC8">
        <w:rPr>
          <w:lang w:val="fr-BE"/>
        </w:rPr>
        <w:tab/>
      </w:r>
      <w:r w:rsidRPr="00491BC8">
        <w:rPr>
          <w:rFonts w:ascii="Times New Roman" w:hAnsi="Times New Roman"/>
          <w:lang w:val="fr-BE"/>
        </w:rPr>
        <w:t>Proposition de directive du Parlement européen et du Conseil modifiant les directives (UE) 2022/2464 et (UE) 2024/1760 en ce qui concerne les dates à partir desquelles les États membres doivent appliquer certaines obligations relatives à la publication d’informations en matière de durabilité par les entreprises et au devoir de vigilance des entreprises en matière de durabilité,</w:t>
      </w:r>
      <w:r w:rsidRPr="00491BC8">
        <w:rPr>
          <w:lang w:val="fr-BE"/>
        </w:rPr>
        <w:t xml:space="preserve"> </w:t>
      </w:r>
      <w:hyperlink r:id="rId20" w:history="1">
        <w:r w:rsidRPr="00491BC8">
          <w:rPr>
            <w:rStyle w:val="Hyperlink"/>
            <w:rFonts w:ascii="Times New Roman" w:hAnsi="Times New Roman"/>
            <w:lang w:val="fr-BE"/>
          </w:rPr>
          <w:t>COM(2025) 80 final</w:t>
        </w:r>
      </w:hyperlink>
      <w:r w:rsidRPr="00491BC8">
        <w:rPr>
          <w:lang w:val="fr-BE"/>
        </w:rPr>
        <w:t>.</w:t>
      </w:r>
    </w:p>
  </w:footnote>
  <w:footnote w:id="29">
    <w:p w14:paraId="3EE983E1" w14:textId="77777777" w:rsidR="00491BC8" w:rsidRPr="00491BC8" w:rsidRDefault="00491BC8" w:rsidP="00491BC8">
      <w:pPr>
        <w:pStyle w:val="FootnoteText"/>
        <w:rPr>
          <w:rFonts w:ascii="Times New Roman" w:hAnsi="Times New Roman" w:cs="Times New Roman"/>
          <w:lang w:val="fr-BE"/>
        </w:rPr>
      </w:pPr>
      <w:r>
        <w:rPr>
          <w:rStyle w:val="FootnoteReference"/>
          <w:rFonts w:ascii="Times New Roman" w:hAnsi="Times New Roman" w:cs="Times New Roman"/>
        </w:rPr>
        <w:footnoteRef/>
      </w:r>
      <w:r w:rsidRPr="00491BC8">
        <w:rPr>
          <w:lang w:val="fr-BE"/>
        </w:rPr>
        <w:tab/>
      </w:r>
      <w:r w:rsidRPr="00491BC8">
        <w:rPr>
          <w:rFonts w:ascii="Times New Roman" w:hAnsi="Times New Roman"/>
          <w:lang w:val="fr-BE"/>
        </w:rPr>
        <w:t>Autorité bancaire européenne (2026),</w:t>
      </w:r>
      <w:hyperlink r:id="rId21" w:history="1">
        <w:r w:rsidRPr="00491BC8">
          <w:rPr>
            <w:rStyle w:val="Hyperlink"/>
            <w:rFonts w:ascii="Times New Roman" w:hAnsi="Times New Roman"/>
            <w:i/>
            <w:lang w:val="fr-BE"/>
          </w:rPr>
          <w:t xml:space="preserve"> Efficient reporting:</w:t>
        </w:r>
      </w:hyperlink>
      <w:hyperlink r:id="rId22" w:history="1">
        <w:r w:rsidRPr="00491BC8">
          <w:rPr>
            <w:rStyle w:val="Hyperlink"/>
            <w:rFonts w:ascii="Times New Roman" w:hAnsi="Times New Roman"/>
            <w:i/>
            <w:lang w:val="fr-BE"/>
          </w:rPr>
          <w:t xml:space="preserve"> simpler, smarter, proportionate</w:t>
        </w:r>
      </w:hyperlink>
      <w:r w:rsidRPr="00491BC8">
        <w:rPr>
          <w:rFonts w:ascii="Times New Roman" w:hAnsi="Times New Roman"/>
          <w:lang w:val="fr-BE"/>
        </w:rPr>
        <w:t>.</w:t>
      </w:r>
    </w:p>
  </w:footnote>
  <w:footnote w:id="30">
    <w:p w14:paraId="1F751207" w14:textId="77777777" w:rsidR="00491BC8" w:rsidRPr="00491BC8" w:rsidRDefault="00491BC8" w:rsidP="00491BC8">
      <w:pPr>
        <w:pStyle w:val="FootnoteText"/>
        <w:rPr>
          <w:rFonts w:ascii="Times New Roman" w:hAnsi="Times New Roman" w:cs="Times New Roman"/>
          <w:lang w:val="fr-BE"/>
        </w:rPr>
      </w:pPr>
      <w:r>
        <w:rPr>
          <w:rStyle w:val="FootnoteReference"/>
        </w:rPr>
        <w:footnoteRef/>
      </w:r>
      <w:r w:rsidRPr="00491BC8">
        <w:rPr>
          <w:lang w:val="fr-BE"/>
        </w:rPr>
        <w:t xml:space="preserve"> </w:t>
      </w:r>
      <w:r w:rsidRPr="00491BC8">
        <w:rPr>
          <w:lang w:val="fr-BE"/>
        </w:rPr>
        <w:tab/>
      </w:r>
      <w:r w:rsidRPr="00491BC8">
        <w:rPr>
          <w:rFonts w:ascii="Times New Roman" w:hAnsi="Times New Roman"/>
          <w:lang w:val="fr-BE"/>
        </w:rPr>
        <w:t>Article 32 du règlement (UE) nº 1024/2013 et article 94 du règlement (UE) nº 806/2014.</w:t>
      </w:r>
    </w:p>
  </w:footnote>
  <w:footnote w:id="31">
    <w:p w14:paraId="69414E5D" w14:textId="77777777" w:rsidR="00491BC8" w:rsidRPr="00491BC8" w:rsidRDefault="00491BC8" w:rsidP="00491BC8">
      <w:pPr>
        <w:pStyle w:val="FootnoteText"/>
        <w:rPr>
          <w:rFonts w:ascii="Times New Roman" w:hAnsi="Times New Roman" w:cs="Times New Roman"/>
          <w:lang w:val="fr-BE"/>
        </w:rPr>
      </w:pPr>
      <w:r>
        <w:rPr>
          <w:rStyle w:val="FootnoteReference"/>
        </w:rPr>
        <w:footnoteRef/>
      </w:r>
      <w:r w:rsidRPr="00491BC8">
        <w:rPr>
          <w:lang w:val="fr-BE"/>
        </w:rPr>
        <w:t xml:space="preserve"> </w:t>
      </w:r>
      <w:r w:rsidRPr="00491BC8">
        <w:rPr>
          <w:lang w:val="fr-BE"/>
        </w:rPr>
        <w:tab/>
      </w:r>
      <w:r w:rsidRPr="00491BC8">
        <w:rPr>
          <w:rFonts w:ascii="Times New Roman" w:hAnsi="Times New Roman"/>
          <w:lang w:val="fr-BE"/>
        </w:rPr>
        <w:t xml:space="preserve">Conseil européen (décembre 2025), </w:t>
      </w:r>
      <w:hyperlink r:id="rId23" w:history="1">
        <w:r w:rsidRPr="00491BC8">
          <w:rPr>
            <w:rStyle w:val="Hyperlink"/>
            <w:rFonts w:ascii="Times New Roman" w:hAnsi="Times New Roman"/>
            <w:i/>
            <w:lang w:val="fr-BE"/>
          </w:rPr>
          <w:t>Conclusions sur la simplification de la réglementation de l’Union en matière de services financiers</w:t>
        </w:r>
      </w:hyperlink>
    </w:p>
  </w:footnote>
  <w:footnote w:id="32">
    <w:p w14:paraId="09682BFE" w14:textId="77777777" w:rsidR="00491BC8" w:rsidRPr="00491BC8" w:rsidRDefault="00491BC8" w:rsidP="00491BC8">
      <w:pPr>
        <w:pStyle w:val="FootnoteText"/>
        <w:rPr>
          <w:rFonts w:ascii="Times New Roman" w:hAnsi="Times New Roman" w:cs="Times New Roman"/>
          <w:lang w:val="fr-BE"/>
        </w:rPr>
      </w:pPr>
      <w:r>
        <w:rPr>
          <w:rStyle w:val="FootnoteReference"/>
          <w:rFonts w:ascii="Times New Roman" w:hAnsi="Times New Roman" w:cs="Times New Roman"/>
        </w:rPr>
        <w:footnoteRef/>
      </w:r>
      <w:r w:rsidRPr="00491BC8">
        <w:rPr>
          <w:rFonts w:ascii="Times New Roman" w:hAnsi="Times New Roman"/>
          <w:lang w:val="fr-BE"/>
        </w:rPr>
        <w:t xml:space="preserve"> </w:t>
      </w:r>
      <w:r w:rsidRPr="00491BC8">
        <w:rPr>
          <w:lang w:val="fr-BE"/>
        </w:rPr>
        <w:tab/>
      </w:r>
      <w:hyperlink r:id="rId24" w:history="1">
        <w:r w:rsidRPr="00491BC8">
          <w:rPr>
            <w:rStyle w:val="Hyperlink"/>
            <w:rFonts w:ascii="Times New Roman" w:hAnsi="Times New Roman"/>
            <w:i/>
            <w:lang w:val="fr-BE"/>
          </w:rPr>
          <w:t>Conclusions de la réunion du Conseil européen</w:t>
        </w:r>
      </w:hyperlink>
      <w:r w:rsidRPr="00491BC8">
        <w:rPr>
          <w:rFonts w:ascii="Times New Roman" w:hAnsi="Times New Roman"/>
          <w:lang w:val="fr-BE"/>
        </w:rPr>
        <w:t xml:space="preserve"> (mars 2026) </w:t>
      </w:r>
    </w:p>
  </w:footnote>
  <w:footnote w:id="33">
    <w:p w14:paraId="7C6C5974" w14:textId="77777777" w:rsidR="00491BC8" w:rsidRPr="00491BC8" w:rsidRDefault="00491BC8" w:rsidP="00491BC8">
      <w:pPr>
        <w:pStyle w:val="FootnoteText"/>
        <w:rPr>
          <w:rFonts w:ascii="Times New Roman" w:hAnsi="Times New Roman" w:cs="Times New Roman"/>
          <w:lang w:val="fr-BE"/>
        </w:rPr>
      </w:pPr>
      <w:r>
        <w:rPr>
          <w:rStyle w:val="FootnoteReference"/>
          <w:rFonts w:ascii="Times New Roman" w:hAnsi="Times New Roman" w:cs="Times New Roman"/>
        </w:rPr>
        <w:footnoteRef/>
      </w:r>
      <w:r w:rsidRPr="00491BC8">
        <w:rPr>
          <w:rFonts w:ascii="Times New Roman" w:hAnsi="Times New Roman"/>
          <w:lang w:val="fr-BE"/>
        </w:rPr>
        <w:t xml:space="preserve"> </w:t>
      </w:r>
      <w:r w:rsidRPr="00491BC8">
        <w:rPr>
          <w:lang w:val="fr-BE"/>
        </w:rPr>
        <w:tab/>
      </w:r>
      <w:r w:rsidRPr="00491BC8">
        <w:rPr>
          <w:rFonts w:ascii="Times New Roman" w:hAnsi="Times New Roman"/>
          <w:lang w:val="fr-BE"/>
        </w:rPr>
        <w:t>Parlement européen (avril 2026),</w:t>
      </w:r>
      <w:r w:rsidRPr="00491BC8">
        <w:rPr>
          <w:lang w:val="fr-BE"/>
        </w:rPr>
        <w:t xml:space="preserve"> </w:t>
      </w:r>
      <w:hyperlink r:id="rId25" w:history="1">
        <w:r w:rsidRPr="00491BC8">
          <w:rPr>
            <w:rStyle w:val="Hyperlink"/>
            <w:rFonts w:ascii="Times New Roman" w:hAnsi="Times New Roman"/>
            <w:i/>
            <w:lang w:val="fr-BE"/>
          </w:rPr>
          <w:t>Union bancaire – rapport annuel 2025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66F57" w14:textId="77777777" w:rsidR="006E0CE1" w:rsidRPr="006E0CE1" w:rsidRDefault="006E0CE1" w:rsidP="006E0CE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23B93" w14:textId="77777777" w:rsidR="006E0CE1" w:rsidRPr="006E0CE1" w:rsidRDefault="006E0CE1" w:rsidP="006E0CE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BA712" w14:textId="77777777" w:rsidR="006E0CE1" w:rsidRPr="006E0CE1" w:rsidRDefault="006E0CE1" w:rsidP="006E0CE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3E1B1" w14:textId="77777777" w:rsidR="00755D31" w:rsidRDefault="00755D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C2575" w14:textId="77777777" w:rsidR="00755D31" w:rsidRDefault="00755D3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75049" w14:textId="77777777" w:rsidR="00755D31" w:rsidRDefault="00755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D294C"/>
    <w:multiLevelType w:val="hybridMultilevel"/>
    <w:tmpl w:val="57FE061A"/>
    <w:lvl w:ilvl="0" w:tplc="FFFFFFFF">
      <w:start w:val="1"/>
      <w:numFmt w:val="bullet"/>
      <w:lvlText w:val=""/>
      <w:lvlJc w:val="left"/>
      <w:pPr>
        <w:ind w:left="720" w:hanging="360"/>
      </w:pPr>
      <w:rPr>
        <w:rFonts w:ascii="Wingdings" w:hAnsi="Wingdings" w:hint="default"/>
        <w:color w:val="auto"/>
      </w:rPr>
    </w:lvl>
    <w:lvl w:ilvl="1" w:tplc="1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047FC7"/>
    <w:multiLevelType w:val="hybridMultilevel"/>
    <w:tmpl w:val="75B4DE7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235F65"/>
    <w:multiLevelType w:val="hybridMultilevel"/>
    <w:tmpl w:val="6D9C59FE"/>
    <w:lvl w:ilvl="0" w:tplc="1809000B">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5F573A"/>
    <w:multiLevelType w:val="hybridMultilevel"/>
    <w:tmpl w:val="0BC278CE"/>
    <w:lvl w:ilvl="0" w:tplc="17D4665C">
      <w:start w:val="1"/>
      <w:numFmt w:val="bullet"/>
      <w:lvlText w:val=""/>
      <w:lvlJc w:val="left"/>
      <w:pPr>
        <w:ind w:left="1020" w:hanging="360"/>
      </w:pPr>
      <w:rPr>
        <w:rFonts w:ascii="Symbol" w:hAnsi="Symbol"/>
      </w:rPr>
    </w:lvl>
    <w:lvl w:ilvl="1" w:tplc="71986B8C">
      <w:start w:val="1"/>
      <w:numFmt w:val="bullet"/>
      <w:lvlText w:val=""/>
      <w:lvlJc w:val="left"/>
      <w:pPr>
        <w:ind w:left="1020" w:hanging="360"/>
      </w:pPr>
      <w:rPr>
        <w:rFonts w:ascii="Symbol" w:hAnsi="Symbol"/>
      </w:rPr>
    </w:lvl>
    <w:lvl w:ilvl="2" w:tplc="5EB82E92">
      <w:start w:val="1"/>
      <w:numFmt w:val="bullet"/>
      <w:lvlText w:val=""/>
      <w:lvlJc w:val="left"/>
      <w:pPr>
        <w:ind w:left="1020" w:hanging="360"/>
      </w:pPr>
      <w:rPr>
        <w:rFonts w:ascii="Symbol" w:hAnsi="Symbol"/>
      </w:rPr>
    </w:lvl>
    <w:lvl w:ilvl="3" w:tplc="1D84D784">
      <w:start w:val="1"/>
      <w:numFmt w:val="bullet"/>
      <w:lvlText w:val=""/>
      <w:lvlJc w:val="left"/>
      <w:pPr>
        <w:ind w:left="1020" w:hanging="360"/>
      </w:pPr>
      <w:rPr>
        <w:rFonts w:ascii="Symbol" w:hAnsi="Symbol"/>
      </w:rPr>
    </w:lvl>
    <w:lvl w:ilvl="4" w:tplc="705AB8F6">
      <w:start w:val="1"/>
      <w:numFmt w:val="bullet"/>
      <w:lvlText w:val=""/>
      <w:lvlJc w:val="left"/>
      <w:pPr>
        <w:ind w:left="1020" w:hanging="360"/>
      </w:pPr>
      <w:rPr>
        <w:rFonts w:ascii="Symbol" w:hAnsi="Symbol"/>
      </w:rPr>
    </w:lvl>
    <w:lvl w:ilvl="5" w:tplc="60B8F392">
      <w:start w:val="1"/>
      <w:numFmt w:val="bullet"/>
      <w:lvlText w:val=""/>
      <w:lvlJc w:val="left"/>
      <w:pPr>
        <w:ind w:left="1020" w:hanging="360"/>
      </w:pPr>
      <w:rPr>
        <w:rFonts w:ascii="Symbol" w:hAnsi="Symbol"/>
      </w:rPr>
    </w:lvl>
    <w:lvl w:ilvl="6" w:tplc="E9DC470E">
      <w:start w:val="1"/>
      <w:numFmt w:val="bullet"/>
      <w:lvlText w:val=""/>
      <w:lvlJc w:val="left"/>
      <w:pPr>
        <w:ind w:left="1020" w:hanging="360"/>
      </w:pPr>
      <w:rPr>
        <w:rFonts w:ascii="Symbol" w:hAnsi="Symbol"/>
      </w:rPr>
    </w:lvl>
    <w:lvl w:ilvl="7" w:tplc="4E28AE0A">
      <w:start w:val="1"/>
      <w:numFmt w:val="bullet"/>
      <w:lvlText w:val=""/>
      <w:lvlJc w:val="left"/>
      <w:pPr>
        <w:ind w:left="1020" w:hanging="360"/>
      </w:pPr>
      <w:rPr>
        <w:rFonts w:ascii="Symbol" w:hAnsi="Symbol"/>
      </w:rPr>
    </w:lvl>
    <w:lvl w:ilvl="8" w:tplc="5E762D34">
      <w:start w:val="1"/>
      <w:numFmt w:val="bullet"/>
      <w:lvlText w:val=""/>
      <w:lvlJc w:val="left"/>
      <w:pPr>
        <w:ind w:left="1020" w:hanging="360"/>
      </w:pPr>
      <w:rPr>
        <w:rFonts w:ascii="Symbol" w:hAnsi="Symbol"/>
      </w:rPr>
    </w:lvl>
  </w:abstractNum>
  <w:abstractNum w:abstractNumId="4" w15:restartNumberingAfterBreak="0">
    <w:nsid w:val="11784D32"/>
    <w:multiLevelType w:val="hybridMultilevel"/>
    <w:tmpl w:val="1772C7BE"/>
    <w:lvl w:ilvl="0" w:tplc="60E23114">
      <w:numFmt w:val="bullet"/>
      <w:lvlText w:val="-"/>
      <w:lvlJc w:val="left"/>
      <w:pPr>
        <w:ind w:left="1800" w:hanging="360"/>
      </w:pPr>
      <w:rPr>
        <w:rFonts w:ascii="Calibri" w:eastAsia="DengXian" w:hAnsi="Calibri" w:cs="Calibri" w:hint="default"/>
      </w:rPr>
    </w:lvl>
    <w:lvl w:ilvl="1" w:tplc="18090003">
      <w:start w:val="1"/>
      <w:numFmt w:val="bullet"/>
      <w:lvlText w:val="o"/>
      <w:lvlJc w:val="left"/>
      <w:pPr>
        <w:ind w:left="2520" w:hanging="360"/>
      </w:pPr>
      <w:rPr>
        <w:rFonts w:ascii="Courier New" w:hAnsi="Courier New" w:cs="Courier New" w:hint="default"/>
      </w:rPr>
    </w:lvl>
    <w:lvl w:ilvl="2" w:tplc="18090005">
      <w:start w:val="1"/>
      <w:numFmt w:val="bullet"/>
      <w:lvlText w:val=""/>
      <w:lvlJc w:val="left"/>
      <w:pPr>
        <w:ind w:left="3240" w:hanging="360"/>
      </w:pPr>
      <w:rPr>
        <w:rFonts w:ascii="Wingdings" w:hAnsi="Wingdings" w:hint="default"/>
      </w:rPr>
    </w:lvl>
    <w:lvl w:ilvl="3" w:tplc="18090001">
      <w:start w:val="1"/>
      <w:numFmt w:val="bullet"/>
      <w:lvlText w:val=""/>
      <w:lvlJc w:val="left"/>
      <w:pPr>
        <w:ind w:left="3960" w:hanging="360"/>
      </w:pPr>
      <w:rPr>
        <w:rFonts w:ascii="Symbol" w:hAnsi="Symbol" w:hint="default"/>
      </w:rPr>
    </w:lvl>
    <w:lvl w:ilvl="4" w:tplc="18090003">
      <w:start w:val="1"/>
      <w:numFmt w:val="bullet"/>
      <w:lvlText w:val="o"/>
      <w:lvlJc w:val="left"/>
      <w:pPr>
        <w:ind w:left="4680" w:hanging="360"/>
      </w:pPr>
      <w:rPr>
        <w:rFonts w:ascii="Courier New" w:hAnsi="Courier New" w:cs="Courier New" w:hint="default"/>
      </w:rPr>
    </w:lvl>
    <w:lvl w:ilvl="5" w:tplc="18090005">
      <w:start w:val="1"/>
      <w:numFmt w:val="bullet"/>
      <w:lvlText w:val=""/>
      <w:lvlJc w:val="left"/>
      <w:pPr>
        <w:ind w:left="5400" w:hanging="360"/>
      </w:pPr>
      <w:rPr>
        <w:rFonts w:ascii="Wingdings" w:hAnsi="Wingdings" w:hint="default"/>
      </w:rPr>
    </w:lvl>
    <w:lvl w:ilvl="6" w:tplc="18090001">
      <w:start w:val="1"/>
      <w:numFmt w:val="bullet"/>
      <w:lvlText w:val=""/>
      <w:lvlJc w:val="left"/>
      <w:pPr>
        <w:ind w:left="6120" w:hanging="360"/>
      </w:pPr>
      <w:rPr>
        <w:rFonts w:ascii="Symbol" w:hAnsi="Symbol" w:hint="default"/>
      </w:rPr>
    </w:lvl>
    <w:lvl w:ilvl="7" w:tplc="18090003">
      <w:start w:val="1"/>
      <w:numFmt w:val="bullet"/>
      <w:lvlText w:val="o"/>
      <w:lvlJc w:val="left"/>
      <w:pPr>
        <w:ind w:left="6840" w:hanging="360"/>
      </w:pPr>
      <w:rPr>
        <w:rFonts w:ascii="Courier New" w:hAnsi="Courier New" w:cs="Courier New" w:hint="default"/>
      </w:rPr>
    </w:lvl>
    <w:lvl w:ilvl="8" w:tplc="18090005">
      <w:start w:val="1"/>
      <w:numFmt w:val="bullet"/>
      <w:lvlText w:val=""/>
      <w:lvlJc w:val="left"/>
      <w:pPr>
        <w:ind w:left="7560" w:hanging="360"/>
      </w:pPr>
      <w:rPr>
        <w:rFonts w:ascii="Wingdings" w:hAnsi="Wingdings" w:hint="default"/>
      </w:rPr>
    </w:lvl>
  </w:abstractNum>
  <w:abstractNum w:abstractNumId="5" w15:restartNumberingAfterBreak="0">
    <w:nsid w:val="123D69F6"/>
    <w:multiLevelType w:val="hybridMultilevel"/>
    <w:tmpl w:val="C29C7EA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0C4078"/>
    <w:multiLevelType w:val="hybridMultilevel"/>
    <w:tmpl w:val="7C02EDD8"/>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605E04"/>
    <w:multiLevelType w:val="hybridMultilevel"/>
    <w:tmpl w:val="066CC520"/>
    <w:lvl w:ilvl="0" w:tplc="E104F2DA">
      <w:start w:val="1"/>
      <w:numFmt w:val="bullet"/>
      <w:lvlText w:val=""/>
      <w:lvlJc w:val="left"/>
      <w:pPr>
        <w:ind w:left="1440" w:hanging="360"/>
      </w:pPr>
      <w:rPr>
        <w:rFonts w:ascii="Symbol" w:hAnsi="Symbol"/>
      </w:rPr>
    </w:lvl>
    <w:lvl w:ilvl="1" w:tplc="1DF45ECE">
      <w:start w:val="1"/>
      <w:numFmt w:val="bullet"/>
      <w:lvlText w:val=""/>
      <w:lvlJc w:val="left"/>
      <w:pPr>
        <w:ind w:left="1440" w:hanging="360"/>
      </w:pPr>
      <w:rPr>
        <w:rFonts w:ascii="Symbol" w:hAnsi="Symbol"/>
      </w:rPr>
    </w:lvl>
    <w:lvl w:ilvl="2" w:tplc="740088E8">
      <w:start w:val="1"/>
      <w:numFmt w:val="bullet"/>
      <w:lvlText w:val=""/>
      <w:lvlJc w:val="left"/>
      <w:pPr>
        <w:ind w:left="1440" w:hanging="360"/>
      </w:pPr>
      <w:rPr>
        <w:rFonts w:ascii="Symbol" w:hAnsi="Symbol"/>
      </w:rPr>
    </w:lvl>
    <w:lvl w:ilvl="3" w:tplc="D69CB94A">
      <w:start w:val="1"/>
      <w:numFmt w:val="bullet"/>
      <w:lvlText w:val=""/>
      <w:lvlJc w:val="left"/>
      <w:pPr>
        <w:ind w:left="1440" w:hanging="360"/>
      </w:pPr>
      <w:rPr>
        <w:rFonts w:ascii="Symbol" w:hAnsi="Symbol"/>
      </w:rPr>
    </w:lvl>
    <w:lvl w:ilvl="4" w:tplc="D5EEB9EC">
      <w:start w:val="1"/>
      <w:numFmt w:val="bullet"/>
      <w:lvlText w:val=""/>
      <w:lvlJc w:val="left"/>
      <w:pPr>
        <w:ind w:left="1440" w:hanging="360"/>
      </w:pPr>
      <w:rPr>
        <w:rFonts w:ascii="Symbol" w:hAnsi="Symbol"/>
      </w:rPr>
    </w:lvl>
    <w:lvl w:ilvl="5" w:tplc="1C1E1540">
      <w:start w:val="1"/>
      <w:numFmt w:val="bullet"/>
      <w:lvlText w:val=""/>
      <w:lvlJc w:val="left"/>
      <w:pPr>
        <w:ind w:left="1440" w:hanging="360"/>
      </w:pPr>
      <w:rPr>
        <w:rFonts w:ascii="Symbol" w:hAnsi="Symbol"/>
      </w:rPr>
    </w:lvl>
    <w:lvl w:ilvl="6" w:tplc="ADD2C8DA">
      <w:start w:val="1"/>
      <w:numFmt w:val="bullet"/>
      <w:lvlText w:val=""/>
      <w:lvlJc w:val="left"/>
      <w:pPr>
        <w:ind w:left="1440" w:hanging="360"/>
      </w:pPr>
      <w:rPr>
        <w:rFonts w:ascii="Symbol" w:hAnsi="Symbol"/>
      </w:rPr>
    </w:lvl>
    <w:lvl w:ilvl="7" w:tplc="F5046622">
      <w:start w:val="1"/>
      <w:numFmt w:val="bullet"/>
      <w:lvlText w:val=""/>
      <w:lvlJc w:val="left"/>
      <w:pPr>
        <w:ind w:left="1440" w:hanging="360"/>
      </w:pPr>
      <w:rPr>
        <w:rFonts w:ascii="Symbol" w:hAnsi="Symbol"/>
      </w:rPr>
    </w:lvl>
    <w:lvl w:ilvl="8" w:tplc="BA6421F0">
      <w:start w:val="1"/>
      <w:numFmt w:val="bullet"/>
      <w:lvlText w:val=""/>
      <w:lvlJc w:val="left"/>
      <w:pPr>
        <w:ind w:left="1440" w:hanging="360"/>
      </w:pPr>
      <w:rPr>
        <w:rFonts w:ascii="Symbol" w:hAnsi="Symbol"/>
      </w:rPr>
    </w:lvl>
  </w:abstractNum>
  <w:abstractNum w:abstractNumId="8" w15:restartNumberingAfterBreak="0">
    <w:nsid w:val="149D00C3"/>
    <w:multiLevelType w:val="hybridMultilevel"/>
    <w:tmpl w:val="C644B32A"/>
    <w:lvl w:ilvl="0" w:tplc="CDE4451A">
      <w:start w:val="1"/>
      <w:numFmt w:val="lowerLetter"/>
      <w:lvlText w:val="%1)"/>
      <w:lvlJc w:val="left"/>
      <w:pPr>
        <w:ind w:left="1020" w:hanging="360"/>
      </w:pPr>
    </w:lvl>
    <w:lvl w:ilvl="1" w:tplc="63AC4D44">
      <w:start w:val="1"/>
      <w:numFmt w:val="lowerLetter"/>
      <w:lvlText w:val="%2)"/>
      <w:lvlJc w:val="left"/>
      <w:pPr>
        <w:ind w:left="1020" w:hanging="360"/>
      </w:pPr>
    </w:lvl>
    <w:lvl w:ilvl="2" w:tplc="8DA43320">
      <w:start w:val="1"/>
      <w:numFmt w:val="lowerLetter"/>
      <w:lvlText w:val="%3)"/>
      <w:lvlJc w:val="left"/>
      <w:pPr>
        <w:ind w:left="1020" w:hanging="360"/>
      </w:pPr>
    </w:lvl>
    <w:lvl w:ilvl="3" w:tplc="ADD0A4A6">
      <w:start w:val="1"/>
      <w:numFmt w:val="lowerLetter"/>
      <w:lvlText w:val="%4)"/>
      <w:lvlJc w:val="left"/>
      <w:pPr>
        <w:ind w:left="1020" w:hanging="360"/>
      </w:pPr>
    </w:lvl>
    <w:lvl w:ilvl="4" w:tplc="FB4057C6">
      <w:start w:val="1"/>
      <w:numFmt w:val="lowerLetter"/>
      <w:lvlText w:val="%5)"/>
      <w:lvlJc w:val="left"/>
      <w:pPr>
        <w:ind w:left="1020" w:hanging="360"/>
      </w:pPr>
    </w:lvl>
    <w:lvl w:ilvl="5" w:tplc="BCD4C062">
      <w:start w:val="1"/>
      <w:numFmt w:val="lowerLetter"/>
      <w:lvlText w:val="%6)"/>
      <w:lvlJc w:val="left"/>
      <w:pPr>
        <w:ind w:left="1020" w:hanging="360"/>
      </w:pPr>
    </w:lvl>
    <w:lvl w:ilvl="6" w:tplc="EB4A0DA8">
      <w:start w:val="1"/>
      <w:numFmt w:val="lowerLetter"/>
      <w:lvlText w:val="%7)"/>
      <w:lvlJc w:val="left"/>
      <w:pPr>
        <w:ind w:left="1020" w:hanging="360"/>
      </w:pPr>
    </w:lvl>
    <w:lvl w:ilvl="7" w:tplc="2D6CF472">
      <w:start w:val="1"/>
      <w:numFmt w:val="lowerLetter"/>
      <w:lvlText w:val="%8)"/>
      <w:lvlJc w:val="left"/>
      <w:pPr>
        <w:ind w:left="1020" w:hanging="360"/>
      </w:pPr>
    </w:lvl>
    <w:lvl w:ilvl="8" w:tplc="77241E8C">
      <w:start w:val="1"/>
      <w:numFmt w:val="lowerLetter"/>
      <w:lvlText w:val="%9)"/>
      <w:lvlJc w:val="left"/>
      <w:pPr>
        <w:ind w:left="1020" w:hanging="360"/>
      </w:pPr>
    </w:lvl>
  </w:abstractNum>
  <w:abstractNum w:abstractNumId="9" w15:restartNumberingAfterBreak="0">
    <w:nsid w:val="17344998"/>
    <w:multiLevelType w:val="hybridMultilevel"/>
    <w:tmpl w:val="C938E8C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E71C6B"/>
    <w:multiLevelType w:val="hybridMultilevel"/>
    <w:tmpl w:val="FA7889A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9532C3F"/>
    <w:multiLevelType w:val="hybridMultilevel"/>
    <w:tmpl w:val="4FFAA8E2"/>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A5733BD"/>
    <w:multiLevelType w:val="hybridMultilevel"/>
    <w:tmpl w:val="2D4AEF04"/>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A84720E"/>
    <w:multiLevelType w:val="hybridMultilevel"/>
    <w:tmpl w:val="9E6890D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255CAD"/>
    <w:multiLevelType w:val="hybridMultilevel"/>
    <w:tmpl w:val="28129DC2"/>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AB57CA"/>
    <w:multiLevelType w:val="hybridMultilevel"/>
    <w:tmpl w:val="BE2087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1F72C23"/>
    <w:multiLevelType w:val="hybridMultilevel"/>
    <w:tmpl w:val="F5C8C55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3617EDC"/>
    <w:multiLevelType w:val="hybridMultilevel"/>
    <w:tmpl w:val="D8CEECBA"/>
    <w:lvl w:ilvl="0" w:tplc="B156B470">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37B5FCF"/>
    <w:multiLevelType w:val="hybridMultilevel"/>
    <w:tmpl w:val="EC1C8118"/>
    <w:lvl w:ilvl="0" w:tplc="AAACF5D0">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58A4800"/>
    <w:multiLevelType w:val="hybridMultilevel"/>
    <w:tmpl w:val="5B80B9DC"/>
    <w:lvl w:ilvl="0" w:tplc="C29C55DC">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7227EC0"/>
    <w:multiLevelType w:val="hybridMultilevel"/>
    <w:tmpl w:val="DDF827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8FB5891"/>
    <w:multiLevelType w:val="hybridMultilevel"/>
    <w:tmpl w:val="8D4AEBD2"/>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294625CE"/>
    <w:multiLevelType w:val="hybridMultilevel"/>
    <w:tmpl w:val="23D627AA"/>
    <w:lvl w:ilvl="0" w:tplc="182E0EDE">
      <w:start w:val="1"/>
      <w:numFmt w:val="decimal"/>
      <w:lvlText w:val="%1."/>
      <w:lvlJc w:val="left"/>
      <w:pPr>
        <w:ind w:left="1020" w:hanging="360"/>
      </w:pPr>
    </w:lvl>
    <w:lvl w:ilvl="1" w:tplc="D7AEAA98">
      <w:start w:val="1"/>
      <w:numFmt w:val="decimal"/>
      <w:lvlText w:val="%2."/>
      <w:lvlJc w:val="left"/>
      <w:pPr>
        <w:ind w:left="1020" w:hanging="360"/>
      </w:pPr>
    </w:lvl>
    <w:lvl w:ilvl="2" w:tplc="301E436C">
      <w:start w:val="1"/>
      <w:numFmt w:val="decimal"/>
      <w:lvlText w:val="%3."/>
      <w:lvlJc w:val="left"/>
      <w:pPr>
        <w:ind w:left="1020" w:hanging="360"/>
      </w:pPr>
    </w:lvl>
    <w:lvl w:ilvl="3" w:tplc="E34EEA3C">
      <w:start w:val="1"/>
      <w:numFmt w:val="decimal"/>
      <w:lvlText w:val="%4."/>
      <w:lvlJc w:val="left"/>
      <w:pPr>
        <w:ind w:left="1020" w:hanging="360"/>
      </w:pPr>
    </w:lvl>
    <w:lvl w:ilvl="4" w:tplc="A3AA3DA0">
      <w:start w:val="1"/>
      <w:numFmt w:val="decimal"/>
      <w:lvlText w:val="%5."/>
      <w:lvlJc w:val="left"/>
      <w:pPr>
        <w:ind w:left="1020" w:hanging="360"/>
      </w:pPr>
    </w:lvl>
    <w:lvl w:ilvl="5" w:tplc="79FC5F90">
      <w:start w:val="1"/>
      <w:numFmt w:val="decimal"/>
      <w:lvlText w:val="%6."/>
      <w:lvlJc w:val="left"/>
      <w:pPr>
        <w:ind w:left="1020" w:hanging="360"/>
      </w:pPr>
    </w:lvl>
    <w:lvl w:ilvl="6" w:tplc="A1C0D17A">
      <w:start w:val="1"/>
      <w:numFmt w:val="decimal"/>
      <w:lvlText w:val="%7."/>
      <w:lvlJc w:val="left"/>
      <w:pPr>
        <w:ind w:left="1020" w:hanging="360"/>
      </w:pPr>
    </w:lvl>
    <w:lvl w:ilvl="7" w:tplc="D4E0425C">
      <w:start w:val="1"/>
      <w:numFmt w:val="decimal"/>
      <w:lvlText w:val="%8."/>
      <w:lvlJc w:val="left"/>
      <w:pPr>
        <w:ind w:left="1020" w:hanging="360"/>
      </w:pPr>
    </w:lvl>
    <w:lvl w:ilvl="8" w:tplc="4C469E96">
      <w:start w:val="1"/>
      <w:numFmt w:val="decimal"/>
      <w:lvlText w:val="%9."/>
      <w:lvlJc w:val="left"/>
      <w:pPr>
        <w:ind w:left="1020" w:hanging="360"/>
      </w:pPr>
    </w:lvl>
  </w:abstractNum>
  <w:abstractNum w:abstractNumId="23" w15:restartNumberingAfterBreak="0">
    <w:nsid w:val="2ADB3E24"/>
    <w:multiLevelType w:val="hybridMultilevel"/>
    <w:tmpl w:val="3E325E1C"/>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F9936FA"/>
    <w:multiLevelType w:val="hybridMultilevel"/>
    <w:tmpl w:val="F5242D7A"/>
    <w:lvl w:ilvl="0" w:tplc="FFFFFFFF">
      <w:start w:val="1"/>
      <w:numFmt w:val="bullet"/>
      <w:lvlText w:val=""/>
      <w:lvlJc w:val="left"/>
      <w:pPr>
        <w:ind w:left="720" w:hanging="360"/>
      </w:pPr>
      <w:rPr>
        <w:rFonts w:ascii="Wingdings" w:hAnsi="Wingdings" w:hint="default"/>
        <w:color w:val="auto"/>
      </w:rPr>
    </w:lvl>
    <w:lvl w:ilvl="1" w:tplc="1809000B">
      <w:start w:val="1"/>
      <w:numFmt w:val="bullet"/>
      <w:lvlText w:val=""/>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178013F"/>
    <w:multiLevelType w:val="hybridMultilevel"/>
    <w:tmpl w:val="634A6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3A328FD"/>
    <w:multiLevelType w:val="hybridMultilevel"/>
    <w:tmpl w:val="38AEF3B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72C4E92"/>
    <w:multiLevelType w:val="multilevel"/>
    <w:tmpl w:val="9A4843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3A812EB8"/>
    <w:multiLevelType w:val="hybridMultilevel"/>
    <w:tmpl w:val="3454C620"/>
    <w:lvl w:ilvl="0" w:tplc="1809000F">
      <w:start w:val="1"/>
      <w:numFmt w:val="decimal"/>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AB56E1E"/>
    <w:multiLevelType w:val="hybridMultilevel"/>
    <w:tmpl w:val="87D09A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C026242"/>
    <w:multiLevelType w:val="hybridMultilevel"/>
    <w:tmpl w:val="B9D21B62"/>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DEB1841"/>
    <w:multiLevelType w:val="hybridMultilevel"/>
    <w:tmpl w:val="E8220FD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32638D8"/>
    <w:multiLevelType w:val="hybridMultilevel"/>
    <w:tmpl w:val="C5EA16EC"/>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43333BAB"/>
    <w:multiLevelType w:val="hybridMultilevel"/>
    <w:tmpl w:val="74403424"/>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59C3853"/>
    <w:multiLevelType w:val="hybridMultilevel"/>
    <w:tmpl w:val="0D0AB8B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15:restartNumberingAfterBreak="0">
    <w:nsid w:val="474F6D29"/>
    <w:multiLevelType w:val="hybridMultilevel"/>
    <w:tmpl w:val="157E049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7A54B05"/>
    <w:multiLevelType w:val="hybridMultilevel"/>
    <w:tmpl w:val="978C3E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47F13808"/>
    <w:multiLevelType w:val="hybridMultilevel"/>
    <w:tmpl w:val="AD7AAC7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A9D35CE"/>
    <w:multiLevelType w:val="multilevel"/>
    <w:tmpl w:val="58FC46D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BB656E6"/>
    <w:multiLevelType w:val="hybridMultilevel"/>
    <w:tmpl w:val="4BC4FAB4"/>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DBA257A"/>
    <w:multiLevelType w:val="hybridMultilevel"/>
    <w:tmpl w:val="01E655C2"/>
    <w:lvl w:ilvl="0" w:tplc="6254CDA8">
      <w:start w:val="1"/>
      <w:numFmt w:val="bullet"/>
      <w:lvlText w:val=""/>
      <w:lvlJc w:val="left"/>
      <w:pPr>
        <w:ind w:left="720" w:hanging="360"/>
      </w:pPr>
      <w:rPr>
        <w:rFonts w:ascii="Symbol" w:hAnsi="Symbol"/>
      </w:rPr>
    </w:lvl>
    <w:lvl w:ilvl="1" w:tplc="4288EF10">
      <w:start w:val="1"/>
      <w:numFmt w:val="bullet"/>
      <w:lvlText w:val=""/>
      <w:lvlJc w:val="left"/>
      <w:pPr>
        <w:ind w:left="720" w:hanging="360"/>
      </w:pPr>
      <w:rPr>
        <w:rFonts w:ascii="Symbol" w:hAnsi="Symbol"/>
      </w:rPr>
    </w:lvl>
    <w:lvl w:ilvl="2" w:tplc="D48EEDA8">
      <w:start w:val="1"/>
      <w:numFmt w:val="bullet"/>
      <w:lvlText w:val=""/>
      <w:lvlJc w:val="left"/>
      <w:pPr>
        <w:ind w:left="720" w:hanging="360"/>
      </w:pPr>
      <w:rPr>
        <w:rFonts w:ascii="Symbol" w:hAnsi="Symbol"/>
      </w:rPr>
    </w:lvl>
    <w:lvl w:ilvl="3" w:tplc="C7B62002">
      <w:start w:val="1"/>
      <w:numFmt w:val="bullet"/>
      <w:lvlText w:val=""/>
      <w:lvlJc w:val="left"/>
      <w:pPr>
        <w:ind w:left="720" w:hanging="360"/>
      </w:pPr>
      <w:rPr>
        <w:rFonts w:ascii="Symbol" w:hAnsi="Symbol"/>
      </w:rPr>
    </w:lvl>
    <w:lvl w:ilvl="4" w:tplc="464C4B14">
      <w:start w:val="1"/>
      <w:numFmt w:val="bullet"/>
      <w:lvlText w:val=""/>
      <w:lvlJc w:val="left"/>
      <w:pPr>
        <w:ind w:left="720" w:hanging="360"/>
      </w:pPr>
      <w:rPr>
        <w:rFonts w:ascii="Symbol" w:hAnsi="Symbol"/>
      </w:rPr>
    </w:lvl>
    <w:lvl w:ilvl="5" w:tplc="AA586C6C">
      <w:start w:val="1"/>
      <w:numFmt w:val="bullet"/>
      <w:lvlText w:val=""/>
      <w:lvlJc w:val="left"/>
      <w:pPr>
        <w:ind w:left="720" w:hanging="360"/>
      </w:pPr>
      <w:rPr>
        <w:rFonts w:ascii="Symbol" w:hAnsi="Symbol"/>
      </w:rPr>
    </w:lvl>
    <w:lvl w:ilvl="6" w:tplc="CB6A458E">
      <w:start w:val="1"/>
      <w:numFmt w:val="bullet"/>
      <w:lvlText w:val=""/>
      <w:lvlJc w:val="left"/>
      <w:pPr>
        <w:ind w:left="720" w:hanging="360"/>
      </w:pPr>
      <w:rPr>
        <w:rFonts w:ascii="Symbol" w:hAnsi="Symbol"/>
      </w:rPr>
    </w:lvl>
    <w:lvl w:ilvl="7" w:tplc="DF86A31C">
      <w:start w:val="1"/>
      <w:numFmt w:val="bullet"/>
      <w:lvlText w:val=""/>
      <w:lvlJc w:val="left"/>
      <w:pPr>
        <w:ind w:left="720" w:hanging="360"/>
      </w:pPr>
      <w:rPr>
        <w:rFonts w:ascii="Symbol" w:hAnsi="Symbol"/>
      </w:rPr>
    </w:lvl>
    <w:lvl w:ilvl="8" w:tplc="D4926F04">
      <w:start w:val="1"/>
      <w:numFmt w:val="bullet"/>
      <w:lvlText w:val=""/>
      <w:lvlJc w:val="left"/>
      <w:pPr>
        <w:ind w:left="720" w:hanging="360"/>
      </w:pPr>
      <w:rPr>
        <w:rFonts w:ascii="Symbol" w:hAnsi="Symbol"/>
      </w:rPr>
    </w:lvl>
  </w:abstractNum>
  <w:abstractNum w:abstractNumId="41" w15:restartNumberingAfterBreak="0">
    <w:nsid w:val="4F203557"/>
    <w:multiLevelType w:val="hybridMultilevel"/>
    <w:tmpl w:val="EF0E8974"/>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03C5B87"/>
    <w:multiLevelType w:val="hybridMultilevel"/>
    <w:tmpl w:val="DAA4433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506E53DE"/>
    <w:multiLevelType w:val="hybridMultilevel"/>
    <w:tmpl w:val="26D89E7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2B65405"/>
    <w:multiLevelType w:val="hybridMultilevel"/>
    <w:tmpl w:val="14F08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592F26F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A117DB9"/>
    <w:multiLevelType w:val="hybridMultilevel"/>
    <w:tmpl w:val="C65C350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5C737CA9"/>
    <w:multiLevelType w:val="hybridMultilevel"/>
    <w:tmpl w:val="92403584"/>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D7342DB"/>
    <w:multiLevelType w:val="multilevel"/>
    <w:tmpl w:val="223E19E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5E6D48D1"/>
    <w:multiLevelType w:val="hybridMultilevel"/>
    <w:tmpl w:val="6846C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5F9D59E2"/>
    <w:multiLevelType w:val="hybridMultilevel"/>
    <w:tmpl w:val="FB84C03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0FC69BF"/>
    <w:multiLevelType w:val="hybridMultilevel"/>
    <w:tmpl w:val="F0BE4F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654C6539"/>
    <w:multiLevelType w:val="multilevel"/>
    <w:tmpl w:val="0A7A4A8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675148C9"/>
    <w:multiLevelType w:val="hybridMultilevel"/>
    <w:tmpl w:val="3180523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4" w15:restartNumberingAfterBreak="0">
    <w:nsid w:val="68265799"/>
    <w:multiLevelType w:val="hybridMultilevel"/>
    <w:tmpl w:val="3A9CCDA4"/>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B6841AB"/>
    <w:multiLevelType w:val="hybridMultilevel"/>
    <w:tmpl w:val="FC747A3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DC609C1"/>
    <w:multiLevelType w:val="hybridMultilevel"/>
    <w:tmpl w:val="FFFFFFFF"/>
    <w:lvl w:ilvl="0" w:tplc="8DF09650">
      <w:start w:val="1"/>
      <w:numFmt w:val="bullet"/>
      <w:lvlText w:val="-"/>
      <w:lvlJc w:val="left"/>
      <w:pPr>
        <w:ind w:left="720" w:hanging="360"/>
      </w:pPr>
      <w:rPr>
        <w:rFonts w:ascii="Aptos" w:hAnsi="Aptos" w:hint="default"/>
      </w:rPr>
    </w:lvl>
    <w:lvl w:ilvl="1" w:tplc="144AD912">
      <w:start w:val="1"/>
      <w:numFmt w:val="bullet"/>
      <w:lvlText w:val="o"/>
      <w:lvlJc w:val="left"/>
      <w:pPr>
        <w:ind w:left="1440" w:hanging="360"/>
      </w:pPr>
      <w:rPr>
        <w:rFonts w:ascii="Courier New" w:hAnsi="Courier New" w:hint="default"/>
      </w:rPr>
    </w:lvl>
    <w:lvl w:ilvl="2" w:tplc="2BEE9C2E">
      <w:start w:val="1"/>
      <w:numFmt w:val="bullet"/>
      <w:lvlText w:val=""/>
      <w:lvlJc w:val="left"/>
      <w:pPr>
        <w:ind w:left="2160" w:hanging="360"/>
      </w:pPr>
      <w:rPr>
        <w:rFonts w:ascii="Wingdings" w:hAnsi="Wingdings" w:hint="default"/>
      </w:rPr>
    </w:lvl>
    <w:lvl w:ilvl="3" w:tplc="FDF2DA0C">
      <w:start w:val="1"/>
      <w:numFmt w:val="bullet"/>
      <w:lvlText w:val=""/>
      <w:lvlJc w:val="left"/>
      <w:pPr>
        <w:ind w:left="2880" w:hanging="360"/>
      </w:pPr>
      <w:rPr>
        <w:rFonts w:ascii="Symbol" w:hAnsi="Symbol" w:hint="default"/>
      </w:rPr>
    </w:lvl>
    <w:lvl w:ilvl="4" w:tplc="B7BA0EEA">
      <w:start w:val="1"/>
      <w:numFmt w:val="bullet"/>
      <w:lvlText w:val="o"/>
      <w:lvlJc w:val="left"/>
      <w:pPr>
        <w:ind w:left="3600" w:hanging="360"/>
      </w:pPr>
      <w:rPr>
        <w:rFonts w:ascii="Courier New" w:hAnsi="Courier New" w:hint="default"/>
      </w:rPr>
    </w:lvl>
    <w:lvl w:ilvl="5" w:tplc="77F446D6">
      <w:start w:val="1"/>
      <w:numFmt w:val="bullet"/>
      <w:lvlText w:val=""/>
      <w:lvlJc w:val="left"/>
      <w:pPr>
        <w:ind w:left="4320" w:hanging="360"/>
      </w:pPr>
      <w:rPr>
        <w:rFonts w:ascii="Wingdings" w:hAnsi="Wingdings" w:hint="default"/>
      </w:rPr>
    </w:lvl>
    <w:lvl w:ilvl="6" w:tplc="D592D3EE">
      <w:start w:val="1"/>
      <w:numFmt w:val="bullet"/>
      <w:lvlText w:val=""/>
      <w:lvlJc w:val="left"/>
      <w:pPr>
        <w:ind w:left="5040" w:hanging="360"/>
      </w:pPr>
      <w:rPr>
        <w:rFonts w:ascii="Symbol" w:hAnsi="Symbol" w:hint="default"/>
      </w:rPr>
    </w:lvl>
    <w:lvl w:ilvl="7" w:tplc="CD1067D2">
      <w:start w:val="1"/>
      <w:numFmt w:val="bullet"/>
      <w:lvlText w:val="o"/>
      <w:lvlJc w:val="left"/>
      <w:pPr>
        <w:ind w:left="5760" w:hanging="360"/>
      </w:pPr>
      <w:rPr>
        <w:rFonts w:ascii="Courier New" w:hAnsi="Courier New" w:hint="default"/>
      </w:rPr>
    </w:lvl>
    <w:lvl w:ilvl="8" w:tplc="4316EF26">
      <w:start w:val="1"/>
      <w:numFmt w:val="bullet"/>
      <w:lvlText w:val=""/>
      <w:lvlJc w:val="left"/>
      <w:pPr>
        <w:ind w:left="6480" w:hanging="360"/>
      </w:pPr>
      <w:rPr>
        <w:rFonts w:ascii="Wingdings" w:hAnsi="Wingdings" w:hint="default"/>
      </w:rPr>
    </w:lvl>
  </w:abstractNum>
  <w:abstractNum w:abstractNumId="57" w15:restartNumberingAfterBreak="0">
    <w:nsid w:val="6FED36A0"/>
    <w:multiLevelType w:val="hybridMultilevel"/>
    <w:tmpl w:val="E05CB9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700F3EF9"/>
    <w:multiLevelType w:val="hybridMultilevel"/>
    <w:tmpl w:val="4FB438A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3207014"/>
    <w:multiLevelType w:val="hybridMultilevel"/>
    <w:tmpl w:val="243A26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39E39C9"/>
    <w:multiLevelType w:val="hybridMultilevel"/>
    <w:tmpl w:val="29C6F318"/>
    <w:lvl w:ilvl="0" w:tplc="18090001">
      <w:start w:val="1"/>
      <w:numFmt w:val="bullet"/>
      <w:lvlText w:val=""/>
      <w:lvlJc w:val="left"/>
      <w:pPr>
        <w:ind w:left="1636" w:hanging="360"/>
      </w:pPr>
      <w:rPr>
        <w:rFonts w:ascii="Symbol" w:hAnsi="Symbol" w:hint="default"/>
      </w:rPr>
    </w:lvl>
    <w:lvl w:ilvl="1" w:tplc="18090003">
      <w:start w:val="1"/>
      <w:numFmt w:val="bullet"/>
      <w:lvlText w:val="o"/>
      <w:lvlJc w:val="left"/>
      <w:pPr>
        <w:ind w:left="2356" w:hanging="360"/>
      </w:pPr>
      <w:rPr>
        <w:rFonts w:ascii="Courier New" w:hAnsi="Courier New" w:cs="Courier New" w:hint="default"/>
      </w:rPr>
    </w:lvl>
    <w:lvl w:ilvl="2" w:tplc="18090005" w:tentative="1">
      <w:start w:val="1"/>
      <w:numFmt w:val="bullet"/>
      <w:lvlText w:val=""/>
      <w:lvlJc w:val="left"/>
      <w:pPr>
        <w:ind w:left="3076" w:hanging="360"/>
      </w:pPr>
      <w:rPr>
        <w:rFonts w:ascii="Wingdings" w:hAnsi="Wingdings" w:hint="default"/>
      </w:rPr>
    </w:lvl>
    <w:lvl w:ilvl="3" w:tplc="18090001" w:tentative="1">
      <w:start w:val="1"/>
      <w:numFmt w:val="bullet"/>
      <w:lvlText w:val=""/>
      <w:lvlJc w:val="left"/>
      <w:pPr>
        <w:ind w:left="3796" w:hanging="360"/>
      </w:pPr>
      <w:rPr>
        <w:rFonts w:ascii="Symbol" w:hAnsi="Symbol" w:hint="default"/>
      </w:rPr>
    </w:lvl>
    <w:lvl w:ilvl="4" w:tplc="18090003" w:tentative="1">
      <w:start w:val="1"/>
      <w:numFmt w:val="bullet"/>
      <w:lvlText w:val="o"/>
      <w:lvlJc w:val="left"/>
      <w:pPr>
        <w:ind w:left="4516" w:hanging="360"/>
      </w:pPr>
      <w:rPr>
        <w:rFonts w:ascii="Courier New" w:hAnsi="Courier New" w:cs="Courier New" w:hint="default"/>
      </w:rPr>
    </w:lvl>
    <w:lvl w:ilvl="5" w:tplc="18090005" w:tentative="1">
      <w:start w:val="1"/>
      <w:numFmt w:val="bullet"/>
      <w:lvlText w:val=""/>
      <w:lvlJc w:val="left"/>
      <w:pPr>
        <w:ind w:left="5236" w:hanging="360"/>
      </w:pPr>
      <w:rPr>
        <w:rFonts w:ascii="Wingdings" w:hAnsi="Wingdings" w:hint="default"/>
      </w:rPr>
    </w:lvl>
    <w:lvl w:ilvl="6" w:tplc="18090001" w:tentative="1">
      <w:start w:val="1"/>
      <w:numFmt w:val="bullet"/>
      <w:lvlText w:val=""/>
      <w:lvlJc w:val="left"/>
      <w:pPr>
        <w:ind w:left="5956" w:hanging="360"/>
      </w:pPr>
      <w:rPr>
        <w:rFonts w:ascii="Symbol" w:hAnsi="Symbol" w:hint="default"/>
      </w:rPr>
    </w:lvl>
    <w:lvl w:ilvl="7" w:tplc="18090003" w:tentative="1">
      <w:start w:val="1"/>
      <w:numFmt w:val="bullet"/>
      <w:lvlText w:val="o"/>
      <w:lvlJc w:val="left"/>
      <w:pPr>
        <w:ind w:left="6676" w:hanging="360"/>
      </w:pPr>
      <w:rPr>
        <w:rFonts w:ascii="Courier New" w:hAnsi="Courier New" w:cs="Courier New" w:hint="default"/>
      </w:rPr>
    </w:lvl>
    <w:lvl w:ilvl="8" w:tplc="18090005" w:tentative="1">
      <w:start w:val="1"/>
      <w:numFmt w:val="bullet"/>
      <w:lvlText w:val=""/>
      <w:lvlJc w:val="left"/>
      <w:pPr>
        <w:ind w:left="7396" w:hanging="360"/>
      </w:pPr>
      <w:rPr>
        <w:rFonts w:ascii="Wingdings" w:hAnsi="Wingdings" w:hint="default"/>
      </w:rPr>
    </w:lvl>
  </w:abstractNum>
  <w:abstractNum w:abstractNumId="61" w15:restartNumberingAfterBreak="0">
    <w:nsid w:val="73B367EA"/>
    <w:multiLevelType w:val="hybridMultilevel"/>
    <w:tmpl w:val="368C116C"/>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77833423"/>
    <w:multiLevelType w:val="hybridMultilevel"/>
    <w:tmpl w:val="334EBDB6"/>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83C676F"/>
    <w:multiLevelType w:val="hybridMultilevel"/>
    <w:tmpl w:val="D01A19FE"/>
    <w:lvl w:ilvl="0" w:tplc="A29CE30A">
      <w:start w:val="1"/>
      <w:numFmt w:val="decimal"/>
      <w:lvlText w:val="%1."/>
      <w:lvlJc w:val="left"/>
      <w:pPr>
        <w:ind w:left="1020" w:hanging="360"/>
      </w:pPr>
    </w:lvl>
    <w:lvl w:ilvl="1" w:tplc="9970FE08">
      <w:start w:val="1"/>
      <w:numFmt w:val="decimal"/>
      <w:lvlText w:val="%2."/>
      <w:lvlJc w:val="left"/>
      <w:pPr>
        <w:ind w:left="1020" w:hanging="360"/>
      </w:pPr>
    </w:lvl>
    <w:lvl w:ilvl="2" w:tplc="201C2F44">
      <w:start w:val="1"/>
      <w:numFmt w:val="decimal"/>
      <w:lvlText w:val="%3."/>
      <w:lvlJc w:val="left"/>
      <w:pPr>
        <w:ind w:left="1020" w:hanging="360"/>
      </w:pPr>
    </w:lvl>
    <w:lvl w:ilvl="3" w:tplc="96AE3BF8">
      <w:start w:val="1"/>
      <w:numFmt w:val="decimal"/>
      <w:lvlText w:val="%4."/>
      <w:lvlJc w:val="left"/>
      <w:pPr>
        <w:ind w:left="1020" w:hanging="360"/>
      </w:pPr>
    </w:lvl>
    <w:lvl w:ilvl="4" w:tplc="E8E2BA04">
      <w:start w:val="1"/>
      <w:numFmt w:val="decimal"/>
      <w:lvlText w:val="%5."/>
      <w:lvlJc w:val="left"/>
      <w:pPr>
        <w:ind w:left="1020" w:hanging="360"/>
      </w:pPr>
    </w:lvl>
    <w:lvl w:ilvl="5" w:tplc="9F4CA74E">
      <w:start w:val="1"/>
      <w:numFmt w:val="decimal"/>
      <w:lvlText w:val="%6."/>
      <w:lvlJc w:val="left"/>
      <w:pPr>
        <w:ind w:left="1020" w:hanging="360"/>
      </w:pPr>
    </w:lvl>
    <w:lvl w:ilvl="6" w:tplc="FC5CDA7A">
      <w:start w:val="1"/>
      <w:numFmt w:val="decimal"/>
      <w:lvlText w:val="%7."/>
      <w:lvlJc w:val="left"/>
      <w:pPr>
        <w:ind w:left="1020" w:hanging="360"/>
      </w:pPr>
    </w:lvl>
    <w:lvl w:ilvl="7" w:tplc="2C4EF8DC">
      <w:start w:val="1"/>
      <w:numFmt w:val="decimal"/>
      <w:lvlText w:val="%8."/>
      <w:lvlJc w:val="left"/>
      <w:pPr>
        <w:ind w:left="1020" w:hanging="360"/>
      </w:pPr>
    </w:lvl>
    <w:lvl w:ilvl="8" w:tplc="B92A22FE">
      <w:start w:val="1"/>
      <w:numFmt w:val="decimal"/>
      <w:lvlText w:val="%9."/>
      <w:lvlJc w:val="left"/>
      <w:pPr>
        <w:ind w:left="1020" w:hanging="360"/>
      </w:pPr>
    </w:lvl>
  </w:abstractNum>
  <w:abstractNum w:abstractNumId="64" w15:restartNumberingAfterBreak="0">
    <w:nsid w:val="790741D4"/>
    <w:multiLevelType w:val="hybridMultilevel"/>
    <w:tmpl w:val="28129DC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7B1B0C5D"/>
    <w:multiLevelType w:val="hybridMultilevel"/>
    <w:tmpl w:val="F55EA60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7BC80338"/>
    <w:multiLevelType w:val="hybridMultilevel"/>
    <w:tmpl w:val="E1ECA596"/>
    <w:lvl w:ilvl="0" w:tplc="A9ACB80A">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56"/>
  </w:num>
  <w:num w:numId="2">
    <w:abstractNumId w:val="64"/>
  </w:num>
  <w:num w:numId="3">
    <w:abstractNumId w:val="11"/>
  </w:num>
  <w:num w:numId="4">
    <w:abstractNumId w:val="19"/>
  </w:num>
  <w:num w:numId="5">
    <w:abstractNumId w:val="66"/>
  </w:num>
  <w:num w:numId="6">
    <w:abstractNumId w:val="18"/>
  </w:num>
  <w:num w:numId="7">
    <w:abstractNumId w:val="59"/>
  </w:num>
  <w:num w:numId="8">
    <w:abstractNumId w:val="2"/>
  </w:num>
  <w:num w:numId="9">
    <w:abstractNumId w:val="28"/>
  </w:num>
  <w:num w:numId="10">
    <w:abstractNumId w:val="60"/>
  </w:num>
  <w:num w:numId="11">
    <w:abstractNumId w:val="17"/>
  </w:num>
  <w:num w:numId="12">
    <w:abstractNumId w:val="14"/>
  </w:num>
  <w:num w:numId="13">
    <w:abstractNumId w:val="20"/>
  </w:num>
  <w:num w:numId="14">
    <w:abstractNumId w:val="38"/>
  </w:num>
  <w:num w:numId="15">
    <w:abstractNumId w:val="29"/>
  </w:num>
  <w:num w:numId="16">
    <w:abstractNumId w:val="3"/>
  </w:num>
  <w:num w:numId="17">
    <w:abstractNumId w:val="43"/>
  </w:num>
  <w:num w:numId="18">
    <w:abstractNumId w:val="24"/>
  </w:num>
  <w:num w:numId="19">
    <w:abstractNumId w:val="35"/>
  </w:num>
  <w:num w:numId="20">
    <w:abstractNumId w:val="53"/>
  </w:num>
  <w:num w:numId="21">
    <w:abstractNumId w:val="61"/>
  </w:num>
  <w:num w:numId="22">
    <w:abstractNumId w:val="65"/>
  </w:num>
  <w:num w:numId="23">
    <w:abstractNumId w:val="37"/>
  </w:num>
  <w:num w:numId="24">
    <w:abstractNumId w:val="8"/>
  </w:num>
  <w:num w:numId="25">
    <w:abstractNumId w:val="22"/>
  </w:num>
  <w:num w:numId="26">
    <w:abstractNumId w:val="63"/>
  </w:num>
  <w:num w:numId="27">
    <w:abstractNumId w:val="25"/>
  </w:num>
  <w:num w:numId="28">
    <w:abstractNumId w:val="4"/>
  </w:num>
  <w:num w:numId="29">
    <w:abstractNumId w:val="15"/>
  </w:num>
  <w:num w:numId="30">
    <w:abstractNumId w:val="57"/>
  </w:num>
  <w:num w:numId="31">
    <w:abstractNumId w:val="42"/>
  </w:num>
  <w:num w:numId="32">
    <w:abstractNumId w:val="46"/>
  </w:num>
  <w:num w:numId="33">
    <w:abstractNumId w:val="27"/>
  </w:num>
  <w:num w:numId="34">
    <w:abstractNumId w:val="36"/>
  </w:num>
  <w:num w:numId="35">
    <w:abstractNumId w:val="16"/>
  </w:num>
  <w:num w:numId="36">
    <w:abstractNumId w:val="45"/>
  </w:num>
  <w:num w:numId="37">
    <w:abstractNumId w:val="10"/>
  </w:num>
  <w:num w:numId="38">
    <w:abstractNumId w:val="9"/>
  </w:num>
  <w:num w:numId="39">
    <w:abstractNumId w:val="51"/>
  </w:num>
  <w:num w:numId="40">
    <w:abstractNumId w:val="52"/>
  </w:num>
  <w:num w:numId="41">
    <w:abstractNumId w:val="48"/>
  </w:num>
  <w:num w:numId="42">
    <w:abstractNumId w:val="26"/>
  </w:num>
  <w:num w:numId="43">
    <w:abstractNumId w:val="58"/>
  </w:num>
  <w:num w:numId="44">
    <w:abstractNumId w:val="31"/>
  </w:num>
  <w:num w:numId="45">
    <w:abstractNumId w:val="1"/>
  </w:num>
  <w:num w:numId="46">
    <w:abstractNumId w:val="39"/>
  </w:num>
  <w:num w:numId="47">
    <w:abstractNumId w:val="50"/>
  </w:num>
  <w:num w:numId="48">
    <w:abstractNumId w:val="6"/>
  </w:num>
  <w:num w:numId="49">
    <w:abstractNumId w:val="54"/>
  </w:num>
  <w:num w:numId="50">
    <w:abstractNumId w:val="13"/>
  </w:num>
  <w:num w:numId="51">
    <w:abstractNumId w:val="23"/>
  </w:num>
  <w:num w:numId="52">
    <w:abstractNumId w:val="33"/>
  </w:num>
  <w:num w:numId="53">
    <w:abstractNumId w:val="41"/>
  </w:num>
  <w:num w:numId="54">
    <w:abstractNumId w:val="62"/>
  </w:num>
  <w:num w:numId="55">
    <w:abstractNumId w:val="0"/>
  </w:num>
  <w:num w:numId="56">
    <w:abstractNumId w:val="30"/>
  </w:num>
  <w:num w:numId="57">
    <w:abstractNumId w:val="34"/>
  </w:num>
  <w:num w:numId="58">
    <w:abstractNumId w:val="12"/>
  </w:num>
  <w:num w:numId="59">
    <w:abstractNumId w:val="44"/>
  </w:num>
  <w:num w:numId="60">
    <w:abstractNumId w:val="49"/>
  </w:num>
  <w:num w:numId="61">
    <w:abstractNumId w:val="55"/>
  </w:num>
  <w:num w:numId="62">
    <w:abstractNumId w:val="5"/>
  </w:num>
  <w:num w:numId="63">
    <w:abstractNumId w:val="47"/>
  </w:num>
  <w:num w:numId="64">
    <w:abstractNumId w:val="32"/>
  </w:num>
  <w:num w:numId="65">
    <w:abstractNumId w:val="21"/>
  </w:num>
  <w:num w:numId="66">
    <w:abstractNumId w:val="40"/>
  </w:num>
  <w:num w:numId="67">
    <w:abstractNumId w:val="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667148A-ECED-41BE-A3A6-CA293FBD08FA"/>
    <w:docVar w:name="LW_COVERPAGE_TYPE" w:val="1"/>
    <w:docVar w:name="LW_CROSSREFERENCE" w:val="{SWD(2026) 615 final}"/>
    <w:docVar w:name="LW_DocType" w:val="NORMAL"/>
    <w:docVar w:name="LW_EMISSION" w:val="17.7.2026"/>
    <w:docVar w:name="LW_EMISSION_ISODATE" w:val="2026-07-17"/>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6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mpétitivité du secteur bancaire et marché unique bancaire&lt;/FMT&gt;_x000b_"/>
    <w:docVar w:name="LW_TYPE.DOC.CP" w:val="COMMUNICATION DE LA COMMISSION"/>
    <w:docVar w:name="LW_TYPE.DOC.CP.USERTEXT" w:val="AU PARLEMENT EUROPÉEN, AU CONSEIL, À LA BANQUE CENTRALE EUROPÉENNE, AU COMITÉ ÉCONOMIQUE ET SOCIAL EUROPÉEN ET AU COMITÉ DES RÉGIONS_x000b_"/>
    <w:docVar w:name="LwApiVersions" w:val="LW4CoDe 1.24.5.0; LW 9.2, Build 20251112"/>
  </w:docVars>
  <w:rsids>
    <w:rsidRoot w:val="009D6B2D"/>
    <w:rsid w:val="000000F6"/>
    <w:rsid w:val="00000226"/>
    <w:rsid w:val="000002EC"/>
    <w:rsid w:val="000004B9"/>
    <w:rsid w:val="0000056C"/>
    <w:rsid w:val="000007E7"/>
    <w:rsid w:val="00000947"/>
    <w:rsid w:val="00000A06"/>
    <w:rsid w:val="00000AB2"/>
    <w:rsid w:val="00000AED"/>
    <w:rsid w:val="00000C70"/>
    <w:rsid w:val="00000F57"/>
    <w:rsid w:val="000010D6"/>
    <w:rsid w:val="0000127A"/>
    <w:rsid w:val="000012A1"/>
    <w:rsid w:val="000012C5"/>
    <w:rsid w:val="000012FB"/>
    <w:rsid w:val="00001315"/>
    <w:rsid w:val="0000136A"/>
    <w:rsid w:val="000013FF"/>
    <w:rsid w:val="00001524"/>
    <w:rsid w:val="00001657"/>
    <w:rsid w:val="00001693"/>
    <w:rsid w:val="000017AE"/>
    <w:rsid w:val="000017ED"/>
    <w:rsid w:val="000018DC"/>
    <w:rsid w:val="00001C90"/>
    <w:rsid w:val="00001CA2"/>
    <w:rsid w:val="00001DA7"/>
    <w:rsid w:val="000021C2"/>
    <w:rsid w:val="0000231F"/>
    <w:rsid w:val="000024B1"/>
    <w:rsid w:val="000025AA"/>
    <w:rsid w:val="000025C8"/>
    <w:rsid w:val="00002661"/>
    <w:rsid w:val="00002683"/>
    <w:rsid w:val="00002686"/>
    <w:rsid w:val="0000270E"/>
    <w:rsid w:val="00002747"/>
    <w:rsid w:val="00002C86"/>
    <w:rsid w:val="00002D12"/>
    <w:rsid w:val="00002D3C"/>
    <w:rsid w:val="00002DDA"/>
    <w:rsid w:val="00002F4C"/>
    <w:rsid w:val="0000310C"/>
    <w:rsid w:val="000034F1"/>
    <w:rsid w:val="00003591"/>
    <w:rsid w:val="00003879"/>
    <w:rsid w:val="000039E0"/>
    <w:rsid w:val="00003A79"/>
    <w:rsid w:val="00003B64"/>
    <w:rsid w:val="00003CA1"/>
    <w:rsid w:val="00003DC3"/>
    <w:rsid w:val="00003EBA"/>
    <w:rsid w:val="00003F5F"/>
    <w:rsid w:val="00003FF6"/>
    <w:rsid w:val="00004173"/>
    <w:rsid w:val="00004225"/>
    <w:rsid w:val="0000423B"/>
    <w:rsid w:val="00004255"/>
    <w:rsid w:val="0000428B"/>
    <w:rsid w:val="000044F5"/>
    <w:rsid w:val="000045D5"/>
    <w:rsid w:val="000047C0"/>
    <w:rsid w:val="00004A3D"/>
    <w:rsid w:val="00004AAE"/>
    <w:rsid w:val="00004C01"/>
    <w:rsid w:val="00004C48"/>
    <w:rsid w:val="00004D5F"/>
    <w:rsid w:val="00004ED2"/>
    <w:rsid w:val="00004F7B"/>
    <w:rsid w:val="00005258"/>
    <w:rsid w:val="000052FB"/>
    <w:rsid w:val="00005334"/>
    <w:rsid w:val="00005445"/>
    <w:rsid w:val="000055F7"/>
    <w:rsid w:val="00005614"/>
    <w:rsid w:val="0000564C"/>
    <w:rsid w:val="000057A9"/>
    <w:rsid w:val="000057B8"/>
    <w:rsid w:val="00005838"/>
    <w:rsid w:val="00005BBA"/>
    <w:rsid w:val="00005EF7"/>
    <w:rsid w:val="00005F7D"/>
    <w:rsid w:val="000060E8"/>
    <w:rsid w:val="000061EA"/>
    <w:rsid w:val="000061EE"/>
    <w:rsid w:val="0000622D"/>
    <w:rsid w:val="000063AF"/>
    <w:rsid w:val="000063DD"/>
    <w:rsid w:val="00006427"/>
    <w:rsid w:val="00006778"/>
    <w:rsid w:val="00006A8B"/>
    <w:rsid w:val="00006BD8"/>
    <w:rsid w:val="00006CC0"/>
    <w:rsid w:val="00006CF0"/>
    <w:rsid w:val="00006FC5"/>
    <w:rsid w:val="00007040"/>
    <w:rsid w:val="00007147"/>
    <w:rsid w:val="00007164"/>
    <w:rsid w:val="000071E4"/>
    <w:rsid w:val="000073B0"/>
    <w:rsid w:val="00007483"/>
    <w:rsid w:val="000075AF"/>
    <w:rsid w:val="00007629"/>
    <w:rsid w:val="0000766D"/>
    <w:rsid w:val="0000768B"/>
    <w:rsid w:val="0000774F"/>
    <w:rsid w:val="00007753"/>
    <w:rsid w:val="000077A5"/>
    <w:rsid w:val="00007A08"/>
    <w:rsid w:val="00007B31"/>
    <w:rsid w:val="00007BD3"/>
    <w:rsid w:val="00007BD9"/>
    <w:rsid w:val="00010092"/>
    <w:rsid w:val="000100D9"/>
    <w:rsid w:val="00010338"/>
    <w:rsid w:val="00010341"/>
    <w:rsid w:val="000103E4"/>
    <w:rsid w:val="00010478"/>
    <w:rsid w:val="00010614"/>
    <w:rsid w:val="000106EC"/>
    <w:rsid w:val="0001074E"/>
    <w:rsid w:val="00010833"/>
    <w:rsid w:val="000109F0"/>
    <w:rsid w:val="00010A19"/>
    <w:rsid w:val="00010A73"/>
    <w:rsid w:val="00010AFF"/>
    <w:rsid w:val="00010BF0"/>
    <w:rsid w:val="00010D0A"/>
    <w:rsid w:val="00010D60"/>
    <w:rsid w:val="00010EA0"/>
    <w:rsid w:val="0001107C"/>
    <w:rsid w:val="000110B4"/>
    <w:rsid w:val="000110EA"/>
    <w:rsid w:val="0001113D"/>
    <w:rsid w:val="00011403"/>
    <w:rsid w:val="00011411"/>
    <w:rsid w:val="00011462"/>
    <w:rsid w:val="0001152A"/>
    <w:rsid w:val="000117BF"/>
    <w:rsid w:val="00011840"/>
    <w:rsid w:val="000118EC"/>
    <w:rsid w:val="00011DF9"/>
    <w:rsid w:val="00011E41"/>
    <w:rsid w:val="00011F7D"/>
    <w:rsid w:val="0001209B"/>
    <w:rsid w:val="00012195"/>
    <w:rsid w:val="000121B9"/>
    <w:rsid w:val="00012278"/>
    <w:rsid w:val="0001260B"/>
    <w:rsid w:val="0001272E"/>
    <w:rsid w:val="00012940"/>
    <w:rsid w:val="00012AF7"/>
    <w:rsid w:val="00012F39"/>
    <w:rsid w:val="00013040"/>
    <w:rsid w:val="000130E7"/>
    <w:rsid w:val="0001317A"/>
    <w:rsid w:val="000131E3"/>
    <w:rsid w:val="000133E6"/>
    <w:rsid w:val="0001354D"/>
    <w:rsid w:val="00013612"/>
    <w:rsid w:val="00013626"/>
    <w:rsid w:val="000136F5"/>
    <w:rsid w:val="000138D6"/>
    <w:rsid w:val="00013982"/>
    <w:rsid w:val="00013D79"/>
    <w:rsid w:val="00013E07"/>
    <w:rsid w:val="00013F32"/>
    <w:rsid w:val="0001408B"/>
    <w:rsid w:val="000140EF"/>
    <w:rsid w:val="000142BD"/>
    <w:rsid w:val="00014766"/>
    <w:rsid w:val="00014AB5"/>
    <w:rsid w:val="00014BD0"/>
    <w:rsid w:val="00014EBC"/>
    <w:rsid w:val="00015003"/>
    <w:rsid w:val="0001513A"/>
    <w:rsid w:val="00015247"/>
    <w:rsid w:val="00015284"/>
    <w:rsid w:val="000152AA"/>
    <w:rsid w:val="00015493"/>
    <w:rsid w:val="000155A0"/>
    <w:rsid w:val="000158E3"/>
    <w:rsid w:val="00015C10"/>
    <w:rsid w:val="00015D59"/>
    <w:rsid w:val="00015E6C"/>
    <w:rsid w:val="00015F2C"/>
    <w:rsid w:val="00016011"/>
    <w:rsid w:val="0001607C"/>
    <w:rsid w:val="0001616B"/>
    <w:rsid w:val="00016661"/>
    <w:rsid w:val="00016726"/>
    <w:rsid w:val="00016746"/>
    <w:rsid w:val="000167FF"/>
    <w:rsid w:val="000168DB"/>
    <w:rsid w:val="00016983"/>
    <w:rsid w:val="00016B25"/>
    <w:rsid w:val="00016B87"/>
    <w:rsid w:val="00016CEA"/>
    <w:rsid w:val="00016F62"/>
    <w:rsid w:val="00016F98"/>
    <w:rsid w:val="00016F99"/>
    <w:rsid w:val="00016FA3"/>
    <w:rsid w:val="00017035"/>
    <w:rsid w:val="0001705E"/>
    <w:rsid w:val="000170D9"/>
    <w:rsid w:val="0001713A"/>
    <w:rsid w:val="0001718D"/>
    <w:rsid w:val="00017256"/>
    <w:rsid w:val="0001728A"/>
    <w:rsid w:val="00017429"/>
    <w:rsid w:val="00017470"/>
    <w:rsid w:val="0001748D"/>
    <w:rsid w:val="000176FD"/>
    <w:rsid w:val="00017838"/>
    <w:rsid w:val="00017994"/>
    <w:rsid w:val="0001799E"/>
    <w:rsid w:val="00017C1A"/>
    <w:rsid w:val="0002009C"/>
    <w:rsid w:val="000200AD"/>
    <w:rsid w:val="000201C5"/>
    <w:rsid w:val="000202A0"/>
    <w:rsid w:val="000202B2"/>
    <w:rsid w:val="00020509"/>
    <w:rsid w:val="00020528"/>
    <w:rsid w:val="0002060A"/>
    <w:rsid w:val="00020649"/>
    <w:rsid w:val="000207A5"/>
    <w:rsid w:val="0002080B"/>
    <w:rsid w:val="000208F4"/>
    <w:rsid w:val="0002090F"/>
    <w:rsid w:val="00020B5E"/>
    <w:rsid w:val="00020C34"/>
    <w:rsid w:val="00020C5E"/>
    <w:rsid w:val="00020D63"/>
    <w:rsid w:val="00020D65"/>
    <w:rsid w:val="00020DAC"/>
    <w:rsid w:val="0002104E"/>
    <w:rsid w:val="000210F9"/>
    <w:rsid w:val="000213A6"/>
    <w:rsid w:val="00021407"/>
    <w:rsid w:val="00021771"/>
    <w:rsid w:val="000217AA"/>
    <w:rsid w:val="000218FC"/>
    <w:rsid w:val="0002196B"/>
    <w:rsid w:val="0002199D"/>
    <w:rsid w:val="000219CD"/>
    <w:rsid w:val="00021CF7"/>
    <w:rsid w:val="00021E6B"/>
    <w:rsid w:val="00021FA4"/>
    <w:rsid w:val="0002200E"/>
    <w:rsid w:val="000220BF"/>
    <w:rsid w:val="000222B1"/>
    <w:rsid w:val="000222C0"/>
    <w:rsid w:val="00022329"/>
    <w:rsid w:val="00022375"/>
    <w:rsid w:val="0002265E"/>
    <w:rsid w:val="00022720"/>
    <w:rsid w:val="00022819"/>
    <w:rsid w:val="0002283A"/>
    <w:rsid w:val="000228BC"/>
    <w:rsid w:val="00022AC8"/>
    <w:rsid w:val="00022B1B"/>
    <w:rsid w:val="00022D87"/>
    <w:rsid w:val="00022DF0"/>
    <w:rsid w:val="00022DF9"/>
    <w:rsid w:val="00022E47"/>
    <w:rsid w:val="00022EDD"/>
    <w:rsid w:val="00022F00"/>
    <w:rsid w:val="00022F05"/>
    <w:rsid w:val="00022F62"/>
    <w:rsid w:val="00023084"/>
    <w:rsid w:val="000230CC"/>
    <w:rsid w:val="000230E5"/>
    <w:rsid w:val="0002325B"/>
    <w:rsid w:val="0002327B"/>
    <w:rsid w:val="000233A7"/>
    <w:rsid w:val="00023453"/>
    <w:rsid w:val="00023595"/>
    <w:rsid w:val="00023666"/>
    <w:rsid w:val="00023761"/>
    <w:rsid w:val="000237FB"/>
    <w:rsid w:val="000238BB"/>
    <w:rsid w:val="000238DF"/>
    <w:rsid w:val="00023913"/>
    <w:rsid w:val="00023946"/>
    <w:rsid w:val="00023A9C"/>
    <w:rsid w:val="00023B53"/>
    <w:rsid w:val="00023CF9"/>
    <w:rsid w:val="00024273"/>
    <w:rsid w:val="0002441F"/>
    <w:rsid w:val="0002449F"/>
    <w:rsid w:val="0002467A"/>
    <w:rsid w:val="00024793"/>
    <w:rsid w:val="00024805"/>
    <w:rsid w:val="00024B8A"/>
    <w:rsid w:val="00024C61"/>
    <w:rsid w:val="00024F57"/>
    <w:rsid w:val="00025012"/>
    <w:rsid w:val="000250F1"/>
    <w:rsid w:val="0002526B"/>
    <w:rsid w:val="000252A2"/>
    <w:rsid w:val="0002592E"/>
    <w:rsid w:val="00025965"/>
    <w:rsid w:val="00025A39"/>
    <w:rsid w:val="00025B28"/>
    <w:rsid w:val="00025B5F"/>
    <w:rsid w:val="00025CBA"/>
    <w:rsid w:val="00025E87"/>
    <w:rsid w:val="00025FC3"/>
    <w:rsid w:val="00026004"/>
    <w:rsid w:val="0002614D"/>
    <w:rsid w:val="00026284"/>
    <w:rsid w:val="000264D1"/>
    <w:rsid w:val="00026577"/>
    <w:rsid w:val="0002683F"/>
    <w:rsid w:val="00026956"/>
    <w:rsid w:val="00026ABF"/>
    <w:rsid w:val="00026CB3"/>
    <w:rsid w:val="00026CFB"/>
    <w:rsid w:val="00026E31"/>
    <w:rsid w:val="00026E94"/>
    <w:rsid w:val="00026F9F"/>
    <w:rsid w:val="00026FD5"/>
    <w:rsid w:val="000271DA"/>
    <w:rsid w:val="000271F5"/>
    <w:rsid w:val="000272F4"/>
    <w:rsid w:val="000273A1"/>
    <w:rsid w:val="0002748C"/>
    <w:rsid w:val="00027615"/>
    <w:rsid w:val="00027629"/>
    <w:rsid w:val="0002764E"/>
    <w:rsid w:val="000276CD"/>
    <w:rsid w:val="0002770E"/>
    <w:rsid w:val="000278C5"/>
    <w:rsid w:val="0002795C"/>
    <w:rsid w:val="00027982"/>
    <w:rsid w:val="000279BB"/>
    <w:rsid w:val="00027C57"/>
    <w:rsid w:val="00027CA0"/>
    <w:rsid w:val="00027E4E"/>
    <w:rsid w:val="00027FAD"/>
    <w:rsid w:val="000301E3"/>
    <w:rsid w:val="000302EC"/>
    <w:rsid w:val="000303D0"/>
    <w:rsid w:val="0003063B"/>
    <w:rsid w:val="000306F1"/>
    <w:rsid w:val="000307C8"/>
    <w:rsid w:val="00030938"/>
    <w:rsid w:val="00030A06"/>
    <w:rsid w:val="00030C9C"/>
    <w:rsid w:val="00030EBD"/>
    <w:rsid w:val="00030EDA"/>
    <w:rsid w:val="0003110C"/>
    <w:rsid w:val="00031118"/>
    <w:rsid w:val="000311F9"/>
    <w:rsid w:val="00031551"/>
    <w:rsid w:val="000315B0"/>
    <w:rsid w:val="0003170C"/>
    <w:rsid w:val="00031765"/>
    <w:rsid w:val="000318CD"/>
    <w:rsid w:val="00031AB4"/>
    <w:rsid w:val="00031ED8"/>
    <w:rsid w:val="00031EDB"/>
    <w:rsid w:val="00031F65"/>
    <w:rsid w:val="00031FAD"/>
    <w:rsid w:val="00032008"/>
    <w:rsid w:val="00032027"/>
    <w:rsid w:val="000321D5"/>
    <w:rsid w:val="00032449"/>
    <w:rsid w:val="00032482"/>
    <w:rsid w:val="00032742"/>
    <w:rsid w:val="000329D7"/>
    <w:rsid w:val="00032AD6"/>
    <w:rsid w:val="00032B4F"/>
    <w:rsid w:val="00032B73"/>
    <w:rsid w:val="00032C90"/>
    <w:rsid w:val="00032E19"/>
    <w:rsid w:val="00032E27"/>
    <w:rsid w:val="0003306F"/>
    <w:rsid w:val="00033180"/>
    <w:rsid w:val="0003339F"/>
    <w:rsid w:val="00033587"/>
    <w:rsid w:val="0003360E"/>
    <w:rsid w:val="00033674"/>
    <w:rsid w:val="00033781"/>
    <w:rsid w:val="0003383F"/>
    <w:rsid w:val="00033BA3"/>
    <w:rsid w:val="00033C63"/>
    <w:rsid w:val="00033D8F"/>
    <w:rsid w:val="00033E74"/>
    <w:rsid w:val="00033EC4"/>
    <w:rsid w:val="00033F07"/>
    <w:rsid w:val="00034050"/>
    <w:rsid w:val="0003405E"/>
    <w:rsid w:val="00034104"/>
    <w:rsid w:val="000343F5"/>
    <w:rsid w:val="00034519"/>
    <w:rsid w:val="000348C5"/>
    <w:rsid w:val="00034990"/>
    <w:rsid w:val="00034A9D"/>
    <w:rsid w:val="00034ABA"/>
    <w:rsid w:val="00034CCA"/>
    <w:rsid w:val="00034CE9"/>
    <w:rsid w:val="00035097"/>
    <w:rsid w:val="00035245"/>
    <w:rsid w:val="00035295"/>
    <w:rsid w:val="0003537C"/>
    <w:rsid w:val="00035396"/>
    <w:rsid w:val="0003540D"/>
    <w:rsid w:val="0003545B"/>
    <w:rsid w:val="000354E2"/>
    <w:rsid w:val="0003552E"/>
    <w:rsid w:val="0003563C"/>
    <w:rsid w:val="000359BB"/>
    <w:rsid w:val="00035A5C"/>
    <w:rsid w:val="00035C15"/>
    <w:rsid w:val="00035D1F"/>
    <w:rsid w:val="00035D79"/>
    <w:rsid w:val="00035DD1"/>
    <w:rsid w:val="00035F34"/>
    <w:rsid w:val="00036032"/>
    <w:rsid w:val="000361A2"/>
    <w:rsid w:val="000361AE"/>
    <w:rsid w:val="00036501"/>
    <w:rsid w:val="0003651C"/>
    <w:rsid w:val="00036523"/>
    <w:rsid w:val="000365B9"/>
    <w:rsid w:val="0003667B"/>
    <w:rsid w:val="000367B1"/>
    <w:rsid w:val="0003681A"/>
    <w:rsid w:val="00036AD9"/>
    <w:rsid w:val="00036B3A"/>
    <w:rsid w:val="00036B72"/>
    <w:rsid w:val="00036C01"/>
    <w:rsid w:val="00036CAB"/>
    <w:rsid w:val="00036DF3"/>
    <w:rsid w:val="00036E77"/>
    <w:rsid w:val="00036F12"/>
    <w:rsid w:val="00036F73"/>
    <w:rsid w:val="00036F9B"/>
    <w:rsid w:val="00036FE9"/>
    <w:rsid w:val="0003700D"/>
    <w:rsid w:val="00037014"/>
    <w:rsid w:val="000370B9"/>
    <w:rsid w:val="00037146"/>
    <w:rsid w:val="00037172"/>
    <w:rsid w:val="000372B1"/>
    <w:rsid w:val="00037466"/>
    <w:rsid w:val="000376AA"/>
    <w:rsid w:val="000378B0"/>
    <w:rsid w:val="0003798E"/>
    <w:rsid w:val="000379E8"/>
    <w:rsid w:val="00037A14"/>
    <w:rsid w:val="00037B59"/>
    <w:rsid w:val="00037C22"/>
    <w:rsid w:val="00037C8D"/>
    <w:rsid w:val="00037CD9"/>
    <w:rsid w:val="00037E5C"/>
    <w:rsid w:val="00037FAB"/>
    <w:rsid w:val="00040172"/>
    <w:rsid w:val="000402BF"/>
    <w:rsid w:val="00040380"/>
    <w:rsid w:val="000404E7"/>
    <w:rsid w:val="00040964"/>
    <w:rsid w:val="000409E1"/>
    <w:rsid w:val="00040E7F"/>
    <w:rsid w:val="00041275"/>
    <w:rsid w:val="000412D6"/>
    <w:rsid w:val="0004133D"/>
    <w:rsid w:val="00041409"/>
    <w:rsid w:val="00041466"/>
    <w:rsid w:val="00041523"/>
    <w:rsid w:val="000415BA"/>
    <w:rsid w:val="0004160F"/>
    <w:rsid w:val="00041646"/>
    <w:rsid w:val="000417EF"/>
    <w:rsid w:val="000419DE"/>
    <w:rsid w:val="00041F8B"/>
    <w:rsid w:val="000422EE"/>
    <w:rsid w:val="00042301"/>
    <w:rsid w:val="000425D1"/>
    <w:rsid w:val="00042608"/>
    <w:rsid w:val="00042621"/>
    <w:rsid w:val="000426F6"/>
    <w:rsid w:val="000428A4"/>
    <w:rsid w:val="00042968"/>
    <w:rsid w:val="000429AA"/>
    <w:rsid w:val="00042A8C"/>
    <w:rsid w:val="00042BDE"/>
    <w:rsid w:val="00043025"/>
    <w:rsid w:val="000430DD"/>
    <w:rsid w:val="000430EE"/>
    <w:rsid w:val="000431E2"/>
    <w:rsid w:val="0004357F"/>
    <w:rsid w:val="00043604"/>
    <w:rsid w:val="000436FB"/>
    <w:rsid w:val="000437D5"/>
    <w:rsid w:val="000437E1"/>
    <w:rsid w:val="00043855"/>
    <w:rsid w:val="00043896"/>
    <w:rsid w:val="00043950"/>
    <w:rsid w:val="00043F3D"/>
    <w:rsid w:val="0004406E"/>
    <w:rsid w:val="00044189"/>
    <w:rsid w:val="0004440B"/>
    <w:rsid w:val="000445C5"/>
    <w:rsid w:val="000448E8"/>
    <w:rsid w:val="000449D7"/>
    <w:rsid w:val="00044A02"/>
    <w:rsid w:val="00044A56"/>
    <w:rsid w:val="00044B7A"/>
    <w:rsid w:val="00044B82"/>
    <w:rsid w:val="00044C55"/>
    <w:rsid w:val="00044D1C"/>
    <w:rsid w:val="00044EF6"/>
    <w:rsid w:val="00044F97"/>
    <w:rsid w:val="00045242"/>
    <w:rsid w:val="00045511"/>
    <w:rsid w:val="000455D9"/>
    <w:rsid w:val="00045601"/>
    <w:rsid w:val="00045637"/>
    <w:rsid w:val="0004577F"/>
    <w:rsid w:val="000458C6"/>
    <w:rsid w:val="00045B9B"/>
    <w:rsid w:val="00045D9D"/>
    <w:rsid w:val="00045E9E"/>
    <w:rsid w:val="00046169"/>
    <w:rsid w:val="00046179"/>
    <w:rsid w:val="000462F2"/>
    <w:rsid w:val="00046372"/>
    <w:rsid w:val="0004640B"/>
    <w:rsid w:val="0004662E"/>
    <w:rsid w:val="00046771"/>
    <w:rsid w:val="000468EC"/>
    <w:rsid w:val="000468FD"/>
    <w:rsid w:val="00046900"/>
    <w:rsid w:val="00046A56"/>
    <w:rsid w:val="00046ADC"/>
    <w:rsid w:val="00046B2E"/>
    <w:rsid w:val="00046BCB"/>
    <w:rsid w:val="00046BE7"/>
    <w:rsid w:val="00046CB8"/>
    <w:rsid w:val="00046D28"/>
    <w:rsid w:val="00046D47"/>
    <w:rsid w:val="00046D72"/>
    <w:rsid w:val="0004703B"/>
    <w:rsid w:val="000470E4"/>
    <w:rsid w:val="000470FD"/>
    <w:rsid w:val="0004711D"/>
    <w:rsid w:val="0004714A"/>
    <w:rsid w:val="0004715B"/>
    <w:rsid w:val="000471A2"/>
    <w:rsid w:val="000471B7"/>
    <w:rsid w:val="000472C2"/>
    <w:rsid w:val="0004740E"/>
    <w:rsid w:val="00047647"/>
    <w:rsid w:val="000476A0"/>
    <w:rsid w:val="000477BB"/>
    <w:rsid w:val="000478BF"/>
    <w:rsid w:val="00047A12"/>
    <w:rsid w:val="00047A56"/>
    <w:rsid w:val="00047D3E"/>
    <w:rsid w:val="00050022"/>
    <w:rsid w:val="000500D1"/>
    <w:rsid w:val="00050179"/>
    <w:rsid w:val="0005043A"/>
    <w:rsid w:val="00050484"/>
    <w:rsid w:val="00050820"/>
    <w:rsid w:val="000508A7"/>
    <w:rsid w:val="000509F0"/>
    <w:rsid w:val="00050C36"/>
    <w:rsid w:val="00051259"/>
    <w:rsid w:val="00051496"/>
    <w:rsid w:val="00051624"/>
    <w:rsid w:val="00051720"/>
    <w:rsid w:val="000517C5"/>
    <w:rsid w:val="00051A18"/>
    <w:rsid w:val="00051D58"/>
    <w:rsid w:val="00051E46"/>
    <w:rsid w:val="00051E8C"/>
    <w:rsid w:val="00051F2B"/>
    <w:rsid w:val="000520D7"/>
    <w:rsid w:val="000523B5"/>
    <w:rsid w:val="00052461"/>
    <w:rsid w:val="000525AD"/>
    <w:rsid w:val="00052655"/>
    <w:rsid w:val="00052770"/>
    <w:rsid w:val="00052796"/>
    <w:rsid w:val="000527B3"/>
    <w:rsid w:val="0005284B"/>
    <w:rsid w:val="00052853"/>
    <w:rsid w:val="000528B2"/>
    <w:rsid w:val="0005298B"/>
    <w:rsid w:val="00052ADC"/>
    <w:rsid w:val="00052D80"/>
    <w:rsid w:val="00052D96"/>
    <w:rsid w:val="00052E12"/>
    <w:rsid w:val="000532A7"/>
    <w:rsid w:val="000533D3"/>
    <w:rsid w:val="00053570"/>
    <w:rsid w:val="00053715"/>
    <w:rsid w:val="000538DE"/>
    <w:rsid w:val="00053950"/>
    <w:rsid w:val="000539A4"/>
    <w:rsid w:val="00053BDB"/>
    <w:rsid w:val="00053CC9"/>
    <w:rsid w:val="00053D9B"/>
    <w:rsid w:val="00053E17"/>
    <w:rsid w:val="00053ED7"/>
    <w:rsid w:val="000540E3"/>
    <w:rsid w:val="00054106"/>
    <w:rsid w:val="00054160"/>
    <w:rsid w:val="0005430D"/>
    <w:rsid w:val="00054495"/>
    <w:rsid w:val="00054558"/>
    <w:rsid w:val="0005460B"/>
    <w:rsid w:val="00054675"/>
    <w:rsid w:val="000546E3"/>
    <w:rsid w:val="00054749"/>
    <w:rsid w:val="00054971"/>
    <w:rsid w:val="00054A39"/>
    <w:rsid w:val="00054BA7"/>
    <w:rsid w:val="00054BDD"/>
    <w:rsid w:val="00054C98"/>
    <w:rsid w:val="00054CD8"/>
    <w:rsid w:val="0005515D"/>
    <w:rsid w:val="0005539B"/>
    <w:rsid w:val="000554F1"/>
    <w:rsid w:val="000555C6"/>
    <w:rsid w:val="0005568B"/>
    <w:rsid w:val="0005569A"/>
    <w:rsid w:val="000556D6"/>
    <w:rsid w:val="00055845"/>
    <w:rsid w:val="000558A6"/>
    <w:rsid w:val="00055B73"/>
    <w:rsid w:val="00055D58"/>
    <w:rsid w:val="00055E55"/>
    <w:rsid w:val="00055FA3"/>
    <w:rsid w:val="000561B8"/>
    <w:rsid w:val="000563AC"/>
    <w:rsid w:val="000563C9"/>
    <w:rsid w:val="00056569"/>
    <w:rsid w:val="00056637"/>
    <w:rsid w:val="00056A3B"/>
    <w:rsid w:val="00056BE1"/>
    <w:rsid w:val="00056C35"/>
    <w:rsid w:val="00056D04"/>
    <w:rsid w:val="00056DA1"/>
    <w:rsid w:val="00056EFF"/>
    <w:rsid w:val="00056FBB"/>
    <w:rsid w:val="00057090"/>
    <w:rsid w:val="00057114"/>
    <w:rsid w:val="000571DF"/>
    <w:rsid w:val="000574A4"/>
    <w:rsid w:val="00057996"/>
    <w:rsid w:val="000600B1"/>
    <w:rsid w:val="000600C1"/>
    <w:rsid w:val="000600F5"/>
    <w:rsid w:val="000601CC"/>
    <w:rsid w:val="00060209"/>
    <w:rsid w:val="000602C2"/>
    <w:rsid w:val="000603AB"/>
    <w:rsid w:val="000603DF"/>
    <w:rsid w:val="0006073D"/>
    <w:rsid w:val="000607A1"/>
    <w:rsid w:val="00060922"/>
    <w:rsid w:val="00060B21"/>
    <w:rsid w:val="00060BD9"/>
    <w:rsid w:val="00060D21"/>
    <w:rsid w:val="000610F5"/>
    <w:rsid w:val="0006110F"/>
    <w:rsid w:val="000611D8"/>
    <w:rsid w:val="00061253"/>
    <w:rsid w:val="00061739"/>
    <w:rsid w:val="00061816"/>
    <w:rsid w:val="0006183A"/>
    <w:rsid w:val="000618DC"/>
    <w:rsid w:val="0006192B"/>
    <w:rsid w:val="00061A56"/>
    <w:rsid w:val="00061AA5"/>
    <w:rsid w:val="00061EBC"/>
    <w:rsid w:val="00061F51"/>
    <w:rsid w:val="00061F58"/>
    <w:rsid w:val="000620E1"/>
    <w:rsid w:val="00062113"/>
    <w:rsid w:val="000621E2"/>
    <w:rsid w:val="000625D5"/>
    <w:rsid w:val="00062753"/>
    <w:rsid w:val="000627B1"/>
    <w:rsid w:val="00062920"/>
    <w:rsid w:val="000629E5"/>
    <w:rsid w:val="00062A13"/>
    <w:rsid w:val="00062A74"/>
    <w:rsid w:val="00062C2F"/>
    <w:rsid w:val="00062C40"/>
    <w:rsid w:val="00062C6A"/>
    <w:rsid w:val="00062CA6"/>
    <w:rsid w:val="00062DE4"/>
    <w:rsid w:val="00062ED6"/>
    <w:rsid w:val="00063073"/>
    <w:rsid w:val="00063087"/>
    <w:rsid w:val="00063088"/>
    <w:rsid w:val="00063267"/>
    <w:rsid w:val="00063373"/>
    <w:rsid w:val="00063397"/>
    <w:rsid w:val="0006375C"/>
    <w:rsid w:val="00063773"/>
    <w:rsid w:val="000638C8"/>
    <w:rsid w:val="00063DDD"/>
    <w:rsid w:val="00063E16"/>
    <w:rsid w:val="00064156"/>
    <w:rsid w:val="00064237"/>
    <w:rsid w:val="0006432B"/>
    <w:rsid w:val="00064596"/>
    <w:rsid w:val="00064781"/>
    <w:rsid w:val="0006480F"/>
    <w:rsid w:val="000649E3"/>
    <w:rsid w:val="00064B1A"/>
    <w:rsid w:val="00064B8D"/>
    <w:rsid w:val="00064C05"/>
    <w:rsid w:val="00064E26"/>
    <w:rsid w:val="00064E86"/>
    <w:rsid w:val="00064F16"/>
    <w:rsid w:val="00065004"/>
    <w:rsid w:val="0006516F"/>
    <w:rsid w:val="000651AF"/>
    <w:rsid w:val="00065266"/>
    <w:rsid w:val="000653A2"/>
    <w:rsid w:val="0006546D"/>
    <w:rsid w:val="000655C1"/>
    <w:rsid w:val="00065600"/>
    <w:rsid w:val="00065722"/>
    <w:rsid w:val="00065751"/>
    <w:rsid w:val="000659E3"/>
    <w:rsid w:val="00065AAB"/>
    <w:rsid w:val="00065C29"/>
    <w:rsid w:val="00065C33"/>
    <w:rsid w:val="00065FE8"/>
    <w:rsid w:val="0006608B"/>
    <w:rsid w:val="000660C0"/>
    <w:rsid w:val="000660C7"/>
    <w:rsid w:val="00066617"/>
    <w:rsid w:val="0006690F"/>
    <w:rsid w:val="00066987"/>
    <w:rsid w:val="00066B3E"/>
    <w:rsid w:val="00066B83"/>
    <w:rsid w:val="00066C20"/>
    <w:rsid w:val="00066CCD"/>
    <w:rsid w:val="00066E43"/>
    <w:rsid w:val="00067018"/>
    <w:rsid w:val="000670DA"/>
    <w:rsid w:val="00067211"/>
    <w:rsid w:val="00067214"/>
    <w:rsid w:val="0006727B"/>
    <w:rsid w:val="00067371"/>
    <w:rsid w:val="00067394"/>
    <w:rsid w:val="000673BC"/>
    <w:rsid w:val="00067433"/>
    <w:rsid w:val="000674BF"/>
    <w:rsid w:val="00067726"/>
    <w:rsid w:val="000677B9"/>
    <w:rsid w:val="00067922"/>
    <w:rsid w:val="0006792C"/>
    <w:rsid w:val="00067ACD"/>
    <w:rsid w:val="00067CE3"/>
    <w:rsid w:val="00067D5A"/>
    <w:rsid w:val="00067D6B"/>
    <w:rsid w:val="00067DB8"/>
    <w:rsid w:val="00067F74"/>
    <w:rsid w:val="00070081"/>
    <w:rsid w:val="000700EE"/>
    <w:rsid w:val="00070147"/>
    <w:rsid w:val="00070148"/>
    <w:rsid w:val="000701CA"/>
    <w:rsid w:val="00070305"/>
    <w:rsid w:val="000703E4"/>
    <w:rsid w:val="000708B4"/>
    <w:rsid w:val="0007094C"/>
    <w:rsid w:val="00070966"/>
    <w:rsid w:val="00070986"/>
    <w:rsid w:val="00070A75"/>
    <w:rsid w:val="00070A85"/>
    <w:rsid w:val="00070D3E"/>
    <w:rsid w:val="00070FBC"/>
    <w:rsid w:val="00070FC7"/>
    <w:rsid w:val="00071130"/>
    <w:rsid w:val="0007114D"/>
    <w:rsid w:val="000711C3"/>
    <w:rsid w:val="000711D9"/>
    <w:rsid w:val="000711E1"/>
    <w:rsid w:val="00071254"/>
    <w:rsid w:val="00071292"/>
    <w:rsid w:val="000712F0"/>
    <w:rsid w:val="000714F4"/>
    <w:rsid w:val="00071567"/>
    <w:rsid w:val="00071589"/>
    <w:rsid w:val="00071768"/>
    <w:rsid w:val="00071A7C"/>
    <w:rsid w:val="00071AC8"/>
    <w:rsid w:val="00071AF7"/>
    <w:rsid w:val="00071B54"/>
    <w:rsid w:val="00071B9B"/>
    <w:rsid w:val="00071CDF"/>
    <w:rsid w:val="00071E0A"/>
    <w:rsid w:val="00071EBA"/>
    <w:rsid w:val="00072098"/>
    <w:rsid w:val="0007220C"/>
    <w:rsid w:val="00072420"/>
    <w:rsid w:val="000727EB"/>
    <w:rsid w:val="000727FD"/>
    <w:rsid w:val="00072839"/>
    <w:rsid w:val="0007295F"/>
    <w:rsid w:val="00072973"/>
    <w:rsid w:val="00072C0B"/>
    <w:rsid w:val="00072C6F"/>
    <w:rsid w:val="00072E5B"/>
    <w:rsid w:val="00072E6B"/>
    <w:rsid w:val="00072F84"/>
    <w:rsid w:val="00072FDD"/>
    <w:rsid w:val="00072FE6"/>
    <w:rsid w:val="0007300B"/>
    <w:rsid w:val="00073137"/>
    <w:rsid w:val="000732C3"/>
    <w:rsid w:val="0007342D"/>
    <w:rsid w:val="0007343D"/>
    <w:rsid w:val="000734A5"/>
    <w:rsid w:val="000735B2"/>
    <w:rsid w:val="00073735"/>
    <w:rsid w:val="000737E1"/>
    <w:rsid w:val="00073AAD"/>
    <w:rsid w:val="00073AEB"/>
    <w:rsid w:val="00073CAD"/>
    <w:rsid w:val="00073D4D"/>
    <w:rsid w:val="00073E49"/>
    <w:rsid w:val="00073F5E"/>
    <w:rsid w:val="00074085"/>
    <w:rsid w:val="000740D0"/>
    <w:rsid w:val="000742B2"/>
    <w:rsid w:val="00074346"/>
    <w:rsid w:val="000745F5"/>
    <w:rsid w:val="00074865"/>
    <w:rsid w:val="0007499C"/>
    <w:rsid w:val="00074A23"/>
    <w:rsid w:val="00074C6F"/>
    <w:rsid w:val="00074CEB"/>
    <w:rsid w:val="00074EC3"/>
    <w:rsid w:val="00074FD7"/>
    <w:rsid w:val="00075056"/>
    <w:rsid w:val="00075258"/>
    <w:rsid w:val="00075512"/>
    <w:rsid w:val="00075547"/>
    <w:rsid w:val="000758C7"/>
    <w:rsid w:val="00075A33"/>
    <w:rsid w:val="00075D44"/>
    <w:rsid w:val="00075E34"/>
    <w:rsid w:val="00075FBE"/>
    <w:rsid w:val="00076037"/>
    <w:rsid w:val="00076173"/>
    <w:rsid w:val="00076292"/>
    <w:rsid w:val="00076528"/>
    <w:rsid w:val="00076564"/>
    <w:rsid w:val="00076586"/>
    <w:rsid w:val="000769C5"/>
    <w:rsid w:val="00076BC9"/>
    <w:rsid w:val="00076D31"/>
    <w:rsid w:val="00076E74"/>
    <w:rsid w:val="00077027"/>
    <w:rsid w:val="000772C3"/>
    <w:rsid w:val="00077440"/>
    <w:rsid w:val="0007751F"/>
    <w:rsid w:val="00077558"/>
    <w:rsid w:val="0007761B"/>
    <w:rsid w:val="000777C6"/>
    <w:rsid w:val="000777E5"/>
    <w:rsid w:val="0007785E"/>
    <w:rsid w:val="0007791A"/>
    <w:rsid w:val="00077937"/>
    <w:rsid w:val="00077B8C"/>
    <w:rsid w:val="00077C48"/>
    <w:rsid w:val="00077D1F"/>
    <w:rsid w:val="00077E58"/>
    <w:rsid w:val="00080046"/>
    <w:rsid w:val="00080088"/>
    <w:rsid w:val="0008008C"/>
    <w:rsid w:val="00080702"/>
    <w:rsid w:val="00080740"/>
    <w:rsid w:val="00080979"/>
    <w:rsid w:val="00080E5C"/>
    <w:rsid w:val="00080F1B"/>
    <w:rsid w:val="000810C0"/>
    <w:rsid w:val="00081112"/>
    <w:rsid w:val="0008130F"/>
    <w:rsid w:val="00081470"/>
    <w:rsid w:val="000814B0"/>
    <w:rsid w:val="00081698"/>
    <w:rsid w:val="000816FD"/>
    <w:rsid w:val="00081721"/>
    <w:rsid w:val="00081915"/>
    <w:rsid w:val="000819C6"/>
    <w:rsid w:val="00081A5C"/>
    <w:rsid w:val="00081AD9"/>
    <w:rsid w:val="00081B39"/>
    <w:rsid w:val="00081B85"/>
    <w:rsid w:val="00081C62"/>
    <w:rsid w:val="00081CB1"/>
    <w:rsid w:val="00081CE7"/>
    <w:rsid w:val="00081D2C"/>
    <w:rsid w:val="00081E4B"/>
    <w:rsid w:val="00082155"/>
    <w:rsid w:val="000822DC"/>
    <w:rsid w:val="00082397"/>
    <w:rsid w:val="00082560"/>
    <w:rsid w:val="000825B6"/>
    <w:rsid w:val="00082688"/>
    <w:rsid w:val="0008276E"/>
    <w:rsid w:val="0008278E"/>
    <w:rsid w:val="000828DC"/>
    <w:rsid w:val="000829BD"/>
    <w:rsid w:val="000829DB"/>
    <w:rsid w:val="00082ABF"/>
    <w:rsid w:val="00082CEA"/>
    <w:rsid w:val="00082CF3"/>
    <w:rsid w:val="00082F98"/>
    <w:rsid w:val="000830C7"/>
    <w:rsid w:val="00083420"/>
    <w:rsid w:val="00083529"/>
    <w:rsid w:val="000836C1"/>
    <w:rsid w:val="00083720"/>
    <w:rsid w:val="0008372A"/>
    <w:rsid w:val="0008372C"/>
    <w:rsid w:val="000838BD"/>
    <w:rsid w:val="000838F4"/>
    <w:rsid w:val="00083A06"/>
    <w:rsid w:val="00083C0A"/>
    <w:rsid w:val="00083C9B"/>
    <w:rsid w:val="00083F4E"/>
    <w:rsid w:val="0008409B"/>
    <w:rsid w:val="000842C1"/>
    <w:rsid w:val="000842C9"/>
    <w:rsid w:val="00084470"/>
    <w:rsid w:val="0008447D"/>
    <w:rsid w:val="00084672"/>
    <w:rsid w:val="000846B5"/>
    <w:rsid w:val="0008470E"/>
    <w:rsid w:val="000848A8"/>
    <w:rsid w:val="00084AD6"/>
    <w:rsid w:val="00084B84"/>
    <w:rsid w:val="00084D4C"/>
    <w:rsid w:val="00084DC9"/>
    <w:rsid w:val="00084F3B"/>
    <w:rsid w:val="00084F53"/>
    <w:rsid w:val="00084FD5"/>
    <w:rsid w:val="0008507A"/>
    <w:rsid w:val="00085162"/>
    <w:rsid w:val="0008526A"/>
    <w:rsid w:val="0008527B"/>
    <w:rsid w:val="00085355"/>
    <w:rsid w:val="00085365"/>
    <w:rsid w:val="00085451"/>
    <w:rsid w:val="000856B0"/>
    <w:rsid w:val="000856D5"/>
    <w:rsid w:val="00085797"/>
    <w:rsid w:val="00085D03"/>
    <w:rsid w:val="00085E15"/>
    <w:rsid w:val="00085F33"/>
    <w:rsid w:val="0008612A"/>
    <w:rsid w:val="00086130"/>
    <w:rsid w:val="000863E5"/>
    <w:rsid w:val="00086563"/>
    <w:rsid w:val="0008661A"/>
    <w:rsid w:val="000867DA"/>
    <w:rsid w:val="00086885"/>
    <w:rsid w:val="00086DDE"/>
    <w:rsid w:val="00086EDB"/>
    <w:rsid w:val="000875A9"/>
    <w:rsid w:val="00087631"/>
    <w:rsid w:val="000876CA"/>
    <w:rsid w:val="000877DD"/>
    <w:rsid w:val="0008782E"/>
    <w:rsid w:val="00087940"/>
    <w:rsid w:val="000879B5"/>
    <w:rsid w:val="00087A7B"/>
    <w:rsid w:val="00087AFB"/>
    <w:rsid w:val="00087BA2"/>
    <w:rsid w:val="00087C9B"/>
    <w:rsid w:val="00087CE4"/>
    <w:rsid w:val="00087CF6"/>
    <w:rsid w:val="00087F2A"/>
    <w:rsid w:val="000900A8"/>
    <w:rsid w:val="000903B7"/>
    <w:rsid w:val="00090439"/>
    <w:rsid w:val="0009065E"/>
    <w:rsid w:val="00090677"/>
    <w:rsid w:val="0009068A"/>
    <w:rsid w:val="000906E2"/>
    <w:rsid w:val="00090702"/>
    <w:rsid w:val="00090ED9"/>
    <w:rsid w:val="00090EDD"/>
    <w:rsid w:val="00090FFC"/>
    <w:rsid w:val="000910CD"/>
    <w:rsid w:val="00091148"/>
    <w:rsid w:val="000911E0"/>
    <w:rsid w:val="00091222"/>
    <w:rsid w:val="00091327"/>
    <w:rsid w:val="00091385"/>
    <w:rsid w:val="00091428"/>
    <w:rsid w:val="000915B4"/>
    <w:rsid w:val="00091690"/>
    <w:rsid w:val="00091737"/>
    <w:rsid w:val="000919EE"/>
    <w:rsid w:val="00091A70"/>
    <w:rsid w:val="00091AE1"/>
    <w:rsid w:val="00091CBD"/>
    <w:rsid w:val="00091DAF"/>
    <w:rsid w:val="00091E8D"/>
    <w:rsid w:val="00092052"/>
    <w:rsid w:val="00092125"/>
    <w:rsid w:val="00092189"/>
    <w:rsid w:val="000921EC"/>
    <w:rsid w:val="0009232E"/>
    <w:rsid w:val="000924CF"/>
    <w:rsid w:val="0009262F"/>
    <w:rsid w:val="00092744"/>
    <w:rsid w:val="000928A3"/>
    <w:rsid w:val="00092914"/>
    <w:rsid w:val="00092AED"/>
    <w:rsid w:val="00092AF3"/>
    <w:rsid w:val="00092D15"/>
    <w:rsid w:val="00092E9C"/>
    <w:rsid w:val="00092FFF"/>
    <w:rsid w:val="0009310F"/>
    <w:rsid w:val="00093230"/>
    <w:rsid w:val="00093300"/>
    <w:rsid w:val="000933D0"/>
    <w:rsid w:val="000933E7"/>
    <w:rsid w:val="00093531"/>
    <w:rsid w:val="000936AD"/>
    <w:rsid w:val="000936C6"/>
    <w:rsid w:val="000936F4"/>
    <w:rsid w:val="0009389B"/>
    <w:rsid w:val="0009389F"/>
    <w:rsid w:val="00093AE6"/>
    <w:rsid w:val="00093B80"/>
    <w:rsid w:val="00093CDA"/>
    <w:rsid w:val="00094040"/>
    <w:rsid w:val="00094057"/>
    <w:rsid w:val="000940A5"/>
    <w:rsid w:val="0009443F"/>
    <w:rsid w:val="00094446"/>
    <w:rsid w:val="0009445B"/>
    <w:rsid w:val="00094583"/>
    <w:rsid w:val="0009458D"/>
    <w:rsid w:val="000945D0"/>
    <w:rsid w:val="000945DD"/>
    <w:rsid w:val="000945F8"/>
    <w:rsid w:val="00094643"/>
    <w:rsid w:val="000948D9"/>
    <w:rsid w:val="00094A1C"/>
    <w:rsid w:val="00094B78"/>
    <w:rsid w:val="00094B93"/>
    <w:rsid w:val="00094BBD"/>
    <w:rsid w:val="00094F85"/>
    <w:rsid w:val="00095041"/>
    <w:rsid w:val="0009504E"/>
    <w:rsid w:val="00095056"/>
    <w:rsid w:val="0009527B"/>
    <w:rsid w:val="0009550B"/>
    <w:rsid w:val="0009555D"/>
    <w:rsid w:val="00095566"/>
    <w:rsid w:val="0009557B"/>
    <w:rsid w:val="000955D9"/>
    <w:rsid w:val="00095847"/>
    <w:rsid w:val="00095900"/>
    <w:rsid w:val="00095946"/>
    <w:rsid w:val="000959C7"/>
    <w:rsid w:val="00095AE3"/>
    <w:rsid w:val="00095AFB"/>
    <w:rsid w:val="00095B4C"/>
    <w:rsid w:val="00095C3D"/>
    <w:rsid w:val="00095C71"/>
    <w:rsid w:val="00095CB3"/>
    <w:rsid w:val="00095D70"/>
    <w:rsid w:val="00095D7D"/>
    <w:rsid w:val="00095EB8"/>
    <w:rsid w:val="00095F8D"/>
    <w:rsid w:val="00096363"/>
    <w:rsid w:val="00096415"/>
    <w:rsid w:val="0009648F"/>
    <w:rsid w:val="000964CA"/>
    <w:rsid w:val="00096551"/>
    <w:rsid w:val="0009658D"/>
    <w:rsid w:val="000965A9"/>
    <w:rsid w:val="000966B9"/>
    <w:rsid w:val="0009681F"/>
    <w:rsid w:val="00096960"/>
    <w:rsid w:val="00096A1A"/>
    <w:rsid w:val="00096B23"/>
    <w:rsid w:val="00096C80"/>
    <w:rsid w:val="00096CBA"/>
    <w:rsid w:val="0009704C"/>
    <w:rsid w:val="000972D3"/>
    <w:rsid w:val="000974A1"/>
    <w:rsid w:val="000974C7"/>
    <w:rsid w:val="00097532"/>
    <w:rsid w:val="0009767D"/>
    <w:rsid w:val="00097766"/>
    <w:rsid w:val="00097963"/>
    <w:rsid w:val="00097B50"/>
    <w:rsid w:val="00097BCD"/>
    <w:rsid w:val="00097CB5"/>
    <w:rsid w:val="00097CF3"/>
    <w:rsid w:val="00097E32"/>
    <w:rsid w:val="00097FA6"/>
    <w:rsid w:val="00097FB4"/>
    <w:rsid w:val="000A0040"/>
    <w:rsid w:val="000A0457"/>
    <w:rsid w:val="000A05F8"/>
    <w:rsid w:val="000A0693"/>
    <w:rsid w:val="000A06EC"/>
    <w:rsid w:val="000A0773"/>
    <w:rsid w:val="000A07CC"/>
    <w:rsid w:val="000A0AEF"/>
    <w:rsid w:val="000A0D09"/>
    <w:rsid w:val="000A0DC6"/>
    <w:rsid w:val="000A0EB3"/>
    <w:rsid w:val="000A0F87"/>
    <w:rsid w:val="000A0FF9"/>
    <w:rsid w:val="000A102F"/>
    <w:rsid w:val="000A13F6"/>
    <w:rsid w:val="000A1997"/>
    <w:rsid w:val="000A1AE2"/>
    <w:rsid w:val="000A1B0E"/>
    <w:rsid w:val="000A1C2E"/>
    <w:rsid w:val="000A1D33"/>
    <w:rsid w:val="000A1D55"/>
    <w:rsid w:val="000A1F64"/>
    <w:rsid w:val="000A1FF6"/>
    <w:rsid w:val="000A219A"/>
    <w:rsid w:val="000A258C"/>
    <w:rsid w:val="000A264F"/>
    <w:rsid w:val="000A291D"/>
    <w:rsid w:val="000A2E0C"/>
    <w:rsid w:val="000A2EE2"/>
    <w:rsid w:val="000A2F46"/>
    <w:rsid w:val="000A3032"/>
    <w:rsid w:val="000A315C"/>
    <w:rsid w:val="000A32F5"/>
    <w:rsid w:val="000A3575"/>
    <w:rsid w:val="000A3590"/>
    <w:rsid w:val="000A38FA"/>
    <w:rsid w:val="000A3A4D"/>
    <w:rsid w:val="000A3BB3"/>
    <w:rsid w:val="000A3F34"/>
    <w:rsid w:val="000A3F93"/>
    <w:rsid w:val="000A4431"/>
    <w:rsid w:val="000A446D"/>
    <w:rsid w:val="000A457F"/>
    <w:rsid w:val="000A4697"/>
    <w:rsid w:val="000A4BBE"/>
    <w:rsid w:val="000A4C2A"/>
    <w:rsid w:val="000A4C53"/>
    <w:rsid w:val="000A4D17"/>
    <w:rsid w:val="000A4DEF"/>
    <w:rsid w:val="000A4F59"/>
    <w:rsid w:val="000A4FA6"/>
    <w:rsid w:val="000A5158"/>
    <w:rsid w:val="000A52A7"/>
    <w:rsid w:val="000A5390"/>
    <w:rsid w:val="000A53FA"/>
    <w:rsid w:val="000A541F"/>
    <w:rsid w:val="000A5528"/>
    <w:rsid w:val="000A5533"/>
    <w:rsid w:val="000A5572"/>
    <w:rsid w:val="000A56B7"/>
    <w:rsid w:val="000A56DE"/>
    <w:rsid w:val="000A570A"/>
    <w:rsid w:val="000A5B22"/>
    <w:rsid w:val="000A5B57"/>
    <w:rsid w:val="000A5BA0"/>
    <w:rsid w:val="000A5CB2"/>
    <w:rsid w:val="000A5DC9"/>
    <w:rsid w:val="000A5EBF"/>
    <w:rsid w:val="000A5F2D"/>
    <w:rsid w:val="000A630D"/>
    <w:rsid w:val="000A6361"/>
    <w:rsid w:val="000A64D0"/>
    <w:rsid w:val="000A6561"/>
    <w:rsid w:val="000A6673"/>
    <w:rsid w:val="000A6882"/>
    <w:rsid w:val="000A68B1"/>
    <w:rsid w:val="000A6B3C"/>
    <w:rsid w:val="000A6B8C"/>
    <w:rsid w:val="000A6C12"/>
    <w:rsid w:val="000A6FC1"/>
    <w:rsid w:val="000A70E9"/>
    <w:rsid w:val="000A718F"/>
    <w:rsid w:val="000A7302"/>
    <w:rsid w:val="000A732E"/>
    <w:rsid w:val="000A73C6"/>
    <w:rsid w:val="000A74D0"/>
    <w:rsid w:val="000A756C"/>
    <w:rsid w:val="000A75DF"/>
    <w:rsid w:val="000A760E"/>
    <w:rsid w:val="000A7838"/>
    <w:rsid w:val="000A7844"/>
    <w:rsid w:val="000A7999"/>
    <w:rsid w:val="000A79EC"/>
    <w:rsid w:val="000A7BB6"/>
    <w:rsid w:val="000A7E70"/>
    <w:rsid w:val="000B02C4"/>
    <w:rsid w:val="000B045B"/>
    <w:rsid w:val="000B0467"/>
    <w:rsid w:val="000B06C9"/>
    <w:rsid w:val="000B07A5"/>
    <w:rsid w:val="000B08F2"/>
    <w:rsid w:val="000B0AC6"/>
    <w:rsid w:val="000B0D3E"/>
    <w:rsid w:val="000B0D69"/>
    <w:rsid w:val="000B0E42"/>
    <w:rsid w:val="000B0EBC"/>
    <w:rsid w:val="000B0F9E"/>
    <w:rsid w:val="000B1273"/>
    <w:rsid w:val="000B12AB"/>
    <w:rsid w:val="000B132B"/>
    <w:rsid w:val="000B1351"/>
    <w:rsid w:val="000B14E1"/>
    <w:rsid w:val="000B156F"/>
    <w:rsid w:val="000B16E3"/>
    <w:rsid w:val="000B1814"/>
    <w:rsid w:val="000B1D35"/>
    <w:rsid w:val="000B1D61"/>
    <w:rsid w:val="000B1DDC"/>
    <w:rsid w:val="000B1E38"/>
    <w:rsid w:val="000B1F6C"/>
    <w:rsid w:val="000B20AD"/>
    <w:rsid w:val="000B218B"/>
    <w:rsid w:val="000B2214"/>
    <w:rsid w:val="000B22F0"/>
    <w:rsid w:val="000B22F6"/>
    <w:rsid w:val="000B2347"/>
    <w:rsid w:val="000B235E"/>
    <w:rsid w:val="000B239C"/>
    <w:rsid w:val="000B244C"/>
    <w:rsid w:val="000B2459"/>
    <w:rsid w:val="000B2654"/>
    <w:rsid w:val="000B265E"/>
    <w:rsid w:val="000B288A"/>
    <w:rsid w:val="000B2A74"/>
    <w:rsid w:val="000B2B35"/>
    <w:rsid w:val="000B2C7F"/>
    <w:rsid w:val="000B2E7C"/>
    <w:rsid w:val="000B2F1A"/>
    <w:rsid w:val="000B2F1E"/>
    <w:rsid w:val="000B2F1F"/>
    <w:rsid w:val="000B2FDB"/>
    <w:rsid w:val="000B32B2"/>
    <w:rsid w:val="000B33E7"/>
    <w:rsid w:val="000B3460"/>
    <w:rsid w:val="000B3471"/>
    <w:rsid w:val="000B3616"/>
    <w:rsid w:val="000B3623"/>
    <w:rsid w:val="000B36C8"/>
    <w:rsid w:val="000B399E"/>
    <w:rsid w:val="000B3AE9"/>
    <w:rsid w:val="000B3DD3"/>
    <w:rsid w:val="000B3FC2"/>
    <w:rsid w:val="000B4147"/>
    <w:rsid w:val="000B415C"/>
    <w:rsid w:val="000B42B2"/>
    <w:rsid w:val="000B42B7"/>
    <w:rsid w:val="000B4359"/>
    <w:rsid w:val="000B43D8"/>
    <w:rsid w:val="000B44B8"/>
    <w:rsid w:val="000B4576"/>
    <w:rsid w:val="000B4A53"/>
    <w:rsid w:val="000B4AA2"/>
    <w:rsid w:val="000B4C3C"/>
    <w:rsid w:val="000B4CAB"/>
    <w:rsid w:val="000B4D33"/>
    <w:rsid w:val="000B4E72"/>
    <w:rsid w:val="000B4EB9"/>
    <w:rsid w:val="000B4F1F"/>
    <w:rsid w:val="000B515F"/>
    <w:rsid w:val="000B5215"/>
    <w:rsid w:val="000B522B"/>
    <w:rsid w:val="000B5315"/>
    <w:rsid w:val="000B5379"/>
    <w:rsid w:val="000B5466"/>
    <w:rsid w:val="000B5575"/>
    <w:rsid w:val="000B55BD"/>
    <w:rsid w:val="000B55DB"/>
    <w:rsid w:val="000B5768"/>
    <w:rsid w:val="000B57AB"/>
    <w:rsid w:val="000B57EE"/>
    <w:rsid w:val="000B5933"/>
    <w:rsid w:val="000B5AD0"/>
    <w:rsid w:val="000B5E5B"/>
    <w:rsid w:val="000B5F62"/>
    <w:rsid w:val="000B5FAC"/>
    <w:rsid w:val="000B5FDD"/>
    <w:rsid w:val="000B60A7"/>
    <w:rsid w:val="000B60F6"/>
    <w:rsid w:val="000B618C"/>
    <w:rsid w:val="000B6306"/>
    <w:rsid w:val="000B6679"/>
    <w:rsid w:val="000B66D2"/>
    <w:rsid w:val="000B6774"/>
    <w:rsid w:val="000B677C"/>
    <w:rsid w:val="000B686D"/>
    <w:rsid w:val="000B68A4"/>
    <w:rsid w:val="000B691B"/>
    <w:rsid w:val="000B6946"/>
    <w:rsid w:val="000B69EC"/>
    <w:rsid w:val="000B6AE3"/>
    <w:rsid w:val="000B6B6E"/>
    <w:rsid w:val="000B6DBE"/>
    <w:rsid w:val="000B6DC7"/>
    <w:rsid w:val="000B6E11"/>
    <w:rsid w:val="000B6EF0"/>
    <w:rsid w:val="000B7040"/>
    <w:rsid w:val="000B70C5"/>
    <w:rsid w:val="000B70D0"/>
    <w:rsid w:val="000B72E0"/>
    <w:rsid w:val="000B72EF"/>
    <w:rsid w:val="000B72FD"/>
    <w:rsid w:val="000B7513"/>
    <w:rsid w:val="000B758B"/>
    <w:rsid w:val="000B776B"/>
    <w:rsid w:val="000B7872"/>
    <w:rsid w:val="000B78CA"/>
    <w:rsid w:val="000B79A2"/>
    <w:rsid w:val="000B7A8C"/>
    <w:rsid w:val="000B7CF5"/>
    <w:rsid w:val="000B7D49"/>
    <w:rsid w:val="000B7E3D"/>
    <w:rsid w:val="000C02B0"/>
    <w:rsid w:val="000C0374"/>
    <w:rsid w:val="000C05F9"/>
    <w:rsid w:val="000C092C"/>
    <w:rsid w:val="000C0BEF"/>
    <w:rsid w:val="000C0E42"/>
    <w:rsid w:val="000C0E92"/>
    <w:rsid w:val="000C0ECB"/>
    <w:rsid w:val="000C0F5D"/>
    <w:rsid w:val="000C10EA"/>
    <w:rsid w:val="000C116B"/>
    <w:rsid w:val="000C127D"/>
    <w:rsid w:val="000C12A4"/>
    <w:rsid w:val="000C1377"/>
    <w:rsid w:val="000C1434"/>
    <w:rsid w:val="000C1509"/>
    <w:rsid w:val="000C15F5"/>
    <w:rsid w:val="000C1644"/>
    <w:rsid w:val="000C1911"/>
    <w:rsid w:val="000C193C"/>
    <w:rsid w:val="000C1A33"/>
    <w:rsid w:val="000C1D35"/>
    <w:rsid w:val="000C1DE1"/>
    <w:rsid w:val="000C1E4F"/>
    <w:rsid w:val="000C1FB7"/>
    <w:rsid w:val="000C2187"/>
    <w:rsid w:val="000C22B2"/>
    <w:rsid w:val="000C240C"/>
    <w:rsid w:val="000C259C"/>
    <w:rsid w:val="000C27C1"/>
    <w:rsid w:val="000C2964"/>
    <w:rsid w:val="000C2ABF"/>
    <w:rsid w:val="000C2C19"/>
    <w:rsid w:val="000C2CB3"/>
    <w:rsid w:val="000C2DC3"/>
    <w:rsid w:val="000C2E10"/>
    <w:rsid w:val="000C3004"/>
    <w:rsid w:val="000C3259"/>
    <w:rsid w:val="000C325C"/>
    <w:rsid w:val="000C3322"/>
    <w:rsid w:val="000C34BC"/>
    <w:rsid w:val="000C3500"/>
    <w:rsid w:val="000C359B"/>
    <w:rsid w:val="000C363D"/>
    <w:rsid w:val="000C36E8"/>
    <w:rsid w:val="000C36FD"/>
    <w:rsid w:val="000C39F4"/>
    <w:rsid w:val="000C3AFF"/>
    <w:rsid w:val="000C3C64"/>
    <w:rsid w:val="000C3C93"/>
    <w:rsid w:val="000C3CF8"/>
    <w:rsid w:val="000C4014"/>
    <w:rsid w:val="000C40AA"/>
    <w:rsid w:val="000C41B1"/>
    <w:rsid w:val="000C4219"/>
    <w:rsid w:val="000C462A"/>
    <w:rsid w:val="000C4839"/>
    <w:rsid w:val="000C4983"/>
    <w:rsid w:val="000C4A45"/>
    <w:rsid w:val="000C4B5D"/>
    <w:rsid w:val="000C4C36"/>
    <w:rsid w:val="000C4C37"/>
    <w:rsid w:val="000C4C74"/>
    <w:rsid w:val="000C4D4A"/>
    <w:rsid w:val="000C4DA2"/>
    <w:rsid w:val="000C4DF5"/>
    <w:rsid w:val="000C4F77"/>
    <w:rsid w:val="000C5060"/>
    <w:rsid w:val="000C51F7"/>
    <w:rsid w:val="000C5226"/>
    <w:rsid w:val="000C5252"/>
    <w:rsid w:val="000C5280"/>
    <w:rsid w:val="000C5406"/>
    <w:rsid w:val="000C5508"/>
    <w:rsid w:val="000C5521"/>
    <w:rsid w:val="000C556D"/>
    <w:rsid w:val="000C56E3"/>
    <w:rsid w:val="000C59A6"/>
    <w:rsid w:val="000C59D2"/>
    <w:rsid w:val="000C5D9F"/>
    <w:rsid w:val="000C600A"/>
    <w:rsid w:val="000C6205"/>
    <w:rsid w:val="000C66A8"/>
    <w:rsid w:val="000C66EC"/>
    <w:rsid w:val="000C67B1"/>
    <w:rsid w:val="000C67D2"/>
    <w:rsid w:val="000C6951"/>
    <w:rsid w:val="000C698C"/>
    <w:rsid w:val="000C6A22"/>
    <w:rsid w:val="000C6A29"/>
    <w:rsid w:val="000C6A30"/>
    <w:rsid w:val="000C6C53"/>
    <w:rsid w:val="000C6D7A"/>
    <w:rsid w:val="000C6E5D"/>
    <w:rsid w:val="000C6EF0"/>
    <w:rsid w:val="000C6FA6"/>
    <w:rsid w:val="000C7048"/>
    <w:rsid w:val="000C7189"/>
    <w:rsid w:val="000C71D6"/>
    <w:rsid w:val="000C72D4"/>
    <w:rsid w:val="000C72F4"/>
    <w:rsid w:val="000C738A"/>
    <w:rsid w:val="000C739E"/>
    <w:rsid w:val="000C7523"/>
    <w:rsid w:val="000C7751"/>
    <w:rsid w:val="000C7A00"/>
    <w:rsid w:val="000C7A76"/>
    <w:rsid w:val="000C7A9B"/>
    <w:rsid w:val="000C7C07"/>
    <w:rsid w:val="000C7C6B"/>
    <w:rsid w:val="000C7FEB"/>
    <w:rsid w:val="000D001A"/>
    <w:rsid w:val="000D0199"/>
    <w:rsid w:val="000D023F"/>
    <w:rsid w:val="000D03ED"/>
    <w:rsid w:val="000D0444"/>
    <w:rsid w:val="000D0549"/>
    <w:rsid w:val="000D068C"/>
    <w:rsid w:val="000D0868"/>
    <w:rsid w:val="000D08D0"/>
    <w:rsid w:val="000D0944"/>
    <w:rsid w:val="000D0954"/>
    <w:rsid w:val="000D0AEF"/>
    <w:rsid w:val="000D0B31"/>
    <w:rsid w:val="000D0DCC"/>
    <w:rsid w:val="000D0F8C"/>
    <w:rsid w:val="000D102D"/>
    <w:rsid w:val="000D115B"/>
    <w:rsid w:val="000D1163"/>
    <w:rsid w:val="000D12DB"/>
    <w:rsid w:val="000D1669"/>
    <w:rsid w:val="000D16D5"/>
    <w:rsid w:val="000D183B"/>
    <w:rsid w:val="000D1859"/>
    <w:rsid w:val="000D195E"/>
    <w:rsid w:val="000D1ABF"/>
    <w:rsid w:val="000D1B21"/>
    <w:rsid w:val="000D1F16"/>
    <w:rsid w:val="000D2062"/>
    <w:rsid w:val="000D2283"/>
    <w:rsid w:val="000D231A"/>
    <w:rsid w:val="000D2324"/>
    <w:rsid w:val="000D232D"/>
    <w:rsid w:val="000D2454"/>
    <w:rsid w:val="000D245D"/>
    <w:rsid w:val="000D27D6"/>
    <w:rsid w:val="000D28E6"/>
    <w:rsid w:val="000D2952"/>
    <w:rsid w:val="000D296C"/>
    <w:rsid w:val="000D2C2D"/>
    <w:rsid w:val="000D2DB6"/>
    <w:rsid w:val="000D3046"/>
    <w:rsid w:val="000D3142"/>
    <w:rsid w:val="000D31E9"/>
    <w:rsid w:val="000D325D"/>
    <w:rsid w:val="000D3319"/>
    <w:rsid w:val="000D33FB"/>
    <w:rsid w:val="000D355B"/>
    <w:rsid w:val="000D3586"/>
    <w:rsid w:val="000D364A"/>
    <w:rsid w:val="000D36C2"/>
    <w:rsid w:val="000D36D7"/>
    <w:rsid w:val="000D36E2"/>
    <w:rsid w:val="000D36FE"/>
    <w:rsid w:val="000D3823"/>
    <w:rsid w:val="000D3A8C"/>
    <w:rsid w:val="000D3B28"/>
    <w:rsid w:val="000D3B5F"/>
    <w:rsid w:val="000D3D34"/>
    <w:rsid w:val="000D3D3B"/>
    <w:rsid w:val="000D3E17"/>
    <w:rsid w:val="000D40B4"/>
    <w:rsid w:val="000D4149"/>
    <w:rsid w:val="000D42CD"/>
    <w:rsid w:val="000D4408"/>
    <w:rsid w:val="000D4553"/>
    <w:rsid w:val="000D465D"/>
    <w:rsid w:val="000D4745"/>
    <w:rsid w:val="000D47BA"/>
    <w:rsid w:val="000D47D5"/>
    <w:rsid w:val="000D48B1"/>
    <w:rsid w:val="000D4929"/>
    <w:rsid w:val="000D495D"/>
    <w:rsid w:val="000D49A3"/>
    <w:rsid w:val="000D4A16"/>
    <w:rsid w:val="000D4B5D"/>
    <w:rsid w:val="000D4C8E"/>
    <w:rsid w:val="000D4E3B"/>
    <w:rsid w:val="000D4EC5"/>
    <w:rsid w:val="000D4F4B"/>
    <w:rsid w:val="000D4FBF"/>
    <w:rsid w:val="000D5076"/>
    <w:rsid w:val="000D519D"/>
    <w:rsid w:val="000D52AC"/>
    <w:rsid w:val="000D52D9"/>
    <w:rsid w:val="000D535C"/>
    <w:rsid w:val="000D5488"/>
    <w:rsid w:val="000D54AA"/>
    <w:rsid w:val="000D55EC"/>
    <w:rsid w:val="000D5673"/>
    <w:rsid w:val="000D57D8"/>
    <w:rsid w:val="000D598F"/>
    <w:rsid w:val="000D5B93"/>
    <w:rsid w:val="000D5C51"/>
    <w:rsid w:val="000D5EEC"/>
    <w:rsid w:val="000D6053"/>
    <w:rsid w:val="000D60C5"/>
    <w:rsid w:val="000D6246"/>
    <w:rsid w:val="000D6266"/>
    <w:rsid w:val="000D6681"/>
    <w:rsid w:val="000D66CE"/>
    <w:rsid w:val="000D69BB"/>
    <w:rsid w:val="000D6B88"/>
    <w:rsid w:val="000D6D26"/>
    <w:rsid w:val="000D6DC7"/>
    <w:rsid w:val="000D6FEC"/>
    <w:rsid w:val="000D7003"/>
    <w:rsid w:val="000D711F"/>
    <w:rsid w:val="000D7140"/>
    <w:rsid w:val="000D7149"/>
    <w:rsid w:val="000D71CD"/>
    <w:rsid w:val="000D733F"/>
    <w:rsid w:val="000D7413"/>
    <w:rsid w:val="000D7601"/>
    <w:rsid w:val="000D7AEC"/>
    <w:rsid w:val="000D7BD1"/>
    <w:rsid w:val="000D7BDF"/>
    <w:rsid w:val="000D7D1A"/>
    <w:rsid w:val="000D7EE8"/>
    <w:rsid w:val="000E01F6"/>
    <w:rsid w:val="000E0532"/>
    <w:rsid w:val="000E0653"/>
    <w:rsid w:val="000E09DD"/>
    <w:rsid w:val="000E0B50"/>
    <w:rsid w:val="000E0BD8"/>
    <w:rsid w:val="000E0BDE"/>
    <w:rsid w:val="000E0D0F"/>
    <w:rsid w:val="000E0D24"/>
    <w:rsid w:val="000E0D4C"/>
    <w:rsid w:val="000E0EC2"/>
    <w:rsid w:val="000E1077"/>
    <w:rsid w:val="000E135D"/>
    <w:rsid w:val="000E13EC"/>
    <w:rsid w:val="000E14DE"/>
    <w:rsid w:val="000E15B8"/>
    <w:rsid w:val="000E15F5"/>
    <w:rsid w:val="000E1753"/>
    <w:rsid w:val="000E17DF"/>
    <w:rsid w:val="000E1AC3"/>
    <w:rsid w:val="000E1E45"/>
    <w:rsid w:val="000E210A"/>
    <w:rsid w:val="000E2125"/>
    <w:rsid w:val="000E2164"/>
    <w:rsid w:val="000E21BA"/>
    <w:rsid w:val="000E21BD"/>
    <w:rsid w:val="000E21C6"/>
    <w:rsid w:val="000E230D"/>
    <w:rsid w:val="000E24D2"/>
    <w:rsid w:val="000E25EE"/>
    <w:rsid w:val="000E260D"/>
    <w:rsid w:val="000E26F4"/>
    <w:rsid w:val="000E27F1"/>
    <w:rsid w:val="000E29A8"/>
    <w:rsid w:val="000E2ADF"/>
    <w:rsid w:val="000E2AE9"/>
    <w:rsid w:val="000E2B52"/>
    <w:rsid w:val="000E2B6C"/>
    <w:rsid w:val="000E2D5C"/>
    <w:rsid w:val="000E2D96"/>
    <w:rsid w:val="000E3061"/>
    <w:rsid w:val="000E30F1"/>
    <w:rsid w:val="000E3170"/>
    <w:rsid w:val="000E31EA"/>
    <w:rsid w:val="000E35FC"/>
    <w:rsid w:val="000E38A2"/>
    <w:rsid w:val="000E396F"/>
    <w:rsid w:val="000E3C7D"/>
    <w:rsid w:val="000E3CA5"/>
    <w:rsid w:val="000E3E65"/>
    <w:rsid w:val="000E4208"/>
    <w:rsid w:val="000E4227"/>
    <w:rsid w:val="000E432E"/>
    <w:rsid w:val="000E44B0"/>
    <w:rsid w:val="000E44FA"/>
    <w:rsid w:val="000E45CF"/>
    <w:rsid w:val="000E46B5"/>
    <w:rsid w:val="000E487A"/>
    <w:rsid w:val="000E4BDB"/>
    <w:rsid w:val="000E4C14"/>
    <w:rsid w:val="000E4C4E"/>
    <w:rsid w:val="000E4CD8"/>
    <w:rsid w:val="000E4F42"/>
    <w:rsid w:val="000E50B0"/>
    <w:rsid w:val="000E510C"/>
    <w:rsid w:val="000E5162"/>
    <w:rsid w:val="000E525C"/>
    <w:rsid w:val="000E54CE"/>
    <w:rsid w:val="000E55A9"/>
    <w:rsid w:val="000E5762"/>
    <w:rsid w:val="000E588E"/>
    <w:rsid w:val="000E5A63"/>
    <w:rsid w:val="000E5DFD"/>
    <w:rsid w:val="000E5FF1"/>
    <w:rsid w:val="000E60E7"/>
    <w:rsid w:val="000E6195"/>
    <w:rsid w:val="000E635A"/>
    <w:rsid w:val="000E6547"/>
    <w:rsid w:val="000E65FA"/>
    <w:rsid w:val="000E66C0"/>
    <w:rsid w:val="000E6A0A"/>
    <w:rsid w:val="000E6C22"/>
    <w:rsid w:val="000E6C3A"/>
    <w:rsid w:val="000E6D9F"/>
    <w:rsid w:val="000E7145"/>
    <w:rsid w:val="000E717A"/>
    <w:rsid w:val="000E72CB"/>
    <w:rsid w:val="000E7435"/>
    <w:rsid w:val="000E745B"/>
    <w:rsid w:val="000E76FC"/>
    <w:rsid w:val="000E77B0"/>
    <w:rsid w:val="000E77B2"/>
    <w:rsid w:val="000E7915"/>
    <w:rsid w:val="000E79A6"/>
    <w:rsid w:val="000E7D18"/>
    <w:rsid w:val="000E7E94"/>
    <w:rsid w:val="000E7FB5"/>
    <w:rsid w:val="000F0032"/>
    <w:rsid w:val="000F0186"/>
    <w:rsid w:val="000F01ED"/>
    <w:rsid w:val="000F0774"/>
    <w:rsid w:val="000F090D"/>
    <w:rsid w:val="000F0A2D"/>
    <w:rsid w:val="000F0A98"/>
    <w:rsid w:val="000F0BF9"/>
    <w:rsid w:val="000F0C62"/>
    <w:rsid w:val="000F0C9E"/>
    <w:rsid w:val="000F0D57"/>
    <w:rsid w:val="000F10BC"/>
    <w:rsid w:val="000F10E7"/>
    <w:rsid w:val="000F11F0"/>
    <w:rsid w:val="000F148F"/>
    <w:rsid w:val="000F1BB4"/>
    <w:rsid w:val="000F1CC4"/>
    <w:rsid w:val="000F1D23"/>
    <w:rsid w:val="000F1D25"/>
    <w:rsid w:val="000F1E17"/>
    <w:rsid w:val="000F2077"/>
    <w:rsid w:val="000F2211"/>
    <w:rsid w:val="000F2422"/>
    <w:rsid w:val="000F245F"/>
    <w:rsid w:val="000F2484"/>
    <w:rsid w:val="000F2544"/>
    <w:rsid w:val="000F25D5"/>
    <w:rsid w:val="000F2994"/>
    <w:rsid w:val="000F2AD1"/>
    <w:rsid w:val="000F2BCA"/>
    <w:rsid w:val="000F2D8C"/>
    <w:rsid w:val="000F2E2F"/>
    <w:rsid w:val="000F2F3F"/>
    <w:rsid w:val="000F2F42"/>
    <w:rsid w:val="000F2F51"/>
    <w:rsid w:val="000F2F58"/>
    <w:rsid w:val="000F2FBD"/>
    <w:rsid w:val="000F3108"/>
    <w:rsid w:val="000F31F8"/>
    <w:rsid w:val="000F340F"/>
    <w:rsid w:val="000F3426"/>
    <w:rsid w:val="000F34B1"/>
    <w:rsid w:val="000F3533"/>
    <w:rsid w:val="000F3544"/>
    <w:rsid w:val="000F373D"/>
    <w:rsid w:val="000F3ADA"/>
    <w:rsid w:val="000F3B4E"/>
    <w:rsid w:val="000F3C12"/>
    <w:rsid w:val="000F3CC2"/>
    <w:rsid w:val="000F3EAD"/>
    <w:rsid w:val="000F3F69"/>
    <w:rsid w:val="000F4234"/>
    <w:rsid w:val="000F44A7"/>
    <w:rsid w:val="000F4586"/>
    <w:rsid w:val="000F464A"/>
    <w:rsid w:val="000F48DD"/>
    <w:rsid w:val="000F4A62"/>
    <w:rsid w:val="000F4BA2"/>
    <w:rsid w:val="000F4C7F"/>
    <w:rsid w:val="000F4CE8"/>
    <w:rsid w:val="000F4D63"/>
    <w:rsid w:val="000F4E11"/>
    <w:rsid w:val="000F4EC6"/>
    <w:rsid w:val="000F4FCA"/>
    <w:rsid w:val="000F4FFF"/>
    <w:rsid w:val="000F50E7"/>
    <w:rsid w:val="000F526C"/>
    <w:rsid w:val="000F53A3"/>
    <w:rsid w:val="000F5400"/>
    <w:rsid w:val="000F5630"/>
    <w:rsid w:val="000F57C6"/>
    <w:rsid w:val="000F5975"/>
    <w:rsid w:val="000F59B7"/>
    <w:rsid w:val="000F6021"/>
    <w:rsid w:val="000F6058"/>
    <w:rsid w:val="000F60C1"/>
    <w:rsid w:val="000F6136"/>
    <w:rsid w:val="000F61A6"/>
    <w:rsid w:val="000F6202"/>
    <w:rsid w:val="000F6239"/>
    <w:rsid w:val="000F6288"/>
    <w:rsid w:val="000F62CA"/>
    <w:rsid w:val="000F65AB"/>
    <w:rsid w:val="000F67DC"/>
    <w:rsid w:val="000F67F4"/>
    <w:rsid w:val="000F6A6E"/>
    <w:rsid w:val="000F6C30"/>
    <w:rsid w:val="000F6D21"/>
    <w:rsid w:val="000F6F67"/>
    <w:rsid w:val="000F6FC4"/>
    <w:rsid w:val="000F6FD4"/>
    <w:rsid w:val="000F70CD"/>
    <w:rsid w:val="000F73F3"/>
    <w:rsid w:val="000F74FC"/>
    <w:rsid w:val="000F752B"/>
    <w:rsid w:val="000F7561"/>
    <w:rsid w:val="000F782F"/>
    <w:rsid w:val="000F7993"/>
    <w:rsid w:val="000F7A35"/>
    <w:rsid w:val="000F7A87"/>
    <w:rsid w:val="000F7C56"/>
    <w:rsid w:val="000F7D00"/>
    <w:rsid w:val="000F7DED"/>
    <w:rsid w:val="000F7E05"/>
    <w:rsid w:val="0010032A"/>
    <w:rsid w:val="00100471"/>
    <w:rsid w:val="00100485"/>
    <w:rsid w:val="001005C7"/>
    <w:rsid w:val="0010072F"/>
    <w:rsid w:val="0010083A"/>
    <w:rsid w:val="001009AF"/>
    <w:rsid w:val="00100B1D"/>
    <w:rsid w:val="00100B2F"/>
    <w:rsid w:val="00100B69"/>
    <w:rsid w:val="00100B78"/>
    <w:rsid w:val="00100EA8"/>
    <w:rsid w:val="00100ED6"/>
    <w:rsid w:val="00100FAD"/>
    <w:rsid w:val="00101171"/>
    <w:rsid w:val="00101292"/>
    <w:rsid w:val="0010129F"/>
    <w:rsid w:val="001012F4"/>
    <w:rsid w:val="00101491"/>
    <w:rsid w:val="001014CB"/>
    <w:rsid w:val="0010160F"/>
    <w:rsid w:val="001017D4"/>
    <w:rsid w:val="001017E0"/>
    <w:rsid w:val="001018D6"/>
    <w:rsid w:val="00101954"/>
    <w:rsid w:val="001019F0"/>
    <w:rsid w:val="00101B6D"/>
    <w:rsid w:val="00101C09"/>
    <w:rsid w:val="00101CFB"/>
    <w:rsid w:val="00101D3B"/>
    <w:rsid w:val="00102357"/>
    <w:rsid w:val="00102715"/>
    <w:rsid w:val="00102718"/>
    <w:rsid w:val="0010271E"/>
    <w:rsid w:val="00102CB6"/>
    <w:rsid w:val="00102DA3"/>
    <w:rsid w:val="00102E5C"/>
    <w:rsid w:val="00102F03"/>
    <w:rsid w:val="001030CE"/>
    <w:rsid w:val="0010312A"/>
    <w:rsid w:val="001031B5"/>
    <w:rsid w:val="001031BE"/>
    <w:rsid w:val="0010323F"/>
    <w:rsid w:val="001033A7"/>
    <w:rsid w:val="0010344B"/>
    <w:rsid w:val="001034CF"/>
    <w:rsid w:val="00103764"/>
    <w:rsid w:val="001038CB"/>
    <w:rsid w:val="00103AA2"/>
    <w:rsid w:val="00103AE0"/>
    <w:rsid w:val="00103B68"/>
    <w:rsid w:val="00103D10"/>
    <w:rsid w:val="00103DA6"/>
    <w:rsid w:val="00103E64"/>
    <w:rsid w:val="00103E9A"/>
    <w:rsid w:val="00103F5C"/>
    <w:rsid w:val="00103FCD"/>
    <w:rsid w:val="0010416B"/>
    <w:rsid w:val="001041D9"/>
    <w:rsid w:val="001042E0"/>
    <w:rsid w:val="001042F6"/>
    <w:rsid w:val="0010442A"/>
    <w:rsid w:val="001044CD"/>
    <w:rsid w:val="00104638"/>
    <w:rsid w:val="00104857"/>
    <w:rsid w:val="001049D2"/>
    <w:rsid w:val="001049EB"/>
    <w:rsid w:val="001049F3"/>
    <w:rsid w:val="00104A2C"/>
    <w:rsid w:val="00104A3E"/>
    <w:rsid w:val="00104AA2"/>
    <w:rsid w:val="00104C24"/>
    <w:rsid w:val="00104DA1"/>
    <w:rsid w:val="00104EA4"/>
    <w:rsid w:val="00104EE3"/>
    <w:rsid w:val="00104F61"/>
    <w:rsid w:val="00105156"/>
    <w:rsid w:val="00105442"/>
    <w:rsid w:val="001054B8"/>
    <w:rsid w:val="00105545"/>
    <w:rsid w:val="00105553"/>
    <w:rsid w:val="001055A7"/>
    <w:rsid w:val="001055AE"/>
    <w:rsid w:val="001056BC"/>
    <w:rsid w:val="001057BC"/>
    <w:rsid w:val="00105AFE"/>
    <w:rsid w:val="00105B2E"/>
    <w:rsid w:val="00105CFC"/>
    <w:rsid w:val="00105D05"/>
    <w:rsid w:val="00105D12"/>
    <w:rsid w:val="00105F0D"/>
    <w:rsid w:val="001060AF"/>
    <w:rsid w:val="0010618D"/>
    <w:rsid w:val="0010630D"/>
    <w:rsid w:val="0010634E"/>
    <w:rsid w:val="00106385"/>
    <w:rsid w:val="001064BE"/>
    <w:rsid w:val="001066A6"/>
    <w:rsid w:val="00106A9A"/>
    <w:rsid w:val="00106B13"/>
    <w:rsid w:val="00106C12"/>
    <w:rsid w:val="00106DD3"/>
    <w:rsid w:val="001070FD"/>
    <w:rsid w:val="00107236"/>
    <w:rsid w:val="0010727F"/>
    <w:rsid w:val="001072A6"/>
    <w:rsid w:val="001072F7"/>
    <w:rsid w:val="00107535"/>
    <w:rsid w:val="00107CE4"/>
    <w:rsid w:val="00107D59"/>
    <w:rsid w:val="00107DA0"/>
    <w:rsid w:val="00107E46"/>
    <w:rsid w:val="00107E91"/>
    <w:rsid w:val="00107F34"/>
    <w:rsid w:val="00107FA9"/>
    <w:rsid w:val="00110347"/>
    <w:rsid w:val="001108E6"/>
    <w:rsid w:val="00110B66"/>
    <w:rsid w:val="00110BD1"/>
    <w:rsid w:val="00110C51"/>
    <w:rsid w:val="00110DD1"/>
    <w:rsid w:val="00110E90"/>
    <w:rsid w:val="001110B6"/>
    <w:rsid w:val="00111606"/>
    <w:rsid w:val="00111658"/>
    <w:rsid w:val="00111BBB"/>
    <w:rsid w:val="00111C2F"/>
    <w:rsid w:val="00111F91"/>
    <w:rsid w:val="001121A7"/>
    <w:rsid w:val="001123B4"/>
    <w:rsid w:val="00112410"/>
    <w:rsid w:val="0011246C"/>
    <w:rsid w:val="0011263E"/>
    <w:rsid w:val="001126D2"/>
    <w:rsid w:val="00112A70"/>
    <w:rsid w:val="00112BB2"/>
    <w:rsid w:val="00112C93"/>
    <w:rsid w:val="00112DF2"/>
    <w:rsid w:val="00112EFB"/>
    <w:rsid w:val="0011311F"/>
    <w:rsid w:val="0011314E"/>
    <w:rsid w:val="00113326"/>
    <w:rsid w:val="0011372E"/>
    <w:rsid w:val="00113848"/>
    <w:rsid w:val="0011387B"/>
    <w:rsid w:val="0011392A"/>
    <w:rsid w:val="00113B43"/>
    <w:rsid w:val="00113C75"/>
    <w:rsid w:val="00113E24"/>
    <w:rsid w:val="00114060"/>
    <w:rsid w:val="0011412D"/>
    <w:rsid w:val="0011424D"/>
    <w:rsid w:val="001142C4"/>
    <w:rsid w:val="0011431E"/>
    <w:rsid w:val="0011436E"/>
    <w:rsid w:val="00114445"/>
    <w:rsid w:val="00114492"/>
    <w:rsid w:val="0011469F"/>
    <w:rsid w:val="001146E9"/>
    <w:rsid w:val="00114751"/>
    <w:rsid w:val="0011478A"/>
    <w:rsid w:val="00114792"/>
    <w:rsid w:val="001147D4"/>
    <w:rsid w:val="001148A8"/>
    <w:rsid w:val="001148AB"/>
    <w:rsid w:val="00114976"/>
    <w:rsid w:val="001149E3"/>
    <w:rsid w:val="00114A73"/>
    <w:rsid w:val="00114AD5"/>
    <w:rsid w:val="00114D3E"/>
    <w:rsid w:val="00114D51"/>
    <w:rsid w:val="00114DE4"/>
    <w:rsid w:val="00115051"/>
    <w:rsid w:val="00115148"/>
    <w:rsid w:val="00115302"/>
    <w:rsid w:val="001153C4"/>
    <w:rsid w:val="0011540B"/>
    <w:rsid w:val="0011546B"/>
    <w:rsid w:val="001154B1"/>
    <w:rsid w:val="001156DA"/>
    <w:rsid w:val="0011571A"/>
    <w:rsid w:val="00115857"/>
    <w:rsid w:val="00115876"/>
    <w:rsid w:val="00115961"/>
    <w:rsid w:val="0011596D"/>
    <w:rsid w:val="001159C8"/>
    <w:rsid w:val="00115A60"/>
    <w:rsid w:val="00115B0C"/>
    <w:rsid w:val="00115D5E"/>
    <w:rsid w:val="00115DB5"/>
    <w:rsid w:val="00115F83"/>
    <w:rsid w:val="00116069"/>
    <w:rsid w:val="0011615A"/>
    <w:rsid w:val="001161A3"/>
    <w:rsid w:val="0011637A"/>
    <w:rsid w:val="001165D9"/>
    <w:rsid w:val="00116649"/>
    <w:rsid w:val="0011669C"/>
    <w:rsid w:val="0011679D"/>
    <w:rsid w:val="00116848"/>
    <w:rsid w:val="00116889"/>
    <w:rsid w:val="00116960"/>
    <w:rsid w:val="00116B2C"/>
    <w:rsid w:val="00116D82"/>
    <w:rsid w:val="00116DBA"/>
    <w:rsid w:val="00116EF1"/>
    <w:rsid w:val="00116F16"/>
    <w:rsid w:val="00116F23"/>
    <w:rsid w:val="00116F53"/>
    <w:rsid w:val="00116F7A"/>
    <w:rsid w:val="00116FB2"/>
    <w:rsid w:val="00116FFC"/>
    <w:rsid w:val="001170F7"/>
    <w:rsid w:val="00117194"/>
    <w:rsid w:val="001174C6"/>
    <w:rsid w:val="001175E6"/>
    <w:rsid w:val="00117625"/>
    <w:rsid w:val="001177BC"/>
    <w:rsid w:val="001177C6"/>
    <w:rsid w:val="001179C4"/>
    <w:rsid w:val="00117AFE"/>
    <w:rsid w:val="00117B73"/>
    <w:rsid w:val="00117B9F"/>
    <w:rsid w:val="00117C4D"/>
    <w:rsid w:val="00117D1C"/>
    <w:rsid w:val="001200F7"/>
    <w:rsid w:val="00120294"/>
    <w:rsid w:val="0012035C"/>
    <w:rsid w:val="00120558"/>
    <w:rsid w:val="00120A81"/>
    <w:rsid w:val="00120C1A"/>
    <w:rsid w:val="00120CB4"/>
    <w:rsid w:val="00120DAC"/>
    <w:rsid w:val="00120EAD"/>
    <w:rsid w:val="00120F2C"/>
    <w:rsid w:val="001210C8"/>
    <w:rsid w:val="00121183"/>
    <w:rsid w:val="001212A0"/>
    <w:rsid w:val="001217B8"/>
    <w:rsid w:val="00121883"/>
    <w:rsid w:val="00121891"/>
    <w:rsid w:val="0012189D"/>
    <w:rsid w:val="00121967"/>
    <w:rsid w:val="00121B05"/>
    <w:rsid w:val="00121B32"/>
    <w:rsid w:val="00121B40"/>
    <w:rsid w:val="00121F9C"/>
    <w:rsid w:val="00122015"/>
    <w:rsid w:val="001220C0"/>
    <w:rsid w:val="001221BB"/>
    <w:rsid w:val="001222D6"/>
    <w:rsid w:val="001224DC"/>
    <w:rsid w:val="00122551"/>
    <w:rsid w:val="00122702"/>
    <w:rsid w:val="0012287A"/>
    <w:rsid w:val="0012287C"/>
    <w:rsid w:val="001228AF"/>
    <w:rsid w:val="0012292B"/>
    <w:rsid w:val="00122977"/>
    <w:rsid w:val="00122A9B"/>
    <w:rsid w:val="00122B28"/>
    <w:rsid w:val="00122B67"/>
    <w:rsid w:val="00122D51"/>
    <w:rsid w:val="00122D7E"/>
    <w:rsid w:val="00123168"/>
    <w:rsid w:val="001231F7"/>
    <w:rsid w:val="00123253"/>
    <w:rsid w:val="001234CD"/>
    <w:rsid w:val="00123586"/>
    <w:rsid w:val="001235BA"/>
    <w:rsid w:val="0012363C"/>
    <w:rsid w:val="00123693"/>
    <w:rsid w:val="00123751"/>
    <w:rsid w:val="00123835"/>
    <w:rsid w:val="0012388B"/>
    <w:rsid w:val="00123A15"/>
    <w:rsid w:val="00123CED"/>
    <w:rsid w:val="00123D1A"/>
    <w:rsid w:val="00123DB7"/>
    <w:rsid w:val="00123E64"/>
    <w:rsid w:val="00123E79"/>
    <w:rsid w:val="00123E85"/>
    <w:rsid w:val="00123F19"/>
    <w:rsid w:val="00124114"/>
    <w:rsid w:val="001242B9"/>
    <w:rsid w:val="001244E7"/>
    <w:rsid w:val="001245B7"/>
    <w:rsid w:val="001245B9"/>
    <w:rsid w:val="00124899"/>
    <w:rsid w:val="001248A6"/>
    <w:rsid w:val="00124ABF"/>
    <w:rsid w:val="00124CCE"/>
    <w:rsid w:val="00124D63"/>
    <w:rsid w:val="00124D81"/>
    <w:rsid w:val="00124EAF"/>
    <w:rsid w:val="00124F1F"/>
    <w:rsid w:val="00125139"/>
    <w:rsid w:val="0012516C"/>
    <w:rsid w:val="001251ED"/>
    <w:rsid w:val="00125306"/>
    <w:rsid w:val="00125450"/>
    <w:rsid w:val="00125498"/>
    <w:rsid w:val="00125673"/>
    <w:rsid w:val="0012582D"/>
    <w:rsid w:val="0012586B"/>
    <w:rsid w:val="001258B7"/>
    <w:rsid w:val="001258DA"/>
    <w:rsid w:val="00125999"/>
    <w:rsid w:val="00125B47"/>
    <w:rsid w:val="00125B5E"/>
    <w:rsid w:val="00125D51"/>
    <w:rsid w:val="00125E4E"/>
    <w:rsid w:val="00125E5E"/>
    <w:rsid w:val="00126028"/>
    <w:rsid w:val="0012618B"/>
    <w:rsid w:val="00126303"/>
    <w:rsid w:val="0012658B"/>
    <w:rsid w:val="00126972"/>
    <w:rsid w:val="00126A11"/>
    <w:rsid w:val="00126B11"/>
    <w:rsid w:val="00126C6B"/>
    <w:rsid w:val="00126CA5"/>
    <w:rsid w:val="00126D57"/>
    <w:rsid w:val="00126EFA"/>
    <w:rsid w:val="001270F5"/>
    <w:rsid w:val="001271FC"/>
    <w:rsid w:val="00127774"/>
    <w:rsid w:val="001277DC"/>
    <w:rsid w:val="0012783F"/>
    <w:rsid w:val="001278A3"/>
    <w:rsid w:val="00127977"/>
    <w:rsid w:val="001279DC"/>
    <w:rsid w:val="00127A88"/>
    <w:rsid w:val="00127C1D"/>
    <w:rsid w:val="00127CD2"/>
    <w:rsid w:val="00127CD3"/>
    <w:rsid w:val="00127CF3"/>
    <w:rsid w:val="00127D40"/>
    <w:rsid w:val="00127DF0"/>
    <w:rsid w:val="00127FF3"/>
    <w:rsid w:val="001302AF"/>
    <w:rsid w:val="0013039E"/>
    <w:rsid w:val="001303B6"/>
    <w:rsid w:val="00130426"/>
    <w:rsid w:val="00130499"/>
    <w:rsid w:val="00130562"/>
    <w:rsid w:val="00130607"/>
    <w:rsid w:val="00130629"/>
    <w:rsid w:val="0013065F"/>
    <w:rsid w:val="001307E2"/>
    <w:rsid w:val="0013094E"/>
    <w:rsid w:val="001309F1"/>
    <w:rsid w:val="00130A43"/>
    <w:rsid w:val="00130A88"/>
    <w:rsid w:val="00130AE6"/>
    <w:rsid w:val="00130D32"/>
    <w:rsid w:val="00130DAE"/>
    <w:rsid w:val="00130E98"/>
    <w:rsid w:val="00130EBB"/>
    <w:rsid w:val="0013109E"/>
    <w:rsid w:val="00131199"/>
    <w:rsid w:val="001311A7"/>
    <w:rsid w:val="001312A2"/>
    <w:rsid w:val="001313C9"/>
    <w:rsid w:val="001313F1"/>
    <w:rsid w:val="0013141B"/>
    <w:rsid w:val="001315E0"/>
    <w:rsid w:val="001316E1"/>
    <w:rsid w:val="001318CF"/>
    <w:rsid w:val="00131B94"/>
    <w:rsid w:val="00131E33"/>
    <w:rsid w:val="00131E6D"/>
    <w:rsid w:val="00131F05"/>
    <w:rsid w:val="00132302"/>
    <w:rsid w:val="0013236C"/>
    <w:rsid w:val="001323A2"/>
    <w:rsid w:val="001323B1"/>
    <w:rsid w:val="001323C8"/>
    <w:rsid w:val="0013247D"/>
    <w:rsid w:val="001326CB"/>
    <w:rsid w:val="00132831"/>
    <w:rsid w:val="001329B1"/>
    <w:rsid w:val="00132AB7"/>
    <w:rsid w:val="00132DFC"/>
    <w:rsid w:val="00133208"/>
    <w:rsid w:val="001332C9"/>
    <w:rsid w:val="001333D7"/>
    <w:rsid w:val="001334D4"/>
    <w:rsid w:val="0013367C"/>
    <w:rsid w:val="001337E2"/>
    <w:rsid w:val="001337E6"/>
    <w:rsid w:val="0013388B"/>
    <w:rsid w:val="0013391C"/>
    <w:rsid w:val="00133C07"/>
    <w:rsid w:val="00133D40"/>
    <w:rsid w:val="00133DBF"/>
    <w:rsid w:val="00133E8B"/>
    <w:rsid w:val="00133EA0"/>
    <w:rsid w:val="00133F3C"/>
    <w:rsid w:val="00133F53"/>
    <w:rsid w:val="00134065"/>
    <w:rsid w:val="0013406A"/>
    <w:rsid w:val="001341E5"/>
    <w:rsid w:val="001342C7"/>
    <w:rsid w:val="0013434A"/>
    <w:rsid w:val="00134395"/>
    <w:rsid w:val="001343DA"/>
    <w:rsid w:val="00134419"/>
    <w:rsid w:val="001345BD"/>
    <w:rsid w:val="0013469C"/>
    <w:rsid w:val="001346AA"/>
    <w:rsid w:val="0013472E"/>
    <w:rsid w:val="00134777"/>
    <w:rsid w:val="0013479B"/>
    <w:rsid w:val="0013482E"/>
    <w:rsid w:val="001348C2"/>
    <w:rsid w:val="00134A64"/>
    <w:rsid w:val="00134B7D"/>
    <w:rsid w:val="00134C0C"/>
    <w:rsid w:val="00134DCF"/>
    <w:rsid w:val="00134EB6"/>
    <w:rsid w:val="00134FDF"/>
    <w:rsid w:val="00135027"/>
    <w:rsid w:val="001350F1"/>
    <w:rsid w:val="00135234"/>
    <w:rsid w:val="001353C2"/>
    <w:rsid w:val="001353D7"/>
    <w:rsid w:val="0013556C"/>
    <w:rsid w:val="001355C3"/>
    <w:rsid w:val="00135732"/>
    <w:rsid w:val="00135755"/>
    <w:rsid w:val="001357BF"/>
    <w:rsid w:val="00135884"/>
    <w:rsid w:val="00135A5A"/>
    <w:rsid w:val="00135CA5"/>
    <w:rsid w:val="00135ED5"/>
    <w:rsid w:val="00135F70"/>
    <w:rsid w:val="00135FC1"/>
    <w:rsid w:val="001360D5"/>
    <w:rsid w:val="00136238"/>
    <w:rsid w:val="001362D0"/>
    <w:rsid w:val="001362D7"/>
    <w:rsid w:val="001365A9"/>
    <w:rsid w:val="001365CB"/>
    <w:rsid w:val="001366E9"/>
    <w:rsid w:val="001367BC"/>
    <w:rsid w:val="001368DB"/>
    <w:rsid w:val="00136908"/>
    <w:rsid w:val="0013697A"/>
    <w:rsid w:val="00136A0B"/>
    <w:rsid w:val="00136C60"/>
    <w:rsid w:val="00136C8E"/>
    <w:rsid w:val="00136E4E"/>
    <w:rsid w:val="00136ED6"/>
    <w:rsid w:val="00136EFC"/>
    <w:rsid w:val="00136FBE"/>
    <w:rsid w:val="001370C5"/>
    <w:rsid w:val="0013710A"/>
    <w:rsid w:val="0013712A"/>
    <w:rsid w:val="0013716F"/>
    <w:rsid w:val="001372D1"/>
    <w:rsid w:val="001372DB"/>
    <w:rsid w:val="0013735B"/>
    <w:rsid w:val="0013779E"/>
    <w:rsid w:val="00137823"/>
    <w:rsid w:val="00137986"/>
    <w:rsid w:val="001379D5"/>
    <w:rsid w:val="00137C50"/>
    <w:rsid w:val="00137D67"/>
    <w:rsid w:val="00137DED"/>
    <w:rsid w:val="00137EB7"/>
    <w:rsid w:val="00137EC7"/>
    <w:rsid w:val="00137FBC"/>
    <w:rsid w:val="00137FD8"/>
    <w:rsid w:val="00140274"/>
    <w:rsid w:val="001403CB"/>
    <w:rsid w:val="001403F6"/>
    <w:rsid w:val="00140461"/>
    <w:rsid w:val="0014048F"/>
    <w:rsid w:val="001405A3"/>
    <w:rsid w:val="0014061F"/>
    <w:rsid w:val="0014073B"/>
    <w:rsid w:val="001408E7"/>
    <w:rsid w:val="001409D2"/>
    <w:rsid w:val="00140BBA"/>
    <w:rsid w:val="00140BFF"/>
    <w:rsid w:val="00140DE5"/>
    <w:rsid w:val="00140FA4"/>
    <w:rsid w:val="00140FF7"/>
    <w:rsid w:val="0014104A"/>
    <w:rsid w:val="001410D0"/>
    <w:rsid w:val="00141193"/>
    <w:rsid w:val="001411B2"/>
    <w:rsid w:val="001416DC"/>
    <w:rsid w:val="001417C2"/>
    <w:rsid w:val="0014184E"/>
    <w:rsid w:val="001418A1"/>
    <w:rsid w:val="001419B5"/>
    <w:rsid w:val="00141A21"/>
    <w:rsid w:val="00141A4E"/>
    <w:rsid w:val="00141B18"/>
    <w:rsid w:val="00141C26"/>
    <w:rsid w:val="00141DA1"/>
    <w:rsid w:val="00142027"/>
    <w:rsid w:val="001420A4"/>
    <w:rsid w:val="001420D6"/>
    <w:rsid w:val="001422B8"/>
    <w:rsid w:val="001423B6"/>
    <w:rsid w:val="001424A1"/>
    <w:rsid w:val="001426DD"/>
    <w:rsid w:val="00142760"/>
    <w:rsid w:val="00142822"/>
    <w:rsid w:val="0014288C"/>
    <w:rsid w:val="00142A36"/>
    <w:rsid w:val="00142B71"/>
    <w:rsid w:val="00142E30"/>
    <w:rsid w:val="00142E40"/>
    <w:rsid w:val="00142E6C"/>
    <w:rsid w:val="001430AE"/>
    <w:rsid w:val="0014316B"/>
    <w:rsid w:val="0014329C"/>
    <w:rsid w:val="0014333B"/>
    <w:rsid w:val="00143341"/>
    <w:rsid w:val="001433AD"/>
    <w:rsid w:val="00143794"/>
    <w:rsid w:val="00143C20"/>
    <w:rsid w:val="00143F65"/>
    <w:rsid w:val="001442E1"/>
    <w:rsid w:val="00144477"/>
    <w:rsid w:val="00144528"/>
    <w:rsid w:val="0014457C"/>
    <w:rsid w:val="00144599"/>
    <w:rsid w:val="001445DE"/>
    <w:rsid w:val="00144608"/>
    <w:rsid w:val="00144701"/>
    <w:rsid w:val="001447A5"/>
    <w:rsid w:val="00144876"/>
    <w:rsid w:val="001448E0"/>
    <w:rsid w:val="001449E7"/>
    <w:rsid w:val="00144A36"/>
    <w:rsid w:val="00144A8F"/>
    <w:rsid w:val="00144C9E"/>
    <w:rsid w:val="00144D77"/>
    <w:rsid w:val="001453D8"/>
    <w:rsid w:val="00145520"/>
    <w:rsid w:val="00145794"/>
    <w:rsid w:val="00145957"/>
    <w:rsid w:val="00145982"/>
    <w:rsid w:val="00145B7D"/>
    <w:rsid w:val="00145DF8"/>
    <w:rsid w:val="00145E15"/>
    <w:rsid w:val="0014608A"/>
    <w:rsid w:val="0014608E"/>
    <w:rsid w:val="001460E3"/>
    <w:rsid w:val="00146198"/>
    <w:rsid w:val="00146259"/>
    <w:rsid w:val="001462CC"/>
    <w:rsid w:val="00146353"/>
    <w:rsid w:val="001463BF"/>
    <w:rsid w:val="001465B2"/>
    <w:rsid w:val="001466D4"/>
    <w:rsid w:val="001467BF"/>
    <w:rsid w:val="001467D0"/>
    <w:rsid w:val="0014691B"/>
    <w:rsid w:val="00146A29"/>
    <w:rsid w:val="00146AB0"/>
    <w:rsid w:val="00146CF7"/>
    <w:rsid w:val="00146D68"/>
    <w:rsid w:val="00146E51"/>
    <w:rsid w:val="00146F97"/>
    <w:rsid w:val="00146FD5"/>
    <w:rsid w:val="00147151"/>
    <w:rsid w:val="00147315"/>
    <w:rsid w:val="001473B4"/>
    <w:rsid w:val="001473C9"/>
    <w:rsid w:val="00147458"/>
    <w:rsid w:val="001476DE"/>
    <w:rsid w:val="0014776E"/>
    <w:rsid w:val="001477B2"/>
    <w:rsid w:val="00147C5D"/>
    <w:rsid w:val="00147CBD"/>
    <w:rsid w:val="00147CBE"/>
    <w:rsid w:val="00147D51"/>
    <w:rsid w:val="00147D5E"/>
    <w:rsid w:val="00147ED2"/>
    <w:rsid w:val="00147F2D"/>
    <w:rsid w:val="001500C5"/>
    <w:rsid w:val="0015011F"/>
    <w:rsid w:val="001501B9"/>
    <w:rsid w:val="00150238"/>
    <w:rsid w:val="00150497"/>
    <w:rsid w:val="001504A6"/>
    <w:rsid w:val="001504BC"/>
    <w:rsid w:val="00150832"/>
    <w:rsid w:val="001509F3"/>
    <w:rsid w:val="00150AC9"/>
    <w:rsid w:val="00150AE7"/>
    <w:rsid w:val="00150BBB"/>
    <w:rsid w:val="00150C02"/>
    <w:rsid w:val="00150CCE"/>
    <w:rsid w:val="00150D43"/>
    <w:rsid w:val="00150F71"/>
    <w:rsid w:val="00151016"/>
    <w:rsid w:val="00151043"/>
    <w:rsid w:val="001510B8"/>
    <w:rsid w:val="00151159"/>
    <w:rsid w:val="00151364"/>
    <w:rsid w:val="001513C6"/>
    <w:rsid w:val="0015156C"/>
    <w:rsid w:val="001515DA"/>
    <w:rsid w:val="0015192F"/>
    <w:rsid w:val="00151B77"/>
    <w:rsid w:val="00151B7B"/>
    <w:rsid w:val="00151D30"/>
    <w:rsid w:val="00151D8E"/>
    <w:rsid w:val="00151DE9"/>
    <w:rsid w:val="00152317"/>
    <w:rsid w:val="00152338"/>
    <w:rsid w:val="00152775"/>
    <w:rsid w:val="00152777"/>
    <w:rsid w:val="0015279A"/>
    <w:rsid w:val="0015284D"/>
    <w:rsid w:val="00152DBB"/>
    <w:rsid w:val="00152E77"/>
    <w:rsid w:val="0015300D"/>
    <w:rsid w:val="00153078"/>
    <w:rsid w:val="00153093"/>
    <w:rsid w:val="00153121"/>
    <w:rsid w:val="00153403"/>
    <w:rsid w:val="0015343E"/>
    <w:rsid w:val="0015346D"/>
    <w:rsid w:val="001535AE"/>
    <w:rsid w:val="001535D7"/>
    <w:rsid w:val="00153885"/>
    <w:rsid w:val="00153B18"/>
    <w:rsid w:val="00153B5A"/>
    <w:rsid w:val="00153B6B"/>
    <w:rsid w:val="00153F63"/>
    <w:rsid w:val="00153FFF"/>
    <w:rsid w:val="001541DD"/>
    <w:rsid w:val="001542D1"/>
    <w:rsid w:val="00154310"/>
    <w:rsid w:val="0015447F"/>
    <w:rsid w:val="001545C9"/>
    <w:rsid w:val="0015462D"/>
    <w:rsid w:val="001547DE"/>
    <w:rsid w:val="001548BB"/>
    <w:rsid w:val="00154964"/>
    <w:rsid w:val="00154969"/>
    <w:rsid w:val="00154999"/>
    <w:rsid w:val="00154A64"/>
    <w:rsid w:val="00154C51"/>
    <w:rsid w:val="00154D92"/>
    <w:rsid w:val="00154DE5"/>
    <w:rsid w:val="00154E07"/>
    <w:rsid w:val="00154E6E"/>
    <w:rsid w:val="00154ECE"/>
    <w:rsid w:val="00154EE9"/>
    <w:rsid w:val="0015503D"/>
    <w:rsid w:val="00155078"/>
    <w:rsid w:val="00155222"/>
    <w:rsid w:val="00155385"/>
    <w:rsid w:val="00155434"/>
    <w:rsid w:val="00155489"/>
    <w:rsid w:val="00155514"/>
    <w:rsid w:val="001555D6"/>
    <w:rsid w:val="001555E7"/>
    <w:rsid w:val="00155737"/>
    <w:rsid w:val="001557AC"/>
    <w:rsid w:val="00155947"/>
    <w:rsid w:val="00155A8B"/>
    <w:rsid w:val="00155BED"/>
    <w:rsid w:val="00155C9D"/>
    <w:rsid w:val="00155EE2"/>
    <w:rsid w:val="00155F08"/>
    <w:rsid w:val="00156697"/>
    <w:rsid w:val="00156765"/>
    <w:rsid w:val="00156A20"/>
    <w:rsid w:val="00156B5D"/>
    <w:rsid w:val="00156CD7"/>
    <w:rsid w:val="00156DAB"/>
    <w:rsid w:val="00156DE8"/>
    <w:rsid w:val="00156ECE"/>
    <w:rsid w:val="00157003"/>
    <w:rsid w:val="00157277"/>
    <w:rsid w:val="00157281"/>
    <w:rsid w:val="0015735E"/>
    <w:rsid w:val="00157429"/>
    <w:rsid w:val="00157451"/>
    <w:rsid w:val="001575F4"/>
    <w:rsid w:val="001576F9"/>
    <w:rsid w:val="0015777E"/>
    <w:rsid w:val="00157815"/>
    <w:rsid w:val="00157907"/>
    <w:rsid w:val="001579AC"/>
    <w:rsid w:val="00157B24"/>
    <w:rsid w:val="00157C66"/>
    <w:rsid w:val="00157D40"/>
    <w:rsid w:val="00157E51"/>
    <w:rsid w:val="00157E56"/>
    <w:rsid w:val="00157E5C"/>
    <w:rsid w:val="00160244"/>
    <w:rsid w:val="0016038F"/>
    <w:rsid w:val="00160518"/>
    <w:rsid w:val="001606C8"/>
    <w:rsid w:val="001607B5"/>
    <w:rsid w:val="0016080E"/>
    <w:rsid w:val="00160861"/>
    <w:rsid w:val="00160BBF"/>
    <w:rsid w:val="00160C09"/>
    <w:rsid w:val="00160CD2"/>
    <w:rsid w:val="00160D5A"/>
    <w:rsid w:val="00160DE6"/>
    <w:rsid w:val="00160E79"/>
    <w:rsid w:val="00160F26"/>
    <w:rsid w:val="00160FAD"/>
    <w:rsid w:val="001610DE"/>
    <w:rsid w:val="0016119F"/>
    <w:rsid w:val="001612BE"/>
    <w:rsid w:val="001613EB"/>
    <w:rsid w:val="00161723"/>
    <w:rsid w:val="0016179F"/>
    <w:rsid w:val="00161946"/>
    <w:rsid w:val="0016199D"/>
    <w:rsid w:val="001619D9"/>
    <w:rsid w:val="00161A39"/>
    <w:rsid w:val="00161C8F"/>
    <w:rsid w:val="00161D12"/>
    <w:rsid w:val="00161E8D"/>
    <w:rsid w:val="00161F59"/>
    <w:rsid w:val="00161FBF"/>
    <w:rsid w:val="00162346"/>
    <w:rsid w:val="00162387"/>
    <w:rsid w:val="001623C5"/>
    <w:rsid w:val="00162498"/>
    <w:rsid w:val="00162532"/>
    <w:rsid w:val="00162563"/>
    <w:rsid w:val="001625F3"/>
    <w:rsid w:val="00162927"/>
    <w:rsid w:val="00162993"/>
    <w:rsid w:val="001629F9"/>
    <w:rsid w:val="00162BFA"/>
    <w:rsid w:val="00162CE2"/>
    <w:rsid w:val="00162DE7"/>
    <w:rsid w:val="00162E53"/>
    <w:rsid w:val="00162E9C"/>
    <w:rsid w:val="00162FBC"/>
    <w:rsid w:val="00162FF0"/>
    <w:rsid w:val="00163080"/>
    <w:rsid w:val="00163285"/>
    <w:rsid w:val="001632DE"/>
    <w:rsid w:val="001633E3"/>
    <w:rsid w:val="00163660"/>
    <w:rsid w:val="00163798"/>
    <w:rsid w:val="00163899"/>
    <w:rsid w:val="00163983"/>
    <w:rsid w:val="00163A29"/>
    <w:rsid w:val="00163C25"/>
    <w:rsid w:val="00163C6C"/>
    <w:rsid w:val="00163D39"/>
    <w:rsid w:val="00163D52"/>
    <w:rsid w:val="00163DD4"/>
    <w:rsid w:val="00163E3B"/>
    <w:rsid w:val="00163E9F"/>
    <w:rsid w:val="001641DE"/>
    <w:rsid w:val="00164309"/>
    <w:rsid w:val="001643F4"/>
    <w:rsid w:val="0016448C"/>
    <w:rsid w:val="001645C5"/>
    <w:rsid w:val="00164A79"/>
    <w:rsid w:val="00164E78"/>
    <w:rsid w:val="00164F11"/>
    <w:rsid w:val="00165013"/>
    <w:rsid w:val="0016517B"/>
    <w:rsid w:val="00165484"/>
    <w:rsid w:val="001654AD"/>
    <w:rsid w:val="0016553F"/>
    <w:rsid w:val="001656A2"/>
    <w:rsid w:val="00165791"/>
    <w:rsid w:val="0016592C"/>
    <w:rsid w:val="00165939"/>
    <w:rsid w:val="00165AF2"/>
    <w:rsid w:val="00165B53"/>
    <w:rsid w:val="00165C45"/>
    <w:rsid w:val="00165C76"/>
    <w:rsid w:val="00165D5F"/>
    <w:rsid w:val="00165E1A"/>
    <w:rsid w:val="00165E29"/>
    <w:rsid w:val="00165F5F"/>
    <w:rsid w:val="0016620E"/>
    <w:rsid w:val="001663A0"/>
    <w:rsid w:val="001663BF"/>
    <w:rsid w:val="00166452"/>
    <w:rsid w:val="0016663B"/>
    <w:rsid w:val="001666B7"/>
    <w:rsid w:val="00166ADE"/>
    <w:rsid w:val="00166B4D"/>
    <w:rsid w:val="00166C20"/>
    <w:rsid w:val="00166F48"/>
    <w:rsid w:val="00166FC1"/>
    <w:rsid w:val="00167078"/>
    <w:rsid w:val="001671B6"/>
    <w:rsid w:val="00167244"/>
    <w:rsid w:val="0016724B"/>
    <w:rsid w:val="00167332"/>
    <w:rsid w:val="00167339"/>
    <w:rsid w:val="001673B7"/>
    <w:rsid w:val="001675D5"/>
    <w:rsid w:val="00167663"/>
    <w:rsid w:val="00167738"/>
    <w:rsid w:val="00167825"/>
    <w:rsid w:val="0016798E"/>
    <w:rsid w:val="00167AE9"/>
    <w:rsid w:val="00167B4A"/>
    <w:rsid w:val="00167C91"/>
    <w:rsid w:val="00167CF5"/>
    <w:rsid w:val="00167E79"/>
    <w:rsid w:val="00167ECD"/>
    <w:rsid w:val="00170337"/>
    <w:rsid w:val="001703DF"/>
    <w:rsid w:val="0017051E"/>
    <w:rsid w:val="001709DD"/>
    <w:rsid w:val="00170BD8"/>
    <w:rsid w:val="00170FDF"/>
    <w:rsid w:val="00170FFA"/>
    <w:rsid w:val="00171369"/>
    <w:rsid w:val="001713E1"/>
    <w:rsid w:val="00171465"/>
    <w:rsid w:val="001714CF"/>
    <w:rsid w:val="00171532"/>
    <w:rsid w:val="00171551"/>
    <w:rsid w:val="001716E3"/>
    <w:rsid w:val="00171995"/>
    <w:rsid w:val="0017199B"/>
    <w:rsid w:val="00171C58"/>
    <w:rsid w:val="00171CBD"/>
    <w:rsid w:val="00171CEE"/>
    <w:rsid w:val="00171FE8"/>
    <w:rsid w:val="0017239D"/>
    <w:rsid w:val="001723CC"/>
    <w:rsid w:val="00172413"/>
    <w:rsid w:val="0017255D"/>
    <w:rsid w:val="001726FA"/>
    <w:rsid w:val="001727E4"/>
    <w:rsid w:val="00172813"/>
    <w:rsid w:val="001728F1"/>
    <w:rsid w:val="00172BF9"/>
    <w:rsid w:val="00172C5A"/>
    <w:rsid w:val="00172F0C"/>
    <w:rsid w:val="00173020"/>
    <w:rsid w:val="00173208"/>
    <w:rsid w:val="0017324B"/>
    <w:rsid w:val="00173302"/>
    <w:rsid w:val="001733C8"/>
    <w:rsid w:val="0017341E"/>
    <w:rsid w:val="0017361E"/>
    <w:rsid w:val="00173652"/>
    <w:rsid w:val="001736D0"/>
    <w:rsid w:val="001739A8"/>
    <w:rsid w:val="00173F73"/>
    <w:rsid w:val="00173FAA"/>
    <w:rsid w:val="0017400C"/>
    <w:rsid w:val="0017406B"/>
    <w:rsid w:val="0017413E"/>
    <w:rsid w:val="001746CD"/>
    <w:rsid w:val="00174798"/>
    <w:rsid w:val="00174AF3"/>
    <w:rsid w:val="00174BE8"/>
    <w:rsid w:val="00174C92"/>
    <w:rsid w:val="00174D7B"/>
    <w:rsid w:val="00174EDF"/>
    <w:rsid w:val="00175094"/>
    <w:rsid w:val="001750AF"/>
    <w:rsid w:val="001750BC"/>
    <w:rsid w:val="001750E7"/>
    <w:rsid w:val="0017519C"/>
    <w:rsid w:val="00175354"/>
    <w:rsid w:val="00175394"/>
    <w:rsid w:val="00175421"/>
    <w:rsid w:val="00175474"/>
    <w:rsid w:val="0017548A"/>
    <w:rsid w:val="001755A6"/>
    <w:rsid w:val="001755FE"/>
    <w:rsid w:val="00175611"/>
    <w:rsid w:val="00175631"/>
    <w:rsid w:val="001756D0"/>
    <w:rsid w:val="00175737"/>
    <w:rsid w:val="001758D0"/>
    <w:rsid w:val="00175C85"/>
    <w:rsid w:val="00175E7E"/>
    <w:rsid w:val="00175E89"/>
    <w:rsid w:val="00175F9C"/>
    <w:rsid w:val="001760A3"/>
    <w:rsid w:val="00176166"/>
    <w:rsid w:val="00176225"/>
    <w:rsid w:val="00176610"/>
    <w:rsid w:val="00176658"/>
    <w:rsid w:val="00176705"/>
    <w:rsid w:val="00176793"/>
    <w:rsid w:val="001767E3"/>
    <w:rsid w:val="00176D5A"/>
    <w:rsid w:val="00176DE2"/>
    <w:rsid w:val="00176F68"/>
    <w:rsid w:val="001770C3"/>
    <w:rsid w:val="001770D6"/>
    <w:rsid w:val="0017722A"/>
    <w:rsid w:val="001772B7"/>
    <w:rsid w:val="001772EB"/>
    <w:rsid w:val="0017730C"/>
    <w:rsid w:val="0017735C"/>
    <w:rsid w:val="001773A1"/>
    <w:rsid w:val="001773B0"/>
    <w:rsid w:val="00177483"/>
    <w:rsid w:val="00177555"/>
    <w:rsid w:val="001775A7"/>
    <w:rsid w:val="0017775B"/>
    <w:rsid w:val="001777D3"/>
    <w:rsid w:val="001777F5"/>
    <w:rsid w:val="001778E0"/>
    <w:rsid w:val="001778EC"/>
    <w:rsid w:val="0017792E"/>
    <w:rsid w:val="00177AD4"/>
    <w:rsid w:val="00177ADA"/>
    <w:rsid w:val="00177AF1"/>
    <w:rsid w:val="00177C1E"/>
    <w:rsid w:val="00177CAA"/>
    <w:rsid w:val="00177E31"/>
    <w:rsid w:val="00177EB3"/>
    <w:rsid w:val="00177F9C"/>
    <w:rsid w:val="0018011A"/>
    <w:rsid w:val="0018019E"/>
    <w:rsid w:val="001801E2"/>
    <w:rsid w:val="00180396"/>
    <w:rsid w:val="001804D6"/>
    <w:rsid w:val="00180623"/>
    <w:rsid w:val="001807A2"/>
    <w:rsid w:val="001808EA"/>
    <w:rsid w:val="00180A3E"/>
    <w:rsid w:val="00180A81"/>
    <w:rsid w:val="00180B75"/>
    <w:rsid w:val="00180CD1"/>
    <w:rsid w:val="00180D31"/>
    <w:rsid w:val="00180F4F"/>
    <w:rsid w:val="00181039"/>
    <w:rsid w:val="00181137"/>
    <w:rsid w:val="00181180"/>
    <w:rsid w:val="00181315"/>
    <w:rsid w:val="00181389"/>
    <w:rsid w:val="001814AE"/>
    <w:rsid w:val="00181525"/>
    <w:rsid w:val="001815C8"/>
    <w:rsid w:val="001815D7"/>
    <w:rsid w:val="00181950"/>
    <w:rsid w:val="001819A2"/>
    <w:rsid w:val="00181A91"/>
    <w:rsid w:val="00181CA6"/>
    <w:rsid w:val="00181CDE"/>
    <w:rsid w:val="00181DE3"/>
    <w:rsid w:val="00181E9E"/>
    <w:rsid w:val="00181EC1"/>
    <w:rsid w:val="001820C0"/>
    <w:rsid w:val="00182104"/>
    <w:rsid w:val="0018214D"/>
    <w:rsid w:val="00182227"/>
    <w:rsid w:val="00182569"/>
    <w:rsid w:val="001828D1"/>
    <w:rsid w:val="00182959"/>
    <w:rsid w:val="0018295A"/>
    <w:rsid w:val="00182ADC"/>
    <w:rsid w:val="00182B08"/>
    <w:rsid w:val="00182BB2"/>
    <w:rsid w:val="00182F90"/>
    <w:rsid w:val="00183120"/>
    <w:rsid w:val="001832EA"/>
    <w:rsid w:val="001833A4"/>
    <w:rsid w:val="00183425"/>
    <w:rsid w:val="001834D5"/>
    <w:rsid w:val="001835ED"/>
    <w:rsid w:val="00183620"/>
    <w:rsid w:val="0018366D"/>
    <w:rsid w:val="001836DC"/>
    <w:rsid w:val="001836DD"/>
    <w:rsid w:val="0018371F"/>
    <w:rsid w:val="001837D9"/>
    <w:rsid w:val="00183926"/>
    <w:rsid w:val="001839A8"/>
    <w:rsid w:val="00183A4D"/>
    <w:rsid w:val="00183AEC"/>
    <w:rsid w:val="00183AF9"/>
    <w:rsid w:val="00183BF8"/>
    <w:rsid w:val="00183C8A"/>
    <w:rsid w:val="00183CE3"/>
    <w:rsid w:val="00183FCD"/>
    <w:rsid w:val="00184002"/>
    <w:rsid w:val="00184132"/>
    <w:rsid w:val="001841FF"/>
    <w:rsid w:val="001843CF"/>
    <w:rsid w:val="00184487"/>
    <w:rsid w:val="00184E5E"/>
    <w:rsid w:val="00184E9F"/>
    <w:rsid w:val="00184EFD"/>
    <w:rsid w:val="00184FFB"/>
    <w:rsid w:val="00185125"/>
    <w:rsid w:val="001852D4"/>
    <w:rsid w:val="001853B5"/>
    <w:rsid w:val="00185512"/>
    <w:rsid w:val="00185574"/>
    <w:rsid w:val="00185648"/>
    <w:rsid w:val="0018567B"/>
    <w:rsid w:val="00185732"/>
    <w:rsid w:val="001858CC"/>
    <w:rsid w:val="0018591E"/>
    <w:rsid w:val="00185969"/>
    <w:rsid w:val="00185AAD"/>
    <w:rsid w:val="00185AD9"/>
    <w:rsid w:val="00185B3C"/>
    <w:rsid w:val="00185ED5"/>
    <w:rsid w:val="00185EF1"/>
    <w:rsid w:val="0018604D"/>
    <w:rsid w:val="0018643D"/>
    <w:rsid w:val="001864CB"/>
    <w:rsid w:val="00186511"/>
    <w:rsid w:val="0018672D"/>
    <w:rsid w:val="00186731"/>
    <w:rsid w:val="00186777"/>
    <w:rsid w:val="00186965"/>
    <w:rsid w:val="001869F6"/>
    <w:rsid w:val="00186B51"/>
    <w:rsid w:val="00187059"/>
    <w:rsid w:val="001870EE"/>
    <w:rsid w:val="001873B2"/>
    <w:rsid w:val="001874A4"/>
    <w:rsid w:val="001876B6"/>
    <w:rsid w:val="00187A0C"/>
    <w:rsid w:val="00187C11"/>
    <w:rsid w:val="00187C86"/>
    <w:rsid w:val="00187DD1"/>
    <w:rsid w:val="00187DED"/>
    <w:rsid w:val="00187FEC"/>
    <w:rsid w:val="0019008D"/>
    <w:rsid w:val="00190182"/>
    <w:rsid w:val="001901CF"/>
    <w:rsid w:val="0019043E"/>
    <w:rsid w:val="0019045B"/>
    <w:rsid w:val="001905E0"/>
    <w:rsid w:val="001908CF"/>
    <w:rsid w:val="001909C5"/>
    <w:rsid w:val="00190A6F"/>
    <w:rsid w:val="00190BB1"/>
    <w:rsid w:val="00190CA4"/>
    <w:rsid w:val="00190E07"/>
    <w:rsid w:val="00190E62"/>
    <w:rsid w:val="00190F05"/>
    <w:rsid w:val="0019105D"/>
    <w:rsid w:val="00191185"/>
    <w:rsid w:val="00191194"/>
    <w:rsid w:val="001911C2"/>
    <w:rsid w:val="00191357"/>
    <w:rsid w:val="0019145C"/>
    <w:rsid w:val="001914E0"/>
    <w:rsid w:val="0019164D"/>
    <w:rsid w:val="00191714"/>
    <w:rsid w:val="001917D1"/>
    <w:rsid w:val="00191A78"/>
    <w:rsid w:val="00191B92"/>
    <w:rsid w:val="00191BA2"/>
    <w:rsid w:val="00191D2A"/>
    <w:rsid w:val="00191E2D"/>
    <w:rsid w:val="00191F09"/>
    <w:rsid w:val="001921F2"/>
    <w:rsid w:val="0019224B"/>
    <w:rsid w:val="00192251"/>
    <w:rsid w:val="00192353"/>
    <w:rsid w:val="0019242A"/>
    <w:rsid w:val="0019243F"/>
    <w:rsid w:val="0019250B"/>
    <w:rsid w:val="00192543"/>
    <w:rsid w:val="001927D3"/>
    <w:rsid w:val="001927DA"/>
    <w:rsid w:val="00192BAE"/>
    <w:rsid w:val="00192CA5"/>
    <w:rsid w:val="00192D90"/>
    <w:rsid w:val="001930D9"/>
    <w:rsid w:val="00193243"/>
    <w:rsid w:val="001932F6"/>
    <w:rsid w:val="00193372"/>
    <w:rsid w:val="0019355E"/>
    <w:rsid w:val="00193615"/>
    <w:rsid w:val="0019362D"/>
    <w:rsid w:val="00193652"/>
    <w:rsid w:val="001937DE"/>
    <w:rsid w:val="00193824"/>
    <w:rsid w:val="00193960"/>
    <w:rsid w:val="00193A49"/>
    <w:rsid w:val="00193ACA"/>
    <w:rsid w:val="00193B5A"/>
    <w:rsid w:val="00193C4B"/>
    <w:rsid w:val="00193D1E"/>
    <w:rsid w:val="00193F1E"/>
    <w:rsid w:val="00194332"/>
    <w:rsid w:val="001945D0"/>
    <w:rsid w:val="0019467A"/>
    <w:rsid w:val="001948C9"/>
    <w:rsid w:val="0019491C"/>
    <w:rsid w:val="00194D29"/>
    <w:rsid w:val="00194EC6"/>
    <w:rsid w:val="00194FFC"/>
    <w:rsid w:val="00195322"/>
    <w:rsid w:val="0019551F"/>
    <w:rsid w:val="0019553F"/>
    <w:rsid w:val="0019555D"/>
    <w:rsid w:val="00195560"/>
    <w:rsid w:val="001956E6"/>
    <w:rsid w:val="001958EB"/>
    <w:rsid w:val="00195AAA"/>
    <w:rsid w:val="00195D13"/>
    <w:rsid w:val="00195EDE"/>
    <w:rsid w:val="00195F3F"/>
    <w:rsid w:val="00196316"/>
    <w:rsid w:val="001965E8"/>
    <w:rsid w:val="00196634"/>
    <w:rsid w:val="0019672B"/>
    <w:rsid w:val="00196877"/>
    <w:rsid w:val="001968EB"/>
    <w:rsid w:val="00196B63"/>
    <w:rsid w:val="00196BF8"/>
    <w:rsid w:val="00196CD3"/>
    <w:rsid w:val="00196E67"/>
    <w:rsid w:val="00196F53"/>
    <w:rsid w:val="001970AF"/>
    <w:rsid w:val="001972C9"/>
    <w:rsid w:val="00197420"/>
    <w:rsid w:val="00197423"/>
    <w:rsid w:val="00197538"/>
    <w:rsid w:val="0019798B"/>
    <w:rsid w:val="00197A3D"/>
    <w:rsid w:val="00197BB3"/>
    <w:rsid w:val="00197C55"/>
    <w:rsid w:val="00197D7E"/>
    <w:rsid w:val="00197ED8"/>
    <w:rsid w:val="00197FA0"/>
    <w:rsid w:val="001A0248"/>
    <w:rsid w:val="001A0249"/>
    <w:rsid w:val="001A049E"/>
    <w:rsid w:val="001A0508"/>
    <w:rsid w:val="001A052C"/>
    <w:rsid w:val="001A0574"/>
    <w:rsid w:val="001A0580"/>
    <w:rsid w:val="001A05A5"/>
    <w:rsid w:val="001A0615"/>
    <w:rsid w:val="001A0737"/>
    <w:rsid w:val="001A0743"/>
    <w:rsid w:val="001A079F"/>
    <w:rsid w:val="001A0BCE"/>
    <w:rsid w:val="001A0F75"/>
    <w:rsid w:val="001A126C"/>
    <w:rsid w:val="001A13B0"/>
    <w:rsid w:val="001A17B6"/>
    <w:rsid w:val="001A17CD"/>
    <w:rsid w:val="001A1937"/>
    <w:rsid w:val="001A1989"/>
    <w:rsid w:val="001A198B"/>
    <w:rsid w:val="001A1AB1"/>
    <w:rsid w:val="001A1D37"/>
    <w:rsid w:val="001A1D87"/>
    <w:rsid w:val="001A1E6B"/>
    <w:rsid w:val="001A1E94"/>
    <w:rsid w:val="001A2021"/>
    <w:rsid w:val="001A20B3"/>
    <w:rsid w:val="001A220F"/>
    <w:rsid w:val="001A2279"/>
    <w:rsid w:val="001A22B5"/>
    <w:rsid w:val="001A23F4"/>
    <w:rsid w:val="001A250F"/>
    <w:rsid w:val="001A2673"/>
    <w:rsid w:val="001A2797"/>
    <w:rsid w:val="001A27B2"/>
    <w:rsid w:val="001A27BE"/>
    <w:rsid w:val="001A29A3"/>
    <w:rsid w:val="001A2A15"/>
    <w:rsid w:val="001A2A20"/>
    <w:rsid w:val="001A2A8B"/>
    <w:rsid w:val="001A2BEF"/>
    <w:rsid w:val="001A2CE2"/>
    <w:rsid w:val="001A2D6F"/>
    <w:rsid w:val="001A3236"/>
    <w:rsid w:val="001A32AC"/>
    <w:rsid w:val="001A32C9"/>
    <w:rsid w:val="001A33DD"/>
    <w:rsid w:val="001A3762"/>
    <w:rsid w:val="001A378A"/>
    <w:rsid w:val="001A39C6"/>
    <w:rsid w:val="001A3B64"/>
    <w:rsid w:val="001A3DBE"/>
    <w:rsid w:val="001A3EF3"/>
    <w:rsid w:val="001A416B"/>
    <w:rsid w:val="001A420F"/>
    <w:rsid w:val="001A421D"/>
    <w:rsid w:val="001A42B4"/>
    <w:rsid w:val="001A4B46"/>
    <w:rsid w:val="001A4C48"/>
    <w:rsid w:val="001A4D3A"/>
    <w:rsid w:val="001A5090"/>
    <w:rsid w:val="001A54E4"/>
    <w:rsid w:val="001A58B5"/>
    <w:rsid w:val="001A58D1"/>
    <w:rsid w:val="001A59EE"/>
    <w:rsid w:val="001A59FD"/>
    <w:rsid w:val="001A5B92"/>
    <w:rsid w:val="001A5CE2"/>
    <w:rsid w:val="001A5DD2"/>
    <w:rsid w:val="001A5E0F"/>
    <w:rsid w:val="001A5F0D"/>
    <w:rsid w:val="001A644E"/>
    <w:rsid w:val="001A65DA"/>
    <w:rsid w:val="001A67BD"/>
    <w:rsid w:val="001A69E7"/>
    <w:rsid w:val="001A6A38"/>
    <w:rsid w:val="001A6C10"/>
    <w:rsid w:val="001A6CF0"/>
    <w:rsid w:val="001A6E3D"/>
    <w:rsid w:val="001A7169"/>
    <w:rsid w:val="001A72C9"/>
    <w:rsid w:val="001A73A4"/>
    <w:rsid w:val="001A74C2"/>
    <w:rsid w:val="001A74FE"/>
    <w:rsid w:val="001A750C"/>
    <w:rsid w:val="001A7516"/>
    <w:rsid w:val="001A76F3"/>
    <w:rsid w:val="001A79F1"/>
    <w:rsid w:val="001A7AB7"/>
    <w:rsid w:val="001A7AC6"/>
    <w:rsid w:val="001A7D51"/>
    <w:rsid w:val="001B0048"/>
    <w:rsid w:val="001B01E7"/>
    <w:rsid w:val="001B055C"/>
    <w:rsid w:val="001B06EC"/>
    <w:rsid w:val="001B0782"/>
    <w:rsid w:val="001B0A6A"/>
    <w:rsid w:val="001B0D5F"/>
    <w:rsid w:val="001B0D76"/>
    <w:rsid w:val="001B101A"/>
    <w:rsid w:val="001B121B"/>
    <w:rsid w:val="001B12FD"/>
    <w:rsid w:val="001B134E"/>
    <w:rsid w:val="001B13FA"/>
    <w:rsid w:val="001B1434"/>
    <w:rsid w:val="001B148B"/>
    <w:rsid w:val="001B14E1"/>
    <w:rsid w:val="001B15D2"/>
    <w:rsid w:val="001B176C"/>
    <w:rsid w:val="001B1AFE"/>
    <w:rsid w:val="001B1B31"/>
    <w:rsid w:val="001B1C23"/>
    <w:rsid w:val="001B1D85"/>
    <w:rsid w:val="001B1E8C"/>
    <w:rsid w:val="001B204C"/>
    <w:rsid w:val="001B214B"/>
    <w:rsid w:val="001B219E"/>
    <w:rsid w:val="001B2239"/>
    <w:rsid w:val="001B2279"/>
    <w:rsid w:val="001B24D1"/>
    <w:rsid w:val="001B277C"/>
    <w:rsid w:val="001B2780"/>
    <w:rsid w:val="001B29B2"/>
    <w:rsid w:val="001B2A76"/>
    <w:rsid w:val="001B2B69"/>
    <w:rsid w:val="001B2C9B"/>
    <w:rsid w:val="001B2CD8"/>
    <w:rsid w:val="001B2E40"/>
    <w:rsid w:val="001B2EAB"/>
    <w:rsid w:val="001B30EE"/>
    <w:rsid w:val="001B3172"/>
    <w:rsid w:val="001B31B8"/>
    <w:rsid w:val="001B3253"/>
    <w:rsid w:val="001B33B1"/>
    <w:rsid w:val="001B3409"/>
    <w:rsid w:val="001B3489"/>
    <w:rsid w:val="001B3652"/>
    <w:rsid w:val="001B366F"/>
    <w:rsid w:val="001B38E9"/>
    <w:rsid w:val="001B3B8F"/>
    <w:rsid w:val="001B3B91"/>
    <w:rsid w:val="001B3BED"/>
    <w:rsid w:val="001B3DDB"/>
    <w:rsid w:val="001B3FD0"/>
    <w:rsid w:val="001B4107"/>
    <w:rsid w:val="001B4201"/>
    <w:rsid w:val="001B46FD"/>
    <w:rsid w:val="001B47E9"/>
    <w:rsid w:val="001B47F7"/>
    <w:rsid w:val="001B4A20"/>
    <w:rsid w:val="001B4C23"/>
    <w:rsid w:val="001B4DF3"/>
    <w:rsid w:val="001B4EF0"/>
    <w:rsid w:val="001B509B"/>
    <w:rsid w:val="001B50B0"/>
    <w:rsid w:val="001B50C1"/>
    <w:rsid w:val="001B5139"/>
    <w:rsid w:val="001B5264"/>
    <w:rsid w:val="001B53C1"/>
    <w:rsid w:val="001B5420"/>
    <w:rsid w:val="001B5589"/>
    <w:rsid w:val="001B5695"/>
    <w:rsid w:val="001B5805"/>
    <w:rsid w:val="001B58E1"/>
    <w:rsid w:val="001B5BF2"/>
    <w:rsid w:val="001B5D24"/>
    <w:rsid w:val="001B5D63"/>
    <w:rsid w:val="001B5D74"/>
    <w:rsid w:val="001B5D76"/>
    <w:rsid w:val="001B5EA4"/>
    <w:rsid w:val="001B5F43"/>
    <w:rsid w:val="001B6034"/>
    <w:rsid w:val="001B6138"/>
    <w:rsid w:val="001B6214"/>
    <w:rsid w:val="001B626B"/>
    <w:rsid w:val="001B6511"/>
    <w:rsid w:val="001B652C"/>
    <w:rsid w:val="001B657D"/>
    <w:rsid w:val="001B6723"/>
    <w:rsid w:val="001B67DC"/>
    <w:rsid w:val="001B68B2"/>
    <w:rsid w:val="001B68D6"/>
    <w:rsid w:val="001B6A74"/>
    <w:rsid w:val="001B6B27"/>
    <w:rsid w:val="001B6C31"/>
    <w:rsid w:val="001B6C53"/>
    <w:rsid w:val="001B6C5B"/>
    <w:rsid w:val="001B6C99"/>
    <w:rsid w:val="001B6F4D"/>
    <w:rsid w:val="001B6F7F"/>
    <w:rsid w:val="001B6FD5"/>
    <w:rsid w:val="001B73B0"/>
    <w:rsid w:val="001B73D8"/>
    <w:rsid w:val="001B73EE"/>
    <w:rsid w:val="001B771F"/>
    <w:rsid w:val="001B7755"/>
    <w:rsid w:val="001B78BC"/>
    <w:rsid w:val="001B78F4"/>
    <w:rsid w:val="001B7A6C"/>
    <w:rsid w:val="001B7B7E"/>
    <w:rsid w:val="001B7C18"/>
    <w:rsid w:val="001B7C36"/>
    <w:rsid w:val="001B7C75"/>
    <w:rsid w:val="001B7D29"/>
    <w:rsid w:val="001B7FB0"/>
    <w:rsid w:val="001C0042"/>
    <w:rsid w:val="001C0160"/>
    <w:rsid w:val="001C06F8"/>
    <w:rsid w:val="001C07C3"/>
    <w:rsid w:val="001C08EB"/>
    <w:rsid w:val="001C093F"/>
    <w:rsid w:val="001C0AF9"/>
    <w:rsid w:val="001C0B58"/>
    <w:rsid w:val="001C0C1D"/>
    <w:rsid w:val="001C0C8C"/>
    <w:rsid w:val="001C0D5B"/>
    <w:rsid w:val="001C10B5"/>
    <w:rsid w:val="001C119D"/>
    <w:rsid w:val="001C1290"/>
    <w:rsid w:val="001C139F"/>
    <w:rsid w:val="001C1421"/>
    <w:rsid w:val="001C1449"/>
    <w:rsid w:val="001C15D2"/>
    <w:rsid w:val="001C184C"/>
    <w:rsid w:val="001C1887"/>
    <w:rsid w:val="001C18CA"/>
    <w:rsid w:val="001C196D"/>
    <w:rsid w:val="001C1A7B"/>
    <w:rsid w:val="001C1AA6"/>
    <w:rsid w:val="001C1C15"/>
    <w:rsid w:val="001C1CE4"/>
    <w:rsid w:val="001C1F38"/>
    <w:rsid w:val="001C1FFF"/>
    <w:rsid w:val="001C2077"/>
    <w:rsid w:val="001C20B2"/>
    <w:rsid w:val="001C2390"/>
    <w:rsid w:val="001C23B9"/>
    <w:rsid w:val="001C26FD"/>
    <w:rsid w:val="001C2808"/>
    <w:rsid w:val="001C2831"/>
    <w:rsid w:val="001C29A0"/>
    <w:rsid w:val="001C29A3"/>
    <w:rsid w:val="001C2DA5"/>
    <w:rsid w:val="001C30A1"/>
    <w:rsid w:val="001C32A9"/>
    <w:rsid w:val="001C33B2"/>
    <w:rsid w:val="001C36C9"/>
    <w:rsid w:val="001C381B"/>
    <w:rsid w:val="001C3860"/>
    <w:rsid w:val="001C398C"/>
    <w:rsid w:val="001C3B41"/>
    <w:rsid w:val="001C3D03"/>
    <w:rsid w:val="001C3D88"/>
    <w:rsid w:val="001C3DE2"/>
    <w:rsid w:val="001C3DE5"/>
    <w:rsid w:val="001C40F0"/>
    <w:rsid w:val="001C4201"/>
    <w:rsid w:val="001C4399"/>
    <w:rsid w:val="001C4459"/>
    <w:rsid w:val="001C45FC"/>
    <w:rsid w:val="001C47BC"/>
    <w:rsid w:val="001C497D"/>
    <w:rsid w:val="001C4A29"/>
    <w:rsid w:val="001C4ADF"/>
    <w:rsid w:val="001C4AF7"/>
    <w:rsid w:val="001C4D5A"/>
    <w:rsid w:val="001C4D79"/>
    <w:rsid w:val="001C4EF2"/>
    <w:rsid w:val="001C4FAF"/>
    <w:rsid w:val="001C5318"/>
    <w:rsid w:val="001C542B"/>
    <w:rsid w:val="001C5454"/>
    <w:rsid w:val="001C55A3"/>
    <w:rsid w:val="001C5625"/>
    <w:rsid w:val="001C56A1"/>
    <w:rsid w:val="001C5860"/>
    <w:rsid w:val="001C588F"/>
    <w:rsid w:val="001C58F5"/>
    <w:rsid w:val="001C5A10"/>
    <w:rsid w:val="001C5D69"/>
    <w:rsid w:val="001C612E"/>
    <w:rsid w:val="001C616A"/>
    <w:rsid w:val="001C663F"/>
    <w:rsid w:val="001C6897"/>
    <w:rsid w:val="001C691E"/>
    <w:rsid w:val="001C6D0C"/>
    <w:rsid w:val="001C6E90"/>
    <w:rsid w:val="001C6F77"/>
    <w:rsid w:val="001C6FA4"/>
    <w:rsid w:val="001C6FAC"/>
    <w:rsid w:val="001C6FB2"/>
    <w:rsid w:val="001C704A"/>
    <w:rsid w:val="001C70A1"/>
    <w:rsid w:val="001C7379"/>
    <w:rsid w:val="001C73C5"/>
    <w:rsid w:val="001C755A"/>
    <w:rsid w:val="001C76D2"/>
    <w:rsid w:val="001C7718"/>
    <w:rsid w:val="001C7730"/>
    <w:rsid w:val="001C795C"/>
    <w:rsid w:val="001C79C6"/>
    <w:rsid w:val="001C7A06"/>
    <w:rsid w:val="001C7C23"/>
    <w:rsid w:val="001C7C2F"/>
    <w:rsid w:val="001C7CDD"/>
    <w:rsid w:val="001C7F21"/>
    <w:rsid w:val="001D00B9"/>
    <w:rsid w:val="001D00CA"/>
    <w:rsid w:val="001D0108"/>
    <w:rsid w:val="001D014B"/>
    <w:rsid w:val="001D01FF"/>
    <w:rsid w:val="001D028E"/>
    <w:rsid w:val="001D02D8"/>
    <w:rsid w:val="001D03A7"/>
    <w:rsid w:val="001D061E"/>
    <w:rsid w:val="001D0752"/>
    <w:rsid w:val="001D085B"/>
    <w:rsid w:val="001D089F"/>
    <w:rsid w:val="001D0AC9"/>
    <w:rsid w:val="001D0B0A"/>
    <w:rsid w:val="001D0E35"/>
    <w:rsid w:val="001D0F58"/>
    <w:rsid w:val="001D10E0"/>
    <w:rsid w:val="001D11CE"/>
    <w:rsid w:val="001D121F"/>
    <w:rsid w:val="001D12B1"/>
    <w:rsid w:val="001D1341"/>
    <w:rsid w:val="001D13D0"/>
    <w:rsid w:val="001D1417"/>
    <w:rsid w:val="001D1467"/>
    <w:rsid w:val="001D1545"/>
    <w:rsid w:val="001D1625"/>
    <w:rsid w:val="001D1829"/>
    <w:rsid w:val="001D1894"/>
    <w:rsid w:val="001D18B5"/>
    <w:rsid w:val="001D1A04"/>
    <w:rsid w:val="001D1DBA"/>
    <w:rsid w:val="001D1FE6"/>
    <w:rsid w:val="001D212D"/>
    <w:rsid w:val="001D21CB"/>
    <w:rsid w:val="001D22FF"/>
    <w:rsid w:val="001D2311"/>
    <w:rsid w:val="001D24CC"/>
    <w:rsid w:val="001D24EF"/>
    <w:rsid w:val="001D2593"/>
    <w:rsid w:val="001D25D1"/>
    <w:rsid w:val="001D266B"/>
    <w:rsid w:val="001D2687"/>
    <w:rsid w:val="001D269E"/>
    <w:rsid w:val="001D272C"/>
    <w:rsid w:val="001D291A"/>
    <w:rsid w:val="001D292B"/>
    <w:rsid w:val="001D2B4F"/>
    <w:rsid w:val="001D2D5E"/>
    <w:rsid w:val="001D2D73"/>
    <w:rsid w:val="001D2D86"/>
    <w:rsid w:val="001D2E62"/>
    <w:rsid w:val="001D2E8C"/>
    <w:rsid w:val="001D30CF"/>
    <w:rsid w:val="001D3138"/>
    <w:rsid w:val="001D3402"/>
    <w:rsid w:val="001D3433"/>
    <w:rsid w:val="001D3763"/>
    <w:rsid w:val="001D3843"/>
    <w:rsid w:val="001D3A2F"/>
    <w:rsid w:val="001D3A39"/>
    <w:rsid w:val="001D3BBD"/>
    <w:rsid w:val="001D3BD5"/>
    <w:rsid w:val="001D3C13"/>
    <w:rsid w:val="001D3D0D"/>
    <w:rsid w:val="001D4005"/>
    <w:rsid w:val="001D4324"/>
    <w:rsid w:val="001D433E"/>
    <w:rsid w:val="001D43C6"/>
    <w:rsid w:val="001D44A6"/>
    <w:rsid w:val="001D4670"/>
    <w:rsid w:val="001D4954"/>
    <w:rsid w:val="001D49B6"/>
    <w:rsid w:val="001D4D2D"/>
    <w:rsid w:val="001D4DC0"/>
    <w:rsid w:val="001D4DE0"/>
    <w:rsid w:val="001D4E67"/>
    <w:rsid w:val="001D4EE7"/>
    <w:rsid w:val="001D522E"/>
    <w:rsid w:val="001D5364"/>
    <w:rsid w:val="001D576F"/>
    <w:rsid w:val="001D57B2"/>
    <w:rsid w:val="001D582B"/>
    <w:rsid w:val="001D5965"/>
    <w:rsid w:val="001D597D"/>
    <w:rsid w:val="001D59A1"/>
    <w:rsid w:val="001D5A3B"/>
    <w:rsid w:val="001D5AD7"/>
    <w:rsid w:val="001D5DFA"/>
    <w:rsid w:val="001D5E4C"/>
    <w:rsid w:val="001D5EF3"/>
    <w:rsid w:val="001D5FDB"/>
    <w:rsid w:val="001D610F"/>
    <w:rsid w:val="001D6708"/>
    <w:rsid w:val="001D672F"/>
    <w:rsid w:val="001D6779"/>
    <w:rsid w:val="001D69A3"/>
    <w:rsid w:val="001D6C1B"/>
    <w:rsid w:val="001D6CD8"/>
    <w:rsid w:val="001D6E0A"/>
    <w:rsid w:val="001D6E27"/>
    <w:rsid w:val="001D6FEA"/>
    <w:rsid w:val="001D7069"/>
    <w:rsid w:val="001D70D3"/>
    <w:rsid w:val="001D71D5"/>
    <w:rsid w:val="001D71E8"/>
    <w:rsid w:val="001D7274"/>
    <w:rsid w:val="001D73A4"/>
    <w:rsid w:val="001D7667"/>
    <w:rsid w:val="001D7789"/>
    <w:rsid w:val="001D798C"/>
    <w:rsid w:val="001D7EFB"/>
    <w:rsid w:val="001D7FC3"/>
    <w:rsid w:val="001D7FCC"/>
    <w:rsid w:val="001E01DE"/>
    <w:rsid w:val="001E02E4"/>
    <w:rsid w:val="001E04F0"/>
    <w:rsid w:val="001E05A5"/>
    <w:rsid w:val="001E05E9"/>
    <w:rsid w:val="001E0635"/>
    <w:rsid w:val="001E0802"/>
    <w:rsid w:val="001E0832"/>
    <w:rsid w:val="001E0A88"/>
    <w:rsid w:val="001E0B07"/>
    <w:rsid w:val="001E0B3C"/>
    <w:rsid w:val="001E0DF4"/>
    <w:rsid w:val="001E0EF7"/>
    <w:rsid w:val="001E0FC2"/>
    <w:rsid w:val="001E109E"/>
    <w:rsid w:val="001E125A"/>
    <w:rsid w:val="001E1280"/>
    <w:rsid w:val="001E14D5"/>
    <w:rsid w:val="001E1690"/>
    <w:rsid w:val="001E16DA"/>
    <w:rsid w:val="001E1758"/>
    <w:rsid w:val="001E1871"/>
    <w:rsid w:val="001E1A13"/>
    <w:rsid w:val="001E1AF7"/>
    <w:rsid w:val="001E1BBB"/>
    <w:rsid w:val="001E1C3D"/>
    <w:rsid w:val="001E1D79"/>
    <w:rsid w:val="001E1DFC"/>
    <w:rsid w:val="001E1ED3"/>
    <w:rsid w:val="001E1EDC"/>
    <w:rsid w:val="001E2114"/>
    <w:rsid w:val="001E2237"/>
    <w:rsid w:val="001E2281"/>
    <w:rsid w:val="001E2308"/>
    <w:rsid w:val="001E25E7"/>
    <w:rsid w:val="001E2682"/>
    <w:rsid w:val="001E290B"/>
    <w:rsid w:val="001E2A7C"/>
    <w:rsid w:val="001E2BBC"/>
    <w:rsid w:val="001E2D1E"/>
    <w:rsid w:val="001E2DCF"/>
    <w:rsid w:val="001E2E3D"/>
    <w:rsid w:val="001E2F18"/>
    <w:rsid w:val="001E32EE"/>
    <w:rsid w:val="001E33E9"/>
    <w:rsid w:val="001E34DD"/>
    <w:rsid w:val="001E3541"/>
    <w:rsid w:val="001E361D"/>
    <w:rsid w:val="001E3627"/>
    <w:rsid w:val="001E39C3"/>
    <w:rsid w:val="001E3A64"/>
    <w:rsid w:val="001E3BBF"/>
    <w:rsid w:val="001E3D82"/>
    <w:rsid w:val="001E3DE0"/>
    <w:rsid w:val="001E4088"/>
    <w:rsid w:val="001E4333"/>
    <w:rsid w:val="001E469D"/>
    <w:rsid w:val="001E4719"/>
    <w:rsid w:val="001E47A8"/>
    <w:rsid w:val="001E491D"/>
    <w:rsid w:val="001E4922"/>
    <w:rsid w:val="001E4B56"/>
    <w:rsid w:val="001E4B66"/>
    <w:rsid w:val="001E4C1F"/>
    <w:rsid w:val="001E4C2A"/>
    <w:rsid w:val="001E4CD5"/>
    <w:rsid w:val="001E4E1B"/>
    <w:rsid w:val="001E4FE0"/>
    <w:rsid w:val="001E5050"/>
    <w:rsid w:val="001E519C"/>
    <w:rsid w:val="001E523D"/>
    <w:rsid w:val="001E5244"/>
    <w:rsid w:val="001E57A6"/>
    <w:rsid w:val="001E5B7A"/>
    <w:rsid w:val="001E5D47"/>
    <w:rsid w:val="001E5EFB"/>
    <w:rsid w:val="001E5EFE"/>
    <w:rsid w:val="001E6046"/>
    <w:rsid w:val="001E6105"/>
    <w:rsid w:val="001E622C"/>
    <w:rsid w:val="001E6357"/>
    <w:rsid w:val="001E635C"/>
    <w:rsid w:val="001E6377"/>
    <w:rsid w:val="001E6438"/>
    <w:rsid w:val="001E643A"/>
    <w:rsid w:val="001E64BC"/>
    <w:rsid w:val="001E64FC"/>
    <w:rsid w:val="001E6542"/>
    <w:rsid w:val="001E663D"/>
    <w:rsid w:val="001E6997"/>
    <w:rsid w:val="001E6A69"/>
    <w:rsid w:val="001E6E38"/>
    <w:rsid w:val="001E6F75"/>
    <w:rsid w:val="001E7222"/>
    <w:rsid w:val="001E7445"/>
    <w:rsid w:val="001E747F"/>
    <w:rsid w:val="001E74B6"/>
    <w:rsid w:val="001E765D"/>
    <w:rsid w:val="001E7802"/>
    <w:rsid w:val="001E781B"/>
    <w:rsid w:val="001E7896"/>
    <w:rsid w:val="001E7898"/>
    <w:rsid w:val="001E7A63"/>
    <w:rsid w:val="001E7CC0"/>
    <w:rsid w:val="001E7D01"/>
    <w:rsid w:val="001E7D45"/>
    <w:rsid w:val="001E7ED1"/>
    <w:rsid w:val="001E7F21"/>
    <w:rsid w:val="001E7F8D"/>
    <w:rsid w:val="001E7FF3"/>
    <w:rsid w:val="001F0019"/>
    <w:rsid w:val="001F015D"/>
    <w:rsid w:val="001F0403"/>
    <w:rsid w:val="001F0644"/>
    <w:rsid w:val="001F073F"/>
    <w:rsid w:val="001F0995"/>
    <w:rsid w:val="001F09E5"/>
    <w:rsid w:val="001F0C92"/>
    <w:rsid w:val="001F0F3F"/>
    <w:rsid w:val="001F160D"/>
    <w:rsid w:val="001F197A"/>
    <w:rsid w:val="001F19C5"/>
    <w:rsid w:val="001F19CA"/>
    <w:rsid w:val="001F1ACD"/>
    <w:rsid w:val="001F1E86"/>
    <w:rsid w:val="001F1F5A"/>
    <w:rsid w:val="001F1F9B"/>
    <w:rsid w:val="001F204E"/>
    <w:rsid w:val="001F22D5"/>
    <w:rsid w:val="001F241F"/>
    <w:rsid w:val="001F2436"/>
    <w:rsid w:val="001F2573"/>
    <w:rsid w:val="001F25F4"/>
    <w:rsid w:val="001F2601"/>
    <w:rsid w:val="001F267C"/>
    <w:rsid w:val="001F2805"/>
    <w:rsid w:val="001F280F"/>
    <w:rsid w:val="001F29B1"/>
    <w:rsid w:val="001F2B7B"/>
    <w:rsid w:val="001F2B8F"/>
    <w:rsid w:val="001F2DB3"/>
    <w:rsid w:val="001F2E8E"/>
    <w:rsid w:val="001F2F1D"/>
    <w:rsid w:val="001F3038"/>
    <w:rsid w:val="001F33E0"/>
    <w:rsid w:val="001F35FE"/>
    <w:rsid w:val="001F373D"/>
    <w:rsid w:val="001F37B2"/>
    <w:rsid w:val="001F37EE"/>
    <w:rsid w:val="001F3877"/>
    <w:rsid w:val="001F38F6"/>
    <w:rsid w:val="001F3A09"/>
    <w:rsid w:val="001F3A1D"/>
    <w:rsid w:val="001F3C01"/>
    <w:rsid w:val="001F3C2B"/>
    <w:rsid w:val="001F3DAC"/>
    <w:rsid w:val="001F3DCE"/>
    <w:rsid w:val="001F3F56"/>
    <w:rsid w:val="001F3FF1"/>
    <w:rsid w:val="001F4077"/>
    <w:rsid w:val="001F407B"/>
    <w:rsid w:val="001F4164"/>
    <w:rsid w:val="001F4185"/>
    <w:rsid w:val="001F4214"/>
    <w:rsid w:val="001F425A"/>
    <w:rsid w:val="001F4282"/>
    <w:rsid w:val="001F4314"/>
    <w:rsid w:val="001F43F9"/>
    <w:rsid w:val="001F4446"/>
    <w:rsid w:val="001F45B2"/>
    <w:rsid w:val="001F4665"/>
    <w:rsid w:val="001F468F"/>
    <w:rsid w:val="001F4919"/>
    <w:rsid w:val="001F4A36"/>
    <w:rsid w:val="001F4AAC"/>
    <w:rsid w:val="001F4B1D"/>
    <w:rsid w:val="001F4BE5"/>
    <w:rsid w:val="001F4CD6"/>
    <w:rsid w:val="001F4D59"/>
    <w:rsid w:val="001F4DEF"/>
    <w:rsid w:val="001F5353"/>
    <w:rsid w:val="001F5516"/>
    <w:rsid w:val="001F589C"/>
    <w:rsid w:val="001F5A10"/>
    <w:rsid w:val="001F5DE7"/>
    <w:rsid w:val="001F5ECF"/>
    <w:rsid w:val="001F5F04"/>
    <w:rsid w:val="001F5FA4"/>
    <w:rsid w:val="001F60AF"/>
    <w:rsid w:val="001F60D9"/>
    <w:rsid w:val="001F6131"/>
    <w:rsid w:val="001F6193"/>
    <w:rsid w:val="001F634B"/>
    <w:rsid w:val="001F63AA"/>
    <w:rsid w:val="001F648C"/>
    <w:rsid w:val="001F64E6"/>
    <w:rsid w:val="001F65F6"/>
    <w:rsid w:val="001F6902"/>
    <w:rsid w:val="001F6A1A"/>
    <w:rsid w:val="001F6A3D"/>
    <w:rsid w:val="001F6A83"/>
    <w:rsid w:val="001F6B89"/>
    <w:rsid w:val="001F6D36"/>
    <w:rsid w:val="001F7092"/>
    <w:rsid w:val="001F7329"/>
    <w:rsid w:val="001F73CF"/>
    <w:rsid w:val="001F73D1"/>
    <w:rsid w:val="001F7400"/>
    <w:rsid w:val="001F75DB"/>
    <w:rsid w:val="001F7625"/>
    <w:rsid w:val="001F7674"/>
    <w:rsid w:val="001F76C8"/>
    <w:rsid w:val="001F77DF"/>
    <w:rsid w:val="001F7B0D"/>
    <w:rsid w:val="001F7D86"/>
    <w:rsid w:val="0020024E"/>
    <w:rsid w:val="0020033A"/>
    <w:rsid w:val="002004EA"/>
    <w:rsid w:val="0020054B"/>
    <w:rsid w:val="00200577"/>
    <w:rsid w:val="002006B0"/>
    <w:rsid w:val="0020077C"/>
    <w:rsid w:val="00200846"/>
    <w:rsid w:val="00200866"/>
    <w:rsid w:val="00200884"/>
    <w:rsid w:val="00200AD9"/>
    <w:rsid w:val="00200BC5"/>
    <w:rsid w:val="00200C0A"/>
    <w:rsid w:val="00200D9F"/>
    <w:rsid w:val="00200E8C"/>
    <w:rsid w:val="00200ECA"/>
    <w:rsid w:val="00200F85"/>
    <w:rsid w:val="00200FD1"/>
    <w:rsid w:val="00201293"/>
    <w:rsid w:val="002013B2"/>
    <w:rsid w:val="002016B3"/>
    <w:rsid w:val="00201AE4"/>
    <w:rsid w:val="00201D7B"/>
    <w:rsid w:val="00201F65"/>
    <w:rsid w:val="00202189"/>
    <w:rsid w:val="00202229"/>
    <w:rsid w:val="0020238E"/>
    <w:rsid w:val="00202495"/>
    <w:rsid w:val="002024C0"/>
    <w:rsid w:val="002026DC"/>
    <w:rsid w:val="00202A17"/>
    <w:rsid w:val="00202A8B"/>
    <w:rsid w:val="00202AF1"/>
    <w:rsid w:val="00202C3F"/>
    <w:rsid w:val="00202D78"/>
    <w:rsid w:val="00202DD2"/>
    <w:rsid w:val="00202F91"/>
    <w:rsid w:val="00203369"/>
    <w:rsid w:val="002033B7"/>
    <w:rsid w:val="00203575"/>
    <w:rsid w:val="00203715"/>
    <w:rsid w:val="00203841"/>
    <w:rsid w:val="00203901"/>
    <w:rsid w:val="00203D62"/>
    <w:rsid w:val="00204056"/>
    <w:rsid w:val="0020407F"/>
    <w:rsid w:val="00204093"/>
    <w:rsid w:val="0020429F"/>
    <w:rsid w:val="002044E4"/>
    <w:rsid w:val="002046E4"/>
    <w:rsid w:val="002047FA"/>
    <w:rsid w:val="00204A10"/>
    <w:rsid w:val="00204A82"/>
    <w:rsid w:val="00204A8C"/>
    <w:rsid w:val="00204B4F"/>
    <w:rsid w:val="00204B66"/>
    <w:rsid w:val="00204BB5"/>
    <w:rsid w:val="00204CDB"/>
    <w:rsid w:val="00204D88"/>
    <w:rsid w:val="00204F24"/>
    <w:rsid w:val="002050A2"/>
    <w:rsid w:val="002050AD"/>
    <w:rsid w:val="00205236"/>
    <w:rsid w:val="0020524D"/>
    <w:rsid w:val="00205291"/>
    <w:rsid w:val="0020562A"/>
    <w:rsid w:val="002057CD"/>
    <w:rsid w:val="002059B7"/>
    <w:rsid w:val="00205B65"/>
    <w:rsid w:val="00205F36"/>
    <w:rsid w:val="00206007"/>
    <w:rsid w:val="002060A7"/>
    <w:rsid w:val="0020615E"/>
    <w:rsid w:val="00206203"/>
    <w:rsid w:val="002062E8"/>
    <w:rsid w:val="00206341"/>
    <w:rsid w:val="00206370"/>
    <w:rsid w:val="0020638F"/>
    <w:rsid w:val="0020639B"/>
    <w:rsid w:val="00206414"/>
    <w:rsid w:val="0020675F"/>
    <w:rsid w:val="0020679E"/>
    <w:rsid w:val="0020687E"/>
    <w:rsid w:val="00206A5A"/>
    <w:rsid w:val="00206A9E"/>
    <w:rsid w:val="00206B62"/>
    <w:rsid w:val="00206BA6"/>
    <w:rsid w:val="00206F9B"/>
    <w:rsid w:val="00207319"/>
    <w:rsid w:val="002077E5"/>
    <w:rsid w:val="00207A16"/>
    <w:rsid w:val="00207BAF"/>
    <w:rsid w:val="00207BD1"/>
    <w:rsid w:val="00207D57"/>
    <w:rsid w:val="00207E09"/>
    <w:rsid w:val="00207F0C"/>
    <w:rsid w:val="00207F84"/>
    <w:rsid w:val="002100AC"/>
    <w:rsid w:val="0021022C"/>
    <w:rsid w:val="0021038F"/>
    <w:rsid w:val="0021042E"/>
    <w:rsid w:val="00210511"/>
    <w:rsid w:val="002107CC"/>
    <w:rsid w:val="00210871"/>
    <w:rsid w:val="002108D0"/>
    <w:rsid w:val="00210A9B"/>
    <w:rsid w:val="00210AD4"/>
    <w:rsid w:val="00210B03"/>
    <w:rsid w:val="00210C63"/>
    <w:rsid w:val="00210D4E"/>
    <w:rsid w:val="00210D86"/>
    <w:rsid w:val="00210E7C"/>
    <w:rsid w:val="00210E9A"/>
    <w:rsid w:val="00210FAB"/>
    <w:rsid w:val="0021113F"/>
    <w:rsid w:val="00211159"/>
    <w:rsid w:val="00211280"/>
    <w:rsid w:val="00211284"/>
    <w:rsid w:val="00211319"/>
    <w:rsid w:val="002114E0"/>
    <w:rsid w:val="00211521"/>
    <w:rsid w:val="002117AD"/>
    <w:rsid w:val="002118C5"/>
    <w:rsid w:val="00211945"/>
    <w:rsid w:val="00211A94"/>
    <w:rsid w:val="00211AC8"/>
    <w:rsid w:val="00211B1B"/>
    <w:rsid w:val="00211BE6"/>
    <w:rsid w:val="00211CA0"/>
    <w:rsid w:val="00211D01"/>
    <w:rsid w:val="0021202B"/>
    <w:rsid w:val="002121EE"/>
    <w:rsid w:val="002122B4"/>
    <w:rsid w:val="00212497"/>
    <w:rsid w:val="002125B0"/>
    <w:rsid w:val="0021267A"/>
    <w:rsid w:val="0021270A"/>
    <w:rsid w:val="00212936"/>
    <w:rsid w:val="002129B7"/>
    <w:rsid w:val="00212AA8"/>
    <w:rsid w:val="00212B82"/>
    <w:rsid w:val="00212D09"/>
    <w:rsid w:val="00212F07"/>
    <w:rsid w:val="00212F68"/>
    <w:rsid w:val="00213007"/>
    <w:rsid w:val="0021327D"/>
    <w:rsid w:val="0021352A"/>
    <w:rsid w:val="0021361C"/>
    <w:rsid w:val="0021370C"/>
    <w:rsid w:val="00213849"/>
    <w:rsid w:val="00213AE8"/>
    <w:rsid w:val="00213B3F"/>
    <w:rsid w:val="00213E43"/>
    <w:rsid w:val="00213E87"/>
    <w:rsid w:val="00213EAC"/>
    <w:rsid w:val="00213F43"/>
    <w:rsid w:val="00213FFA"/>
    <w:rsid w:val="00214037"/>
    <w:rsid w:val="002140C3"/>
    <w:rsid w:val="0021417D"/>
    <w:rsid w:val="0021428F"/>
    <w:rsid w:val="00214342"/>
    <w:rsid w:val="0021451B"/>
    <w:rsid w:val="0021455F"/>
    <w:rsid w:val="0021497F"/>
    <w:rsid w:val="002149EE"/>
    <w:rsid w:val="00214BA9"/>
    <w:rsid w:val="00214BB3"/>
    <w:rsid w:val="00214BE4"/>
    <w:rsid w:val="00214CC8"/>
    <w:rsid w:val="00214D38"/>
    <w:rsid w:val="00214E9F"/>
    <w:rsid w:val="00214ED1"/>
    <w:rsid w:val="002150B9"/>
    <w:rsid w:val="002150D3"/>
    <w:rsid w:val="0021515D"/>
    <w:rsid w:val="002152F7"/>
    <w:rsid w:val="0021539A"/>
    <w:rsid w:val="002153C8"/>
    <w:rsid w:val="002154F2"/>
    <w:rsid w:val="00215673"/>
    <w:rsid w:val="00215744"/>
    <w:rsid w:val="002158C7"/>
    <w:rsid w:val="0021593B"/>
    <w:rsid w:val="00215A13"/>
    <w:rsid w:val="00215A67"/>
    <w:rsid w:val="00215EB1"/>
    <w:rsid w:val="0021617A"/>
    <w:rsid w:val="002161D6"/>
    <w:rsid w:val="002162E2"/>
    <w:rsid w:val="00216403"/>
    <w:rsid w:val="0021647F"/>
    <w:rsid w:val="00216496"/>
    <w:rsid w:val="002164C2"/>
    <w:rsid w:val="0021668D"/>
    <w:rsid w:val="00216831"/>
    <w:rsid w:val="0021691C"/>
    <w:rsid w:val="00216A5B"/>
    <w:rsid w:val="00216BD9"/>
    <w:rsid w:val="00216D33"/>
    <w:rsid w:val="00216D34"/>
    <w:rsid w:val="00216D6C"/>
    <w:rsid w:val="00216DB2"/>
    <w:rsid w:val="00216E10"/>
    <w:rsid w:val="002170BB"/>
    <w:rsid w:val="0021718F"/>
    <w:rsid w:val="00217324"/>
    <w:rsid w:val="002175E4"/>
    <w:rsid w:val="002178F2"/>
    <w:rsid w:val="00217A0E"/>
    <w:rsid w:val="00217C77"/>
    <w:rsid w:val="00217E66"/>
    <w:rsid w:val="00217F34"/>
    <w:rsid w:val="00220082"/>
    <w:rsid w:val="00220146"/>
    <w:rsid w:val="0022028A"/>
    <w:rsid w:val="002202C0"/>
    <w:rsid w:val="0022031A"/>
    <w:rsid w:val="00220338"/>
    <w:rsid w:val="002203B6"/>
    <w:rsid w:val="002203E7"/>
    <w:rsid w:val="00220473"/>
    <w:rsid w:val="002204F7"/>
    <w:rsid w:val="00220528"/>
    <w:rsid w:val="00220650"/>
    <w:rsid w:val="00220849"/>
    <w:rsid w:val="002208F9"/>
    <w:rsid w:val="002209AB"/>
    <w:rsid w:val="00220A8F"/>
    <w:rsid w:val="00220DBE"/>
    <w:rsid w:val="00220E6D"/>
    <w:rsid w:val="00220EC2"/>
    <w:rsid w:val="00220F58"/>
    <w:rsid w:val="002210A6"/>
    <w:rsid w:val="002210AD"/>
    <w:rsid w:val="002210C4"/>
    <w:rsid w:val="00221392"/>
    <w:rsid w:val="00221415"/>
    <w:rsid w:val="00221447"/>
    <w:rsid w:val="002214ED"/>
    <w:rsid w:val="0022154F"/>
    <w:rsid w:val="0022163E"/>
    <w:rsid w:val="00221682"/>
    <w:rsid w:val="002216BB"/>
    <w:rsid w:val="002217D5"/>
    <w:rsid w:val="00221839"/>
    <w:rsid w:val="00221B11"/>
    <w:rsid w:val="00221B96"/>
    <w:rsid w:val="00221BD1"/>
    <w:rsid w:val="00221D3D"/>
    <w:rsid w:val="00221FC8"/>
    <w:rsid w:val="002220AC"/>
    <w:rsid w:val="00222127"/>
    <w:rsid w:val="00222142"/>
    <w:rsid w:val="00222671"/>
    <w:rsid w:val="00222681"/>
    <w:rsid w:val="002226C4"/>
    <w:rsid w:val="00222731"/>
    <w:rsid w:val="00222B18"/>
    <w:rsid w:val="00222BB7"/>
    <w:rsid w:val="00222BB8"/>
    <w:rsid w:val="00222BC4"/>
    <w:rsid w:val="00222DFE"/>
    <w:rsid w:val="00222F1E"/>
    <w:rsid w:val="0022303F"/>
    <w:rsid w:val="0022317C"/>
    <w:rsid w:val="002231D4"/>
    <w:rsid w:val="0022324D"/>
    <w:rsid w:val="0022338B"/>
    <w:rsid w:val="00223683"/>
    <w:rsid w:val="00223930"/>
    <w:rsid w:val="00223B98"/>
    <w:rsid w:val="00223BD6"/>
    <w:rsid w:val="00223E93"/>
    <w:rsid w:val="00223EC9"/>
    <w:rsid w:val="00223F57"/>
    <w:rsid w:val="00224030"/>
    <w:rsid w:val="002240CD"/>
    <w:rsid w:val="0022412E"/>
    <w:rsid w:val="002244E1"/>
    <w:rsid w:val="00224545"/>
    <w:rsid w:val="0022454E"/>
    <w:rsid w:val="00224558"/>
    <w:rsid w:val="00224571"/>
    <w:rsid w:val="00224628"/>
    <w:rsid w:val="002246DB"/>
    <w:rsid w:val="00224706"/>
    <w:rsid w:val="002248A4"/>
    <w:rsid w:val="002248D2"/>
    <w:rsid w:val="002248E6"/>
    <w:rsid w:val="00224922"/>
    <w:rsid w:val="0022498D"/>
    <w:rsid w:val="00224AFA"/>
    <w:rsid w:val="00224B39"/>
    <w:rsid w:val="00224EB8"/>
    <w:rsid w:val="0022513A"/>
    <w:rsid w:val="0022515B"/>
    <w:rsid w:val="0022526E"/>
    <w:rsid w:val="00225361"/>
    <w:rsid w:val="002253D5"/>
    <w:rsid w:val="002255EB"/>
    <w:rsid w:val="00225612"/>
    <w:rsid w:val="002257B1"/>
    <w:rsid w:val="00225A7E"/>
    <w:rsid w:val="00225C9B"/>
    <w:rsid w:val="00225DE7"/>
    <w:rsid w:val="00225F7A"/>
    <w:rsid w:val="00225FB2"/>
    <w:rsid w:val="002262B5"/>
    <w:rsid w:val="0022634C"/>
    <w:rsid w:val="00226463"/>
    <w:rsid w:val="002266E1"/>
    <w:rsid w:val="00226804"/>
    <w:rsid w:val="00226981"/>
    <w:rsid w:val="00226BBB"/>
    <w:rsid w:val="00226F85"/>
    <w:rsid w:val="00227071"/>
    <w:rsid w:val="0022744F"/>
    <w:rsid w:val="0022749B"/>
    <w:rsid w:val="0022775E"/>
    <w:rsid w:val="00227839"/>
    <w:rsid w:val="002278FE"/>
    <w:rsid w:val="002279CC"/>
    <w:rsid w:val="002279D4"/>
    <w:rsid w:val="00227C34"/>
    <w:rsid w:val="00227E4A"/>
    <w:rsid w:val="00227F98"/>
    <w:rsid w:val="002300EC"/>
    <w:rsid w:val="00230292"/>
    <w:rsid w:val="00230302"/>
    <w:rsid w:val="002303E3"/>
    <w:rsid w:val="0023047D"/>
    <w:rsid w:val="002305E0"/>
    <w:rsid w:val="00230640"/>
    <w:rsid w:val="002307C3"/>
    <w:rsid w:val="002308FB"/>
    <w:rsid w:val="00230922"/>
    <w:rsid w:val="00230985"/>
    <w:rsid w:val="002309C6"/>
    <w:rsid w:val="002309CC"/>
    <w:rsid w:val="00230A34"/>
    <w:rsid w:val="00230BA3"/>
    <w:rsid w:val="00230BDC"/>
    <w:rsid w:val="00230C12"/>
    <w:rsid w:val="002310D6"/>
    <w:rsid w:val="00231120"/>
    <w:rsid w:val="00231590"/>
    <w:rsid w:val="002317F4"/>
    <w:rsid w:val="00231AC7"/>
    <w:rsid w:val="00231B07"/>
    <w:rsid w:val="00231C05"/>
    <w:rsid w:val="00231DC4"/>
    <w:rsid w:val="00231E42"/>
    <w:rsid w:val="00231FEB"/>
    <w:rsid w:val="00232043"/>
    <w:rsid w:val="002320C9"/>
    <w:rsid w:val="0023225D"/>
    <w:rsid w:val="002322C6"/>
    <w:rsid w:val="002323B6"/>
    <w:rsid w:val="00232468"/>
    <w:rsid w:val="0023255F"/>
    <w:rsid w:val="00232823"/>
    <w:rsid w:val="002328D5"/>
    <w:rsid w:val="00232A5F"/>
    <w:rsid w:val="00232A64"/>
    <w:rsid w:val="00232A7A"/>
    <w:rsid w:val="00232A85"/>
    <w:rsid w:val="00232BA9"/>
    <w:rsid w:val="00232C09"/>
    <w:rsid w:val="00232D99"/>
    <w:rsid w:val="00232E38"/>
    <w:rsid w:val="0023322B"/>
    <w:rsid w:val="00233269"/>
    <w:rsid w:val="0023328F"/>
    <w:rsid w:val="0023352E"/>
    <w:rsid w:val="00233562"/>
    <w:rsid w:val="00233648"/>
    <w:rsid w:val="0023372F"/>
    <w:rsid w:val="0023395D"/>
    <w:rsid w:val="00233C98"/>
    <w:rsid w:val="00233D5B"/>
    <w:rsid w:val="00233E22"/>
    <w:rsid w:val="00233E2E"/>
    <w:rsid w:val="00233EE1"/>
    <w:rsid w:val="0023401F"/>
    <w:rsid w:val="00234104"/>
    <w:rsid w:val="00234380"/>
    <w:rsid w:val="002343EA"/>
    <w:rsid w:val="00234576"/>
    <w:rsid w:val="00234662"/>
    <w:rsid w:val="00234859"/>
    <w:rsid w:val="002348D1"/>
    <w:rsid w:val="00234A50"/>
    <w:rsid w:val="00234AA2"/>
    <w:rsid w:val="00234AC2"/>
    <w:rsid w:val="00234B3A"/>
    <w:rsid w:val="00234BC6"/>
    <w:rsid w:val="00234BF2"/>
    <w:rsid w:val="00234DD1"/>
    <w:rsid w:val="00234F1E"/>
    <w:rsid w:val="002350C5"/>
    <w:rsid w:val="002350EE"/>
    <w:rsid w:val="00235154"/>
    <w:rsid w:val="002351B6"/>
    <w:rsid w:val="00235541"/>
    <w:rsid w:val="00235602"/>
    <w:rsid w:val="0023567F"/>
    <w:rsid w:val="00235782"/>
    <w:rsid w:val="002357E6"/>
    <w:rsid w:val="00235924"/>
    <w:rsid w:val="00235B8B"/>
    <w:rsid w:val="00235C12"/>
    <w:rsid w:val="00235F6C"/>
    <w:rsid w:val="00236054"/>
    <w:rsid w:val="0023618A"/>
    <w:rsid w:val="002363A9"/>
    <w:rsid w:val="002363DB"/>
    <w:rsid w:val="002364AF"/>
    <w:rsid w:val="00236602"/>
    <w:rsid w:val="002367E7"/>
    <w:rsid w:val="00236872"/>
    <w:rsid w:val="00236923"/>
    <w:rsid w:val="0023692A"/>
    <w:rsid w:val="002369B6"/>
    <w:rsid w:val="00236D26"/>
    <w:rsid w:val="00236DC6"/>
    <w:rsid w:val="00236E1C"/>
    <w:rsid w:val="002370FC"/>
    <w:rsid w:val="00237159"/>
    <w:rsid w:val="00237205"/>
    <w:rsid w:val="00237248"/>
    <w:rsid w:val="002375C3"/>
    <w:rsid w:val="002376D6"/>
    <w:rsid w:val="002377A7"/>
    <w:rsid w:val="0023784E"/>
    <w:rsid w:val="00237997"/>
    <w:rsid w:val="002379A7"/>
    <w:rsid w:val="002379C8"/>
    <w:rsid w:val="00237A18"/>
    <w:rsid w:val="00237A3F"/>
    <w:rsid w:val="00237AC8"/>
    <w:rsid w:val="00237C35"/>
    <w:rsid w:val="00237C7D"/>
    <w:rsid w:val="00237C85"/>
    <w:rsid w:val="00237D28"/>
    <w:rsid w:val="00237DE2"/>
    <w:rsid w:val="00237E6D"/>
    <w:rsid w:val="00237EAA"/>
    <w:rsid w:val="0024016F"/>
    <w:rsid w:val="0024028E"/>
    <w:rsid w:val="00240434"/>
    <w:rsid w:val="002404E0"/>
    <w:rsid w:val="00240535"/>
    <w:rsid w:val="002407A2"/>
    <w:rsid w:val="002407F8"/>
    <w:rsid w:val="002409EC"/>
    <w:rsid w:val="00240C27"/>
    <w:rsid w:val="00240CFC"/>
    <w:rsid w:val="00240DC7"/>
    <w:rsid w:val="00240DD9"/>
    <w:rsid w:val="00240E98"/>
    <w:rsid w:val="00240FE0"/>
    <w:rsid w:val="002410F7"/>
    <w:rsid w:val="002411C0"/>
    <w:rsid w:val="002411DA"/>
    <w:rsid w:val="0024134D"/>
    <w:rsid w:val="0024135A"/>
    <w:rsid w:val="00241568"/>
    <w:rsid w:val="002415FB"/>
    <w:rsid w:val="002419E7"/>
    <w:rsid w:val="00241A65"/>
    <w:rsid w:val="00241BA6"/>
    <w:rsid w:val="00241C42"/>
    <w:rsid w:val="00241DD1"/>
    <w:rsid w:val="00241E60"/>
    <w:rsid w:val="00241F09"/>
    <w:rsid w:val="00241F20"/>
    <w:rsid w:val="00241FB8"/>
    <w:rsid w:val="002420EC"/>
    <w:rsid w:val="00242193"/>
    <w:rsid w:val="002421B4"/>
    <w:rsid w:val="002421D0"/>
    <w:rsid w:val="0024239A"/>
    <w:rsid w:val="002423A2"/>
    <w:rsid w:val="002425D7"/>
    <w:rsid w:val="002425EB"/>
    <w:rsid w:val="002426B7"/>
    <w:rsid w:val="00242921"/>
    <w:rsid w:val="00242B5F"/>
    <w:rsid w:val="00242C48"/>
    <w:rsid w:val="00242C4E"/>
    <w:rsid w:val="00242D31"/>
    <w:rsid w:val="00242D3C"/>
    <w:rsid w:val="00242E1D"/>
    <w:rsid w:val="00242E79"/>
    <w:rsid w:val="00242FA6"/>
    <w:rsid w:val="00242FB3"/>
    <w:rsid w:val="00243126"/>
    <w:rsid w:val="0024324F"/>
    <w:rsid w:val="0024325C"/>
    <w:rsid w:val="002433FA"/>
    <w:rsid w:val="002437BB"/>
    <w:rsid w:val="002437FB"/>
    <w:rsid w:val="002438AC"/>
    <w:rsid w:val="00243905"/>
    <w:rsid w:val="00243995"/>
    <w:rsid w:val="00243DC5"/>
    <w:rsid w:val="00243FF0"/>
    <w:rsid w:val="00243FFB"/>
    <w:rsid w:val="00244060"/>
    <w:rsid w:val="002440A4"/>
    <w:rsid w:val="002442BD"/>
    <w:rsid w:val="00244690"/>
    <w:rsid w:val="0024497B"/>
    <w:rsid w:val="00244ADF"/>
    <w:rsid w:val="00244B22"/>
    <w:rsid w:val="00244D0C"/>
    <w:rsid w:val="00244DAF"/>
    <w:rsid w:val="00244E88"/>
    <w:rsid w:val="00245062"/>
    <w:rsid w:val="002450DD"/>
    <w:rsid w:val="002457A0"/>
    <w:rsid w:val="00245995"/>
    <w:rsid w:val="00245B23"/>
    <w:rsid w:val="00245CD4"/>
    <w:rsid w:val="00245F74"/>
    <w:rsid w:val="00245FE8"/>
    <w:rsid w:val="00246052"/>
    <w:rsid w:val="002460C6"/>
    <w:rsid w:val="0024610F"/>
    <w:rsid w:val="002461A7"/>
    <w:rsid w:val="002461BA"/>
    <w:rsid w:val="00246286"/>
    <w:rsid w:val="002462D8"/>
    <w:rsid w:val="00246530"/>
    <w:rsid w:val="002465E7"/>
    <w:rsid w:val="00246688"/>
    <w:rsid w:val="0024694A"/>
    <w:rsid w:val="00246FF2"/>
    <w:rsid w:val="002471BA"/>
    <w:rsid w:val="0024736D"/>
    <w:rsid w:val="002477AE"/>
    <w:rsid w:val="0024785F"/>
    <w:rsid w:val="002478E6"/>
    <w:rsid w:val="00247942"/>
    <w:rsid w:val="00247A23"/>
    <w:rsid w:val="00247A25"/>
    <w:rsid w:val="00247AEF"/>
    <w:rsid w:val="00247B09"/>
    <w:rsid w:val="00247B34"/>
    <w:rsid w:val="00247D5C"/>
    <w:rsid w:val="002502A0"/>
    <w:rsid w:val="002502B1"/>
    <w:rsid w:val="002506F8"/>
    <w:rsid w:val="00250781"/>
    <w:rsid w:val="00250832"/>
    <w:rsid w:val="002508DA"/>
    <w:rsid w:val="00250AB6"/>
    <w:rsid w:val="00250CAB"/>
    <w:rsid w:val="00250D76"/>
    <w:rsid w:val="00250E76"/>
    <w:rsid w:val="00250E8E"/>
    <w:rsid w:val="00250E99"/>
    <w:rsid w:val="002512FF"/>
    <w:rsid w:val="002513C9"/>
    <w:rsid w:val="002515A3"/>
    <w:rsid w:val="002515E7"/>
    <w:rsid w:val="0025165B"/>
    <w:rsid w:val="00251904"/>
    <w:rsid w:val="00251AB5"/>
    <w:rsid w:val="00251EEB"/>
    <w:rsid w:val="00251F21"/>
    <w:rsid w:val="00251FC7"/>
    <w:rsid w:val="00251FF6"/>
    <w:rsid w:val="00252066"/>
    <w:rsid w:val="002520F0"/>
    <w:rsid w:val="0025221C"/>
    <w:rsid w:val="002525B9"/>
    <w:rsid w:val="002525DD"/>
    <w:rsid w:val="00252652"/>
    <w:rsid w:val="0025268A"/>
    <w:rsid w:val="00252908"/>
    <w:rsid w:val="0025292D"/>
    <w:rsid w:val="002529D0"/>
    <w:rsid w:val="00252AFE"/>
    <w:rsid w:val="00252DF6"/>
    <w:rsid w:val="00252E05"/>
    <w:rsid w:val="00252EFD"/>
    <w:rsid w:val="00252F55"/>
    <w:rsid w:val="00252FAA"/>
    <w:rsid w:val="0025300E"/>
    <w:rsid w:val="002530F3"/>
    <w:rsid w:val="0025315E"/>
    <w:rsid w:val="00253194"/>
    <w:rsid w:val="002531CA"/>
    <w:rsid w:val="002531D4"/>
    <w:rsid w:val="002532C8"/>
    <w:rsid w:val="002532E2"/>
    <w:rsid w:val="0025338E"/>
    <w:rsid w:val="002533B3"/>
    <w:rsid w:val="002533DA"/>
    <w:rsid w:val="0025353F"/>
    <w:rsid w:val="002535CC"/>
    <w:rsid w:val="002535FF"/>
    <w:rsid w:val="00253698"/>
    <w:rsid w:val="002538F2"/>
    <w:rsid w:val="002539EF"/>
    <w:rsid w:val="00253B72"/>
    <w:rsid w:val="00253B89"/>
    <w:rsid w:val="00253CCB"/>
    <w:rsid w:val="00253F16"/>
    <w:rsid w:val="00254011"/>
    <w:rsid w:val="002543C6"/>
    <w:rsid w:val="002544FA"/>
    <w:rsid w:val="00254840"/>
    <w:rsid w:val="002548B5"/>
    <w:rsid w:val="00254C0C"/>
    <w:rsid w:val="00254D22"/>
    <w:rsid w:val="00254DC2"/>
    <w:rsid w:val="00254E90"/>
    <w:rsid w:val="00254F10"/>
    <w:rsid w:val="00254FC7"/>
    <w:rsid w:val="002550E0"/>
    <w:rsid w:val="00255167"/>
    <w:rsid w:val="00255255"/>
    <w:rsid w:val="002552E6"/>
    <w:rsid w:val="00255485"/>
    <w:rsid w:val="0025559F"/>
    <w:rsid w:val="002556CD"/>
    <w:rsid w:val="00255727"/>
    <w:rsid w:val="0025572D"/>
    <w:rsid w:val="00255A74"/>
    <w:rsid w:val="00255A96"/>
    <w:rsid w:val="00255B42"/>
    <w:rsid w:val="00255BCD"/>
    <w:rsid w:val="00255F43"/>
    <w:rsid w:val="00256325"/>
    <w:rsid w:val="00256404"/>
    <w:rsid w:val="002565CB"/>
    <w:rsid w:val="00256813"/>
    <w:rsid w:val="002568FB"/>
    <w:rsid w:val="002569B3"/>
    <w:rsid w:val="00256ABE"/>
    <w:rsid w:val="00256B8B"/>
    <w:rsid w:val="00256C08"/>
    <w:rsid w:val="00256C86"/>
    <w:rsid w:val="00256D1C"/>
    <w:rsid w:val="00256DE4"/>
    <w:rsid w:val="00256E4F"/>
    <w:rsid w:val="00256F12"/>
    <w:rsid w:val="00257027"/>
    <w:rsid w:val="00257223"/>
    <w:rsid w:val="002574D6"/>
    <w:rsid w:val="00257693"/>
    <w:rsid w:val="002579CF"/>
    <w:rsid w:val="002579D3"/>
    <w:rsid w:val="00257DF4"/>
    <w:rsid w:val="00257E0C"/>
    <w:rsid w:val="00257F9B"/>
    <w:rsid w:val="00260093"/>
    <w:rsid w:val="00260124"/>
    <w:rsid w:val="00260337"/>
    <w:rsid w:val="002607A9"/>
    <w:rsid w:val="0026084C"/>
    <w:rsid w:val="0026087F"/>
    <w:rsid w:val="00260909"/>
    <w:rsid w:val="00260978"/>
    <w:rsid w:val="00260A8A"/>
    <w:rsid w:val="00260BFA"/>
    <w:rsid w:val="00260D67"/>
    <w:rsid w:val="00260DA5"/>
    <w:rsid w:val="00260F05"/>
    <w:rsid w:val="00260F9C"/>
    <w:rsid w:val="00261175"/>
    <w:rsid w:val="002611B5"/>
    <w:rsid w:val="002611B8"/>
    <w:rsid w:val="0026123C"/>
    <w:rsid w:val="002612F8"/>
    <w:rsid w:val="00261509"/>
    <w:rsid w:val="002617BF"/>
    <w:rsid w:val="00261C2C"/>
    <w:rsid w:val="00261E15"/>
    <w:rsid w:val="00261EDD"/>
    <w:rsid w:val="00261F87"/>
    <w:rsid w:val="00261FCF"/>
    <w:rsid w:val="0026202F"/>
    <w:rsid w:val="0026207C"/>
    <w:rsid w:val="002620F0"/>
    <w:rsid w:val="002623D4"/>
    <w:rsid w:val="002625EA"/>
    <w:rsid w:val="00262664"/>
    <w:rsid w:val="002626D3"/>
    <w:rsid w:val="002626F1"/>
    <w:rsid w:val="00262759"/>
    <w:rsid w:val="002628A2"/>
    <w:rsid w:val="00262919"/>
    <w:rsid w:val="00262A27"/>
    <w:rsid w:val="00262F2C"/>
    <w:rsid w:val="00262FCB"/>
    <w:rsid w:val="00263071"/>
    <w:rsid w:val="00263177"/>
    <w:rsid w:val="0026331B"/>
    <w:rsid w:val="002635AF"/>
    <w:rsid w:val="0026365F"/>
    <w:rsid w:val="002637C6"/>
    <w:rsid w:val="002639C2"/>
    <w:rsid w:val="00263AC8"/>
    <w:rsid w:val="00263AD7"/>
    <w:rsid w:val="00263B10"/>
    <w:rsid w:val="00263BA0"/>
    <w:rsid w:val="00263DCC"/>
    <w:rsid w:val="00263E1E"/>
    <w:rsid w:val="00263E28"/>
    <w:rsid w:val="00263F60"/>
    <w:rsid w:val="00264162"/>
    <w:rsid w:val="00264239"/>
    <w:rsid w:val="00264249"/>
    <w:rsid w:val="00264271"/>
    <w:rsid w:val="00264541"/>
    <w:rsid w:val="002645AE"/>
    <w:rsid w:val="002645E9"/>
    <w:rsid w:val="00264638"/>
    <w:rsid w:val="00264670"/>
    <w:rsid w:val="002647BF"/>
    <w:rsid w:val="0026489B"/>
    <w:rsid w:val="002648A0"/>
    <w:rsid w:val="002648F4"/>
    <w:rsid w:val="00264AE1"/>
    <w:rsid w:val="00264C77"/>
    <w:rsid w:val="00264F10"/>
    <w:rsid w:val="00265128"/>
    <w:rsid w:val="0026553E"/>
    <w:rsid w:val="00265705"/>
    <w:rsid w:val="00265B4E"/>
    <w:rsid w:val="00265B56"/>
    <w:rsid w:val="00265DE1"/>
    <w:rsid w:val="00265F30"/>
    <w:rsid w:val="00265F90"/>
    <w:rsid w:val="0026604D"/>
    <w:rsid w:val="00266094"/>
    <w:rsid w:val="002662F1"/>
    <w:rsid w:val="0026641E"/>
    <w:rsid w:val="0026645D"/>
    <w:rsid w:val="00266685"/>
    <w:rsid w:val="002666C3"/>
    <w:rsid w:val="002667EF"/>
    <w:rsid w:val="00266863"/>
    <w:rsid w:val="002668E2"/>
    <w:rsid w:val="002668F7"/>
    <w:rsid w:val="0026698B"/>
    <w:rsid w:val="00266ACE"/>
    <w:rsid w:val="00266B1C"/>
    <w:rsid w:val="00266B5B"/>
    <w:rsid w:val="00266BE7"/>
    <w:rsid w:val="00266D96"/>
    <w:rsid w:val="00266F38"/>
    <w:rsid w:val="00266FE1"/>
    <w:rsid w:val="002670CE"/>
    <w:rsid w:val="002671D7"/>
    <w:rsid w:val="002673EF"/>
    <w:rsid w:val="00267470"/>
    <w:rsid w:val="00267516"/>
    <w:rsid w:val="0026765B"/>
    <w:rsid w:val="0026772C"/>
    <w:rsid w:val="00267768"/>
    <w:rsid w:val="0026791E"/>
    <w:rsid w:val="00267952"/>
    <w:rsid w:val="00267AEB"/>
    <w:rsid w:val="00267BDA"/>
    <w:rsid w:val="00267C28"/>
    <w:rsid w:val="00267D50"/>
    <w:rsid w:val="00267DAA"/>
    <w:rsid w:val="00267F71"/>
    <w:rsid w:val="00267F99"/>
    <w:rsid w:val="00270028"/>
    <w:rsid w:val="00270048"/>
    <w:rsid w:val="00270109"/>
    <w:rsid w:val="002701B6"/>
    <w:rsid w:val="002702CE"/>
    <w:rsid w:val="00270303"/>
    <w:rsid w:val="002703C3"/>
    <w:rsid w:val="002704D0"/>
    <w:rsid w:val="00270526"/>
    <w:rsid w:val="002706FA"/>
    <w:rsid w:val="0027070F"/>
    <w:rsid w:val="002707A0"/>
    <w:rsid w:val="002707C2"/>
    <w:rsid w:val="002708C3"/>
    <w:rsid w:val="002709F1"/>
    <w:rsid w:val="00270BDC"/>
    <w:rsid w:val="00270C43"/>
    <w:rsid w:val="00270C8F"/>
    <w:rsid w:val="00270D71"/>
    <w:rsid w:val="00270D7B"/>
    <w:rsid w:val="00270E69"/>
    <w:rsid w:val="00270F36"/>
    <w:rsid w:val="00270F49"/>
    <w:rsid w:val="00270F96"/>
    <w:rsid w:val="00271071"/>
    <w:rsid w:val="002710B0"/>
    <w:rsid w:val="00271106"/>
    <w:rsid w:val="00271131"/>
    <w:rsid w:val="002711D8"/>
    <w:rsid w:val="002713D4"/>
    <w:rsid w:val="002713F7"/>
    <w:rsid w:val="002716FE"/>
    <w:rsid w:val="0027182D"/>
    <w:rsid w:val="00271C1F"/>
    <w:rsid w:val="00271DB3"/>
    <w:rsid w:val="00271E32"/>
    <w:rsid w:val="00271EE4"/>
    <w:rsid w:val="00271EF1"/>
    <w:rsid w:val="00271EF4"/>
    <w:rsid w:val="00271FEB"/>
    <w:rsid w:val="00272010"/>
    <w:rsid w:val="00272158"/>
    <w:rsid w:val="002721A2"/>
    <w:rsid w:val="0027237C"/>
    <w:rsid w:val="00272411"/>
    <w:rsid w:val="00272834"/>
    <w:rsid w:val="00272ABB"/>
    <w:rsid w:val="00272CD2"/>
    <w:rsid w:val="00272D26"/>
    <w:rsid w:val="00272D93"/>
    <w:rsid w:val="00272EF0"/>
    <w:rsid w:val="00272F71"/>
    <w:rsid w:val="00272FCD"/>
    <w:rsid w:val="002730B3"/>
    <w:rsid w:val="002733AB"/>
    <w:rsid w:val="0027359F"/>
    <w:rsid w:val="0027371C"/>
    <w:rsid w:val="00273972"/>
    <w:rsid w:val="00273A91"/>
    <w:rsid w:val="00273B09"/>
    <w:rsid w:val="00273BBF"/>
    <w:rsid w:val="00273C5D"/>
    <w:rsid w:val="00273E02"/>
    <w:rsid w:val="00273F3A"/>
    <w:rsid w:val="00273FBC"/>
    <w:rsid w:val="0027404C"/>
    <w:rsid w:val="00274198"/>
    <w:rsid w:val="0027419B"/>
    <w:rsid w:val="002742F4"/>
    <w:rsid w:val="0027468F"/>
    <w:rsid w:val="002747B7"/>
    <w:rsid w:val="002748FE"/>
    <w:rsid w:val="0027491F"/>
    <w:rsid w:val="0027493C"/>
    <w:rsid w:val="00274B52"/>
    <w:rsid w:val="00274E6F"/>
    <w:rsid w:val="00274E72"/>
    <w:rsid w:val="00274F22"/>
    <w:rsid w:val="00274F3D"/>
    <w:rsid w:val="00274F5F"/>
    <w:rsid w:val="00274FD0"/>
    <w:rsid w:val="00275177"/>
    <w:rsid w:val="002751EF"/>
    <w:rsid w:val="0027546C"/>
    <w:rsid w:val="0027567C"/>
    <w:rsid w:val="002756A6"/>
    <w:rsid w:val="00275708"/>
    <w:rsid w:val="002758D6"/>
    <w:rsid w:val="00275915"/>
    <w:rsid w:val="00275A20"/>
    <w:rsid w:val="00275AEF"/>
    <w:rsid w:val="00275C57"/>
    <w:rsid w:val="00275D1A"/>
    <w:rsid w:val="00275D67"/>
    <w:rsid w:val="00275E27"/>
    <w:rsid w:val="00275E83"/>
    <w:rsid w:val="00275ED5"/>
    <w:rsid w:val="00275F88"/>
    <w:rsid w:val="002761A4"/>
    <w:rsid w:val="002761CB"/>
    <w:rsid w:val="002762C3"/>
    <w:rsid w:val="002765D4"/>
    <w:rsid w:val="0027660D"/>
    <w:rsid w:val="002767E4"/>
    <w:rsid w:val="002767FD"/>
    <w:rsid w:val="0027680A"/>
    <w:rsid w:val="002768E2"/>
    <w:rsid w:val="00276994"/>
    <w:rsid w:val="00276A17"/>
    <w:rsid w:val="00276B36"/>
    <w:rsid w:val="00276C28"/>
    <w:rsid w:val="00276C32"/>
    <w:rsid w:val="00276C3E"/>
    <w:rsid w:val="00276C70"/>
    <w:rsid w:val="00276CCC"/>
    <w:rsid w:val="00277191"/>
    <w:rsid w:val="002772E5"/>
    <w:rsid w:val="002773DB"/>
    <w:rsid w:val="00277516"/>
    <w:rsid w:val="00277573"/>
    <w:rsid w:val="0027769A"/>
    <w:rsid w:val="0027778D"/>
    <w:rsid w:val="002777E9"/>
    <w:rsid w:val="002778DE"/>
    <w:rsid w:val="00277D26"/>
    <w:rsid w:val="00277DF1"/>
    <w:rsid w:val="00277F4E"/>
    <w:rsid w:val="00277FC0"/>
    <w:rsid w:val="002800A5"/>
    <w:rsid w:val="0028022A"/>
    <w:rsid w:val="002802EA"/>
    <w:rsid w:val="00280391"/>
    <w:rsid w:val="002806C5"/>
    <w:rsid w:val="002807FB"/>
    <w:rsid w:val="00280895"/>
    <w:rsid w:val="00280A10"/>
    <w:rsid w:val="00280AE2"/>
    <w:rsid w:val="00280B36"/>
    <w:rsid w:val="00280C4A"/>
    <w:rsid w:val="00280E14"/>
    <w:rsid w:val="00280ECB"/>
    <w:rsid w:val="0028115C"/>
    <w:rsid w:val="00281316"/>
    <w:rsid w:val="0028142E"/>
    <w:rsid w:val="002814BC"/>
    <w:rsid w:val="002814E3"/>
    <w:rsid w:val="0028155E"/>
    <w:rsid w:val="00281608"/>
    <w:rsid w:val="0028161F"/>
    <w:rsid w:val="00281665"/>
    <w:rsid w:val="002816F2"/>
    <w:rsid w:val="0028176D"/>
    <w:rsid w:val="002819E8"/>
    <w:rsid w:val="00281A5C"/>
    <w:rsid w:val="00281A78"/>
    <w:rsid w:val="00281AE0"/>
    <w:rsid w:val="00281B62"/>
    <w:rsid w:val="00281B67"/>
    <w:rsid w:val="00281C01"/>
    <w:rsid w:val="00281C66"/>
    <w:rsid w:val="00281C86"/>
    <w:rsid w:val="00281D09"/>
    <w:rsid w:val="002820A9"/>
    <w:rsid w:val="00282183"/>
    <w:rsid w:val="002821D8"/>
    <w:rsid w:val="0028245E"/>
    <w:rsid w:val="0028248C"/>
    <w:rsid w:val="00282959"/>
    <w:rsid w:val="00282A67"/>
    <w:rsid w:val="00282AC6"/>
    <w:rsid w:val="00282B1B"/>
    <w:rsid w:val="00282BE3"/>
    <w:rsid w:val="00282C31"/>
    <w:rsid w:val="00283155"/>
    <w:rsid w:val="00283174"/>
    <w:rsid w:val="002834CB"/>
    <w:rsid w:val="0028358E"/>
    <w:rsid w:val="00283603"/>
    <w:rsid w:val="0028360A"/>
    <w:rsid w:val="002837BD"/>
    <w:rsid w:val="002839BB"/>
    <w:rsid w:val="00283A2B"/>
    <w:rsid w:val="00283AAE"/>
    <w:rsid w:val="00283B40"/>
    <w:rsid w:val="00283E1D"/>
    <w:rsid w:val="0028441A"/>
    <w:rsid w:val="0028467C"/>
    <w:rsid w:val="00284838"/>
    <w:rsid w:val="00284AEA"/>
    <w:rsid w:val="00284D19"/>
    <w:rsid w:val="00285136"/>
    <w:rsid w:val="00285310"/>
    <w:rsid w:val="0028545F"/>
    <w:rsid w:val="002854B1"/>
    <w:rsid w:val="00285526"/>
    <w:rsid w:val="0028558A"/>
    <w:rsid w:val="002856F9"/>
    <w:rsid w:val="00285755"/>
    <w:rsid w:val="0028582B"/>
    <w:rsid w:val="00285947"/>
    <w:rsid w:val="00285AC1"/>
    <w:rsid w:val="00285B4F"/>
    <w:rsid w:val="00285B5A"/>
    <w:rsid w:val="00285BC9"/>
    <w:rsid w:val="00285C09"/>
    <w:rsid w:val="00285C52"/>
    <w:rsid w:val="00285C9D"/>
    <w:rsid w:val="00285D3F"/>
    <w:rsid w:val="00285E33"/>
    <w:rsid w:val="00285EF5"/>
    <w:rsid w:val="00285F9B"/>
    <w:rsid w:val="00286071"/>
    <w:rsid w:val="002860C7"/>
    <w:rsid w:val="002861E0"/>
    <w:rsid w:val="0028628E"/>
    <w:rsid w:val="00286391"/>
    <w:rsid w:val="002863B6"/>
    <w:rsid w:val="00286465"/>
    <w:rsid w:val="002865F1"/>
    <w:rsid w:val="00286628"/>
    <w:rsid w:val="00286631"/>
    <w:rsid w:val="00286661"/>
    <w:rsid w:val="0028669F"/>
    <w:rsid w:val="002867B2"/>
    <w:rsid w:val="00286B83"/>
    <w:rsid w:val="00286D14"/>
    <w:rsid w:val="00286EA1"/>
    <w:rsid w:val="0028717B"/>
    <w:rsid w:val="002871D1"/>
    <w:rsid w:val="002872D0"/>
    <w:rsid w:val="00287368"/>
    <w:rsid w:val="002873FF"/>
    <w:rsid w:val="002876C9"/>
    <w:rsid w:val="00287992"/>
    <w:rsid w:val="00287A1E"/>
    <w:rsid w:val="00287A3A"/>
    <w:rsid w:val="00287F28"/>
    <w:rsid w:val="00290109"/>
    <w:rsid w:val="00290156"/>
    <w:rsid w:val="002901B9"/>
    <w:rsid w:val="002901D6"/>
    <w:rsid w:val="002901E9"/>
    <w:rsid w:val="00290349"/>
    <w:rsid w:val="0029047A"/>
    <w:rsid w:val="002906CF"/>
    <w:rsid w:val="002906ED"/>
    <w:rsid w:val="00290848"/>
    <w:rsid w:val="0029086C"/>
    <w:rsid w:val="00290C3C"/>
    <w:rsid w:val="00290CCB"/>
    <w:rsid w:val="00290CCC"/>
    <w:rsid w:val="00290DFE"/>
    <w:rsid w:val="00290E1E"/>
    <w:rsid w:val="002912D0"/>
    <w:rsid w:val="002915EF"/>
    <w:rsid w:val="002915F5"/>
    <w:rsid w:val="002916BB"/>
    <w:rsid w:val="002917BC"/>
    <w:rsid w:val="00291935"/>
    <w:rsid w:val="00291947"/>
    <w:rsid w:val="00291A22"/>
    <w:rsid w:val="00291B28"/>
    <w:rsid w:val="00291D58"/>
    <w:rsid w:val="00291E2A"/>
    <w:rsid w:val="00291E64"/>
    <w:rsid w:val="00291F28"/>
    <w:rsid w:val="00291F3B"/>
    <w:rsid w:val="00291FF3"/>
    <w:rsid w:val="002920C9"/>
    <w:rsid w:val="0029224D"/>
    <w:rsid w:val="00292312"/>
    <w:rsid w:val="002924A4"/>
    <w:rsid w:val="00292546"/>
    <w:rsid w:val="00292554"/>
    <w:rsid w:val="002926E1"/>
    <w:rsid w:val="00292745"/>
    <w:rsid w:val="002927CF"/>
    <w:rsid w:val="00292999"/>
    <w:rsid w:val="00292A8A"/>
    <w:rsid w:val="00292AEB"/>
    <w:rsid w:val="00292BD5"/>
    <w:rsid w:val="00292BEC"/>
    <w:rsid w:val="00292C31"/>
    <w:rsid w:val="00292CCD"/>
    <w:rsid w:val="00292D61"/>
    <w:rsid w:val="00292E25"/>
    <w:rsid w:val="00292F14"/>
    <w:rsid w:val="00293060"/>
    <w:rsid w:val="002930B1"/>
    <w:rsid w:val="0029313A"/>
    <w:rsid w:val="002932FF"/>
    <w:rsid w:val="00293409"/>
    <w:rsid w:val="00293605"/>
    <w:rsid w:val="0029365C"/>
    <w:rsid w:val="00293873"/>
    <w:rsid w:val="002938D4"/>
    <w:rsid w:val="00293A2E"/>
    <w:rsid w:val="00293A90"/>
    <w:rsid w:val="00293AD4"/>
    <w:rsid w:val="00293B51"/>
    <w:rsid w:val="00293C74"/>
    <w:rsid w:val="00293F7C"/>
    <w:rsid w:val="0029409F"/>
    <w:rsid w:val="00294239"/>
    <w:rsid w:val="00294316"/>
    <w:rsid w:val="002943A0"/>
    <w:rsid w:val="00294409"/>
    <w:rsid w:val="0029449F"/>
    <w:rsid w:val="002944AF"/>
    <w:rsid w:val="0029456C"/>
    <w:rsid w:val="00294597"/>
    <w:rsid w:val="00294601"/>
    <w:rsid w:val="002946C7"/>
    <w:rsid w:val="002946DE"/>
    <w:rsid w:val="002946EF"/>
    <w:rsid w:val="002948E3"/>
    <w:rsid w:val="002949E9"/>
    <w:rsid w:val="00294C52"/>
    <w:rsid w:val="00294FD2"/>
    <w:rsid w:val="00295284"/>
    <w:rsid w:val="0029535E"/>
    <w:rsid w:val="0029552E"/>
    <w:rsid w:val="0029555A"/>
    <w:rsid w:val="00295613"/>
    <w:rsid w:val="0029563D"/>
    <w:rsid w:val="0029581D"/>
    <w:rsid w:val="00295872"/>
    <w:rsid w:val="00295906"/>
    <w:rsid w:val="00295B32"/>
    <w:rsid w:val="00295E2A"/>
    <w:rsid w:val="00295E90"/>
    <w:rsid w:val="00296034"/>
    <w:rsid w:val="002963DC"/>
    <w:rsid w:val="002966DD"/>
    <w:rsid w:val="00296BDD"/>
    <w:rsid w:val="00296E17"/>
    <w:rsid w:val="00296E73"/>
    <w:rsid w:val="00296ECF"/>
    <w:rsid w:val="0029709C"/>
    <w:rsid w:val="00297227"/>
    <w:rsid w:val="0029756B"/>
    <w:rsid w:val="002977E7"/>
    <w:rsid w:val="0029787D"/>
    <w:rsid w:val="00297BD0"/>
    <w:rsid w:val="00297BD3"/>
    <w:rsid w:val="00297D64"/>
    <w:rsid w:val="00297E6F"/>
    <w:rsid w:val="002A0060"/>
    <w:rsid w:val="002A0138"/>
    <w:rsid w:val="002A0172"/>
    <w:rsid w:val="002A019E"/>
    <w:rsid w:val="002A0339"/>
    <w:rsid w:val="002A043A"/>
    <w:rsid w:val="002A0444"/>
    <w:rsid w:val="002A0468"/>
    <w:rsid w:val="002A0694"/>
    <w:rsid w:val="002A08CF"/>
    <w:rsid w:val="002A0AA7"/>
    <w:rsid w:val="002A0B54"/>
    <w:rsid w:val="002A0C1F"/>
    <w:rsid w:val="002A0C6F"/>
    <w:rsid w:val="002A0D5E"/>
    <w:rsid w:val="002A0FAB"/>
    <w:rsid w:val="002A107B"/>
    <w:rsid w:val="002A109B"/>
    <w:rsid w:val="002A1158"/>
    <w:rsid w:val="002A139B"/>
    <w:rsid w:val="002A1422"/>
    <w:rsid w:val="002A1871"/>
    <w:rsid w:val="002A1916"/>
    <w:rsid w:val="002A191D"/>
    <w:rsid w:val="002A1B2E"/>
    <w:rsid w:val="002A1C94"/>
    <w:rsid w:val="002A1D09"/>
    <w:rsid w:val="002A1DB5"/>
    <w:rsid w:val="002A1DBB"/>
    <w:rsid w:val="002A1E07"/>
    <w:rsid w:val="002A2078"/>
    <w:rsid w:val="002A2132"/>
    <w:rsid w:val="002A2206"/>
    <w:rsid w:val="002A27FF"/>
    <w:rsid w:val="002A2B5A"/>
    <w:rsid w:val="002A2BE3"/>
    <w:rsid w:val="002A2EE8"/>
    <w:rsid w:val="002A2EF6"/>
    <w:rsid w:val="002A2FBD"/>
    <w:rsid w:val="002A3010"/>
    <w:rsid w:val="002A3083"/>
    <w:rsid w:val="002A32AA"/>
    <w:rsid w:val="002A34D8"/>
    <w:rsid w:val="002A3524"/>
    <w:rsid w:val="002A3896"/>
    <w:rsid w:val="002A3C37"/>
    <w:rsid w:val="002A3E9F"/>
    <w:rsid w:val="002A3F9D"/>
    <w:rsid w:val="002A3FCB"/>
    <w:rsid w:val="002A405D"/>
    <w:rsid w:val="002A43E6"/>
    <w:rsid w:val="002A45A0"/>
    <w:rsid w:val="002A4612"/>
    <w:rsid w:val="002A5019"/>
    <w:rsid w:val="002A5021"/>
    <w:rsid w:val="002A51B7"/>
    <w:rsid w:val="002A531E"/>
    <w:rsid w:val="002A536B"/>
    <w:rsid w:val="002A5403"/>
    <w:rsid w:val="002A553E"/>
    <w:rsid w:val="002A555A"/>
    <w:rsid w:val="002A5565"/>
    <w:rsid w:val="002A5637"/>
    <w:rsid w:val="002A589A"/>
    <w:rsid w:val="002A59F7"/>
    <w:rsid w:val="002A5B6F"/>
    <w:rsid w:val="002A5EE6"/>
    <w:rsid w:val="002A6182"/>
    <w:rsid w:val="002A618E"/>
    <w:rsid w:val="002A6215"/>
    <w:rsid w:val="002A622D"/>
    <w:rsid w:val="002A6373"/>
    <w:rsid w:val="002A63EE"/>
    <w:rsid w:val="002A655C"/>
    <w:rsid w:val="002A6643"/>
    <w:rsid w:val="002A6663"/>
    <w:rsid w:val="002A669B"/>
    <w:rsid w:val="002A6A42"/>
    <w:rsid w:val="002A6AAB"/>
    <w:rsid w:val="002A6BCB"/>
    <w:rsid w:val="002A6BD2"/>
    <w:rsid w:val="002A6C77"/>
    <w:rsid w:val="002A6F14"/>
    <w:rsid w:val="002A7009"/>
    <w:rsid w:val="002A731D"/>
    <w:rsid w:val="002A7336"/>
    <w:rsid w:val="002A736B"/>
    <w:rsid w:val="002A7371"/>
    <w:rsid w:val="002A7375"/>
    <w:rsid w:val="002A73C3"/>
    <w:rsid w:val="002A742C"/>
    <w:rsid w:val="002A75FB"/>
    <w:rsid w:val="002A76EF"/>
    <w:rsid w:val="002A7910"/>
    <w:rsid w:val="002A7936"/>
    <w:rsid w:val="002A7A2D"/>
    <w:rsid w:val="002A7BB8"/>
    <w:rsid w:val="002A7CD9"/>
    <w:rsid w:val="002A7E37"/>
    <w:rsid w:val="002B00B2"/>
    <w:rsid w:val="002B0199"/>
    <w:rsid w:val="002B01E5"/>
    <w:rsid w:val="002B03C5"/>
    <w:rsid w:val="002B041B"/>
    <w:rsid w:val="002B04D9"/>
    <w:rsid w:val="002B0574"/>
    <w:rsid w:val="002B0877"/>
    <w:rsid w:val="002B088D"/>
    <w:rsid w:val="002B094F"/>
    <w:rsid w:val="002B099E"/>
    <w:rsid w:val="002B0AF1"/>
    <w:rsid w:val="002B0AFF"/>
    <w:rsid w:val="002B0B49"/>
    <w:rsid w:val="002B0C05"/>
    <w:rsid w:val="002B0D68"/>
    <w:rsid w:val="002B0D97"/>
    <w:rsid w:val="002B104E"/>
    <w:rsid w:val="002B112D"/>
    <w:rsid w:val="002B1138"/>
    <w:rsid w:val="002B1144"/>
    <w:rsid w:val="002B143A"/>
    <w:rsid w:val="002B14ED"/>
    <w:rsid w:val="002B17B3"/>
    <w:rsid w:val="002B1836"/>
    <w:rsid w:val="002B18F7"/>
    <w:rsid w:val="002B19FE"/>
    <w:rsid w:val="002B1A87"/>
    <w:rsid w:val="002B1BC0"/>
    <w:rsid w:val="002B1DF0"/>
    <w:rsid w:val="002B1DF4"/>
    <w:rsid w:val="002B1E67"/>
    <w:rsid w:val="002B2002"/>
    <w:rsid w:val="002B22D6"/>
    <w:rsid w:val="002B254B"/>
    <w:rsid w:val="002B261A"/>
    <w:rsid w:val="002B2621"/>
    <w:rsid w:val="002B266B"/>
    <w:rsid w:val="002B28C0"/>
    <w:rsid w:val="002B29F2"/>
    <w:rsid w:val="002B2AE4"/>
    <w:rsid w:val="002B2CE9"/>
    <w:rsid w:val="002B2DF5"/>
    <w:rsid w:val="002B2E0A"/>
    <w:rsid w:val="002B2E37"/>
    <w:rsid w:val="002B2E55"/>
    <w:rsid w:val="002B300F"/>
    <w:rsid w:val="002B30E1"/>
    <w:rsid w:val="002B3130"/>
    <w:rsid w:val="002B318D"/>
    <w:rsid w:val="002B31FC"/>
    <w:rsid w:val="002B34C2"/>
    <w:rsid w:val="002B35C5"/>
    <w:rsid w:val="002B35CA"/>
    <w:rsid w:val="002B3659"/>
    <w:rsid w:val="002B387C"/>
    <w:rsid w:val="002B38DE"/>
    <w:rsid w:val="002B3A9F"/>
    <w:rsid w:val="002B3B22"/>
    <w:rsid w:val="002B3BB7"/>
    <w:rsid w:val="002B3BD5"/>
    <w:rsid w:val="002B3C8A"/>
    <w:rsid w:val="002B3DA0"/>
    <w:rsid w:val="002B3DA1"/>
    <w:rsid w:val="002B3E0B"/>
    <w:rsid w:val="002B3EB2"/>
    <w:rsid w:val="002B3F90"/>
    <w:rsid w:val="002B3F97"/>
    <w:rsid w:val="002B40D4"/>
    <w:rsid w:val="002B42DA"/>
    <w:rsid w:val="002B4539"/>
    <w:rsid w:val="002B461D"/>
    <w:rsid w:val="002B476B"/>
    <w:rsid w:val="002B483E"/>
    <w:rsid w:val="002B48A5"/>
    <w:rsid w:val="002B48F4"/>
    <w:rsid w:val="002B49FC"/>
    <w:rsid w:val="002B4B36"/>
    <w:rsid w:val="002B4BDF"/>
    <w:rsid w:val="002B4C4D"/>
    <w:rsid w:val="002B52C5"/>
    <w:rsid w:val="002B52FF"/>
    <w:rsid w:val="002B5313"/>
    <w:rsid w:val="002B5364"/>
    <w:rsid w:val="002B5368"/>
    <w:rsid w:val="002B54A3"/>
    <w:rsid w:val="002B5639"/>
    <w:rsid w:val="002B57CF"/>
    <w:rsid w:val="002B587D"/>
    <w:rsid w:val="002B5A60"/>
    <w:rsid w:val="002B5B22"/>
    <w:rsid w:val="002B5B40"/>
    <w:rsid w:val="002B5BF5"/>
    <w:rsid w:val="002B5D4F"/>
    <w:rsid w:val="002B5E78"/>
    <w:rsid w:val="002B5EAC"/>
    <w:rsid w:val="002B60F0"/>
    <w:rsid w:val="002B60FF"/>
    <w:rsid w:val="002B6117"/>
    <w:rsid w:val="002B62C6"/>
    <w:rsid w:val="002B632A"/>
    <w:rsid w:val="002B6458"/>
    <w:rsid w:val="002B6876"/>
    <w:rsid w:val="002B696B"/>
    <w:rsid w:val="002B6971"/>
    <w:rsid w:val="002B69B6"/>
    <w:rsid w:val="002B6B00"/>
    <w:rsid w:val="002B6C6D"/>
    <w:rsid w:val="002B6CA0"/>
    <w:rsid w:val="002B6E4F"/>
    <w:rsid w:val="002B6EA4"/>
    <w:rsid w:val="002B6F78"/>
    <w:rsid w:val="002B76C1"/>
    <w:rsid w:val="002B76CE"/>
    <w:rsid w:val="002B773C"/>
    <w:rsid w:val="002B775B"/>
    <w:rsid w:val="002B77DB"/>
    <w:rsid w:val="002B7884"/>
    <w:rsid w:val="002B7ADA"/>
    <w:rsid w:val="002B7BB4"/>
    <w:rsid w:val="002B7C50"/>
    <w:rsid w:val="002B7D16"/>
    <w:rsid w:val="002B7D49"/>
    <w:rsid w:val="002B7EED"/>
    <w:rsid w:val="002C0036"/>
    <w:rsid w:val="002C02FE"/>
    <w:rsid w:val="002C0627"/>
    <w:rsid w:val="002C063A"/>
    <w:rsid w:val="002C0A9E"/>
    <w:rsid w:val="002C0AA5"/>
    <w:rsid w:val="002C0AA6"/>
    <w:rsid w:val="002C0AD6"/>
    <w:rsid w:val="002C0AE5"/>
    <w:rsid w:val="002C0C81"/>
    <w:rsid w:val="002C0E52"/>
    <w:rsid w:val="002C0F05"/>
    <w:rsid w:val="002C0FA4"/>
    <w:rsid w:val="002C1005"/>
    <w:rsid w:val="002C1076"/>
    <w:rsid w:val="002C114C"/>
    <w:rsid w:val="002C1386"/>
    <w:rsid w:val="002C143A"/>
    <w:rsid w:val="002C1864"/>
    <w:rsid w:val="002C18B5"/>
    <w:rsid w:val="002C1A3C"/>
    <w:rsid w:val="002C1BFB"/>
    <w:rsid w:val="002C1C2D"/>
    <w:rsid w:val="002C1C91"/>
    <w:rsid w:val="002C1E08"/>
    <w:rsid w:val="002C204A"/>
    <w:rsid w:val="002C2123"/>
    <w:rsid w:val="002C2273"/>
    <w:rsid w:val="002C22C8"/>
    <w:rsid w:val="002C23D3"/>
    <w:rsid w:val="002C23E3"/>
    <w:rsid w:val="002C24B9"/>
    <w:rsid w:val="002C2568"/>
    <w:rsid w:val="002C267B"/>
    <w:rsid w:val="002C26DC"/>
    <w:rsid w:val="002C2ACF"/>
    <w:rsid w:val="002C2B67"/>
    <w:rsid w:val="002C2C38"/>
    <w:rsid w:val="002C2F32"/>
    <w:rsid w:val="002C3041"/>
    <w:rsid w:val="002C30D5"/>
    <w:rsid w:val="002C315C"/>
    <w:rsid w:val="002C3307"/>
    <w:rsid w:val="002C338F"/>
    <w:rsid w:val="002C3508"/>
    <w:rsid w:val="002C3572"/>
    <w:rsid w:val="002C3BE0"/>
    <w:rsid w:val="002C3ED0"/>
    <w:rsid w:val="002C3EE5"/>
    <w:rsid w:val="002C4138"/>
    <w:rsid w:val="002C431B"/>
    <w:rsid w:val="002C44D9"/>
    <w:rsid w:val="002C44EA"/>
    <w:rsid w:val="002C4615"/>
    <w:rsid w:val="002C462B"/>
    <w:rsid w:val="002C4694"/>
    <w:rsid w:val="002C4706"/>
    <w:rsid w:val="002C486A"/>
    <w:rsid w:val="002C48BF"/>
    <w:rsid w:val="002C4A4D"/>
    <w:rsid w:val="002C4A99"/>
    <w:rsid w:val="002C4B59"/>
    <w:rsid w:val="002C4DAF"/>
    <w:rsid w:val="002C4E84"/>
    <w:rsid w:val="002C4FE2"/>
    <w:rsid w:val="002C5076"/>
    <w:rsid w:val="002C537B"/>
    <w:rsid w:val="002C551F"/>
    <w:rsid w:val="002C58B7"/>
    <w:rsid w:val="002C590E"/>
    <w:rsid w:val="002C592D"/>
    <w:rsid w:val="002C5999"/>
    <w:rsid w:val="002C599A"/>
    <w:rsid w:val="002C59B5"/>
    <w:rsid w:val="002C59CA"/>
    <w:rsid w:val="002C5A84"/>
    <w:rsid w:val="002C5AE8"/>
    <w:rsid w:val="002C5CCF"/>
    <w:rsid w:val="002C5D90"/>
    <w:rsid w:val="002C5F0B"/>
    <w:rsid w:val="002C5F0D"/>
    <w:rsid w:val="002C5F83"/>
    <w:rsid w:val="002C601E"/>
    <w:rsid w:val="002C62F9"/>
    <w:rsid w:val="002C6363"/>
    <w:rsid w:val="002C647E"/>
    <w:rsid w:val="002C662F"/>
    <w:rsid w:val="002C66E1"/>
    <w:rsid w:val="002C6798"/>
    <w:rsid w:val="002C6817"/>
    <w:rsid w:val="002C6A0F"/>
    <w:rsid w:val="002C6A8D"/>
    <w:rsid w:val="002C6AD2"/>
    <w:rsid w:val="002C6ADF"/>
    <w:rsid w:val="002C6B18"/>
    <w:rsid w:val="002C6B76"/>
    <w:rsid w:val="002C6CA9"/>
    <w:rsid w:val="002C6D2B"/>
    <w:rsid w:val="002C717C"/>
    <w:rsid w:val="002C726C"/>
    <w:rsid w:val="002C7422"/>
    <w:rsid w:val="002C74C9"/>
    <w:rsid w:val="002C7647"/>
    <w:rsid w:val="002C7898"/>
    <w:rsid w:val="002C7970"/>
    <w:rsid w:val="002C798C"/>
    <w:rsid w:val="002C7BC0"/>
    <w:rsid w:val="002C7D8D"/>
    <w:rsid w:val="002C7D9E"/>
    <w:rsid w:val="002C7E7A"/>
    <w:rsid w:val="002C7EA9"/>
    <w:rsid w:val="002C7EE3"/>
    <w:rsid w:val="002C7F15"/>
    <w:rsid w:val="002C7F2E"/>
    <w:rsid w:val="002D0032"/>
    <w:rsid w:val="002D039E"/>
    <w:rsid w:val="002D049B"/>
    <w:rsid w:val="002D0610"/>
    <w:rsid w:val="002D063C"/>
    <w:rsid w:val="002D0693"/>
    <w:rsid w:val="002D07C1"/>
    <w:rsid w:val="002D082D"/>
    <w:rsid w:val="002D0980"/>
    <w:rsid w:val="002D0A0E"/>
    <w:rsid w:val="002D0BA4"/>
    <w:rsid w:val="002D0D58"/>
    <w:rsid w:val="002D0E21"/>
    <w:rsid w:val="002D0F1A"/>
    <w:rsid w:val="002D10D6"/>
    <w:rsid w:val="002D1114"/>
    <w:rsid w:val="002D1418"/>
    <w:rsid w:val="002D141B"/>
    <w:rsid w:val="002D14BC"/>
    <w:rsid w:val="002D168F"/>
    <w:rsid w:val="002D16A6"/>
    <w:rsid w:val="002D1729"/>
    <w:rsid w:val="002D17C1"/>
    <w:rsid w:val="002D17DD"/>
    <w:rsid w:val="002D1886"/>
    <w:rsid w:val="002D18D1"/>
    <w:rsid w:val="002D18FF"/>
    <w:rsid w:val="002D1AA3"/>
    <w:rsid w:val="002D1B02"/>
    <w:rsid w:val="002D1B40"/>
    <w:rsid w:val="002D1C37"/>
    <w:rsid w:val="002D1C6F"/>
    <w:rsid w:val="002D1D59"/>
    <w:rsid w:val="002D1DA3"/>
    <w:rsid w:val="002D1ED7"/>
    <w:rsid w:val="002D1F53"/>
    <w:rsid w:val="002D205C"/>
    <w:rsid w:val="002D20C4"/>
    <w:rsid w:val="002D2245"/>
    <w:rsid w:val="002D22F9"/>
    <w:rsid w:val="002D2449"/>
    <w:rsid w:val="002D26D0"/>
    <w:rsid w:val="002D26FC"/>
    <w:rsid w:val="002D2A21"/>
    <w:rsid w:val="002D2A24"/>
    <w:rsid w:val="002D2B17"/>
    <w:rsid w:val="002D2C0E"/>
    <w:rsid w:val="002D2D60"/>
    <w:rsid w:val="002D2E62"/>
    <w:rsid w:val="002D2ECC"/>
    <w:rsid w:val="002D2FB5"/>
    <w:rsid w:val="002D3150"/>
    <w:rsid w:val="002D3196"/>
    <w:rsid w:val="002D3213"/>
    <w:rsid w:val="002D325B"/>
    <w:rsid w:val="002D3462"/>
    <w:rsid w:val="002D34CA"/>
    <w:rsid w:val="002D35D0"/>
    <w:rsid w:val="002D3859"/>
    <w:rsid w:val="002D3974"/>
    <w:rsid w:val="002D39D2"/>
    <w:rsid w:val="002D3A7D"/>
    <w:rsid w:val="002D3B14"/>
    <w:rsid w:val="002D3BB7"/>
    <w:rsid w:val="002D3C86"/>
    <w:rsid w:val="002D4016"/>
    <w:rsid w:val="002D40E3"/>
    <w:rsid w:val="002D45CC"/>
    <w:rsid w:val="002D4731"/>
    <w:rsid w:val="002D486B"/>
    <w:rsid w:val="002D4893"/>
    <w:rsid w:val="002D4A29"/>
    <w:rsid w:val="002D4C4A"/>
    <w:rsid w:val="002D4C78"/>
    <w:rsid w:val="002D4DDC"/>
    <w:rsid w:val="002D4EB3"/>
    <w:rsid w:val="002D4EEB"/>
    <w:rsid w:val="002D4F53"/>
    <w:rsid w:val="002D4FDF"/>
    <w:rsid w:val="002D5013"/>
    <w:rsid w:val="002D510A"/>
    <w:rsid w:val="002D5230"/>
    <w:rsid w:val="002D525D"/>
    <w:rsid w:val="002D5376"/>
    <w:rsid w:val="002D53AA"/>
    <w:rsid w:val="002D53EE"/>
    <w:rsid w:val="002D5494"/>
    <w:rsid w:val="002D5533"/>
    <w:rsid w:val="002D5540"/>
    <w:rsid w:val="002D55FE"/>
    <w:rsid w:val="002D5612"/>
    <w:rsid w:val="002D5687"/>
    <w:rsid w:val="002D57EA"/>
    <w:rsid w:val="002D589D"/>
    <w:rsid w:val="002D5948"/>
    <w:rsid w:val="002D5C2C"/>
    <w:rsid w:val="002D5C9C"/>
    <w:rsid w:val="002D5CDC"/>
    <w:rsid w:val="002D5D91"/>
    <w:rsid w:val="002D5EE0"/>
    <w:rsid w:val="002D5FB9"/>
    <w:rsid w:val="002D5FFE"/>
    <w:rsid w:val="002D6055"/>
    <w:rsid w:val="002D6261"/>
    <w:rsid w:val="002D64AD"/>
    <w:rsid w:val="002D6580"/>
    <w:rsid w:val="002D658F"/>
    <w:rsid w:val="002D686C"/>
    <w:rsid w:val="002D690E"/>
    <w:rsid w:val="002D6A10"/>
    <w:rsid w:val="002D6ADF"/>
    <w:rsid w:val="002D6B09"/>
    <w:rsid w:val="002D6BF8"/>
    <w:rsid w:val="002D6CFB"/>
    <w:rsid w:val="002D701B"/>
    <w:rsid w:val="002D70EA"/>
    <w:rsid w:val="002D72D9"/>
    <w:rsid w:val="002D73CC"/>
    <w:rsid w:val="002D7504"/>
    <w:rsid w:val="002D7607"/>
    <w:rsid w:val="002D774E"/>
    <w:rsid w:val="002D78D3"/>
    <w:rsid w:val="002D78F2"/>
    <w:rsid w:val="002D7914"/>
    <w:rsid w:val="002D7BFF"/>
    <w:rsid w:val="002D7C08"/>
    <w:rsid w:val="002D7CD9"/>
    <w:rsid w:val="002D7D5C"/>
    <w:rsid w:val="002D7F0E"/>
    <w:rsid w:val="002E0162"/>
    <w:rsid w:val="002E01D8"/>
    <w:rsid w:val="002E023E"/>
    <w:rsid w:val="002E027B"/>
    <w:rsid w:val="002E0465"/>
    <w:rsid w:val="002E048E"/>
    <w:rsid w:val="002E04B0"/>
    <w:rsid w:val="002E0587"/>
    <w:rsid w:val="002E061E"/>
    <w:rsid w:val="002E0649"/>
    <w:rsid w:val="002E080F"/>
    <w:rsid w:val="002E08CD"/>
    <w:rsid w:val="002E0981"/>
    <w:rsid w:val="002E0993"/>
    <w:rsid w:val="002E0A7D"/>
    <w:rsid w:val="002E0AE8"/>
    <w:rsid w:val="002E0C04"/>
    <w:rsid w:val="002E0D0D"/>
    <w:rsid w:val="002E0D70"/>
    <w:rsid w:val="002E1059"/>
    <w:rsid w:val="002E10A1"/>
    <w:rsid w:val="002E10B6"/>
    <w:rsid w:val="002E11F8"/>
    <w:rsid w:val="002E11FF"/>
    <w:rsid w:val="002E1338"/>
    <w:rsid w:val="002E142B"/>
    <w:rsid w:val="002E1552"/>
    <w:rsid w:val="002E1773"/>
    <w:rsid w:val="002E1A21"/>
    <w:rsid w:val="002E1B01"/>
    <w:rsid w:val="002E1BC3"/>
    <w:rsid w:val="002E1BD8"/>
    <w:rsid w:val="002E1C30"/>
    <w:rsid w:val="002E1CEA"/>
    <w:rsid w:val="002E1D76"/>
    <w:rsid w:val="002E1DBA"/>
    <w:rsid w:val="002E1E4C"/>
    <w:rsid w:val="002E1E8B"/>
    <w:rsid w:val="002E1ECC"/>
    <w:rsid w:val="002E1EDB"/>
    <w:rsid w:val="002E204B"/>
    <w:rsid w:val="002E207E"/>
    <w:rsid w:val="002E20E4"/>
    <w:rsid w:val="002E2146"/>
    <w:rsid w:val="002E21B1"/>
    <w:rsid w:val="002E24F8"/>
    <w:rsid w:val="002E2645"/>
    <w:rsid w:val="002E2649"/>
    <w:rsid w:val="002E2700"/>
    <w:rsid w:val="002E2756"/>
    <w:rsid w:val="002E275C"/>
    <w:rsid w:val="002E2B85"/>
    <w:rsid w:val="002E2C11"/>
    <w:rsid w:val="002E2F8A"/>
    <w:rsid w:val="002E3003"/>
    <w:rsid w:val="002E30E8"/>
    <w:rsid w:val="002E3172"/>
    <w:rsid w:val="002E3190"/>
    <w:rsid w:val="002E3222"/>
    <w:rsid w:val="002E326F"/>
    <w:rsid w:val="002E339F"/>
    <w:rsid w:val="002E3412"/>
    <w:rsid w:val="002E35B4"/>
    <w:rsid w:val="002E362E"/>
    <w:rsid w:val="002E36EE"/>
    <w:rsid w:val="002E3719"/>
    <w:rsid w:val="002E391C"/>
    <w:rsid w:val="002E3B86"/>
    <w:rsid w:val="002E3B90"/>
    <w:rsid w:val="002E3CDD"/>
    <w:rsid w:val="002E3DFC"/>
    <w:rsid w:val="002E4376"/>
    <w:rsid w:val="002E442C"/>
    <w:rsid w:val="002E44FC"/>
    <w:rsid w:val="002E45A6"/>
    <w:rsid w:val="002E460B"/>
    <w:rsid w:val="002E4677"/>
    <w:rsid w:val="002E46E7"/>
    <w:rsid w:val="002E475E"/>
    <w:rsid w:val="002E482C"/>
    <w:rsid w:val="002E492E"/>
    <w:rsid w:val="002E495A"/>
    <w:rsid w:val="002E4981"/>
    <w:rsid w:val="002E4AFA"/>
    <w:rsid w:val="002E4C33"/>
    <w:rsid w:val="002E4D53"/>
    <w:rsid w:val="002E4DCB"/>
    <w:rsid w:val="002E4F68"/>
    <w:rsid w:val="002E5472"/>
    <w:rsid w:val="002E5607"/>
    <w:rsid w:val="002E56B7"/>
    <w:rsid w:val="002E58B7"/>
    <w:rsid w:val="002E5A35"/>
    <w:rsid w:val="002E5B9A"/>
    <w:rsid w:val="002E5BF7"/>
    <w:rsid w:val="002E5CED"/>
    <w:rsid w:val="002E5DD3"/>
    <w:rsid w:val="002E5E04"/>
    <w:rsid w:val="002E6099"/>
    <w:rsid w:val="002E60CE"/>
    <w:rsid w:val="002E63DD"/>
    <w:rsid w:val="002E67C1"/>
    <w:rsid w:val="002E6948"/>
    <w:rsid w:val="002E6988"/>
    <w:rsid w:val="002E69DA"/>
    <w:rsid w:val="002E6B6E"/>
    <w:rsid w:val="002E6B9A"/>
    <w:rsid w:val="002E6D17"/>
    <w:rsid w:val="002E6E47"/>
    <w:rsid w:val="002E70BD"/>
    <w:rsid w:val="002E7163"/>
    <w:rsid w:val="002E71F1"/>
    <w:rsid w:val="002E7393"/>
    <w:rsid w:val="002E7500"/>
    <w:rsid w:val="002E7532"/>
    <w:rsid w:val="002E7623"/>
    <w:rsid w:val="002E7777"/>
    <w:rsid w:val="002E7789"/>
    <w:rsid w:val="002E78B2"/>
    <w:rsid w:val="002E798C"/>
    <w:rsid w:val="002E7AF2"/>
    <w:rsid w:val="002E7B70"/>
    <w:rsid w:val="002E7BDE"/>
    <w:rsid w:val="002E7BEA"/>
    <w:rsid w:val="002E7C20"/>
    <w:rsid w:val="002E7D0E"/>
    <w:rsid w:val="002E7D49"/>
    <w:rsid w:val="002F0275"/>
    <w:rsid w:val="002F0361"/>
    <w:rsid w:val="002F05F0"/>
    <w:rsid w:val="002F0650"/>
    <w:rsid w:val="002F0870"/>
    <w:rsid w:val="002F09CB"/>
    <w:rsid w:val="002F0A6E"/>
    <w:rsid w:val="002F0D2B"/>
    <w:rsid w:val="002F0E31"/>
    <w:rsid w:val="002F0EF5"/>
    <w:rsid w:val="002F0F13"/>
    <w:rsid w:val="002F0F2D"/>
    <w:rsid w:val="002F1133"/>
    <w:rsid w:val="002F1355"/>
    <w:rsid w:val="002F1437"/>
    <w:rsid w:val="002F14C7"/>
    <w:rsid w:val="002F1847"/>
    <w:rsid w:val="002F18ED"/>
    <w:rsid w:val="002F19F4"/>
    <w:rsid w:val="002F1A81"/>
    <w:rsid w:val="002F1B3E"/>
    <w:rsid w:val="002F1C6E"/>
    <w:rsid w:val="002F1EA8"/>
    <w:rsid w:val="002F1F38"/>
    <w:rsid w:val="002F2276"/>
    <w:rsid w:val="002F246E"/>
    <w:rsid w:val="002F26DB"/>
    <w:rsid w:val="002F278B"/>
    <w:rsid w:val="002F27B6"/>
    <w:rsid w:val="002F2853"/>
    <w:rsid w:val="002F2A04"/>
    <w:rsid w:val="002F2A9F"/>
    <w:rsid w:val="002F2C26"/>
    <w:rsid w:val="002F2D8B"/>
    <w:rsid w:val="002F30B5"/>
    <w:rsid w:val="002F31B2"/>
    <w:rsid w:val="002F3339"/>
    <w:rsid w:val="002F3375"/>
    <w:rsid w:val="002F346A"/>
    <w:rsid w:val="002F3782"/>
    <w:rsid w:val="002F394D"/>
    <w:rsid w:val="002F3AB0"/>
    <w:rsid w:val="002F3B7F"/>
    <w:rsid w:val="002F3BC6"/>
    <w:rsid w:val="002F3FAC"/>
    <w:rsid w:val="002F417A"/>
    <w:rsid w:val="002F4193"/>
    <w:rsid w:val="002F423F"/>
    <w:rsid w:val="002F47F0"/>
    <w:rsid w:val="002F4A08"/>
    <w:rsid w:val="002F4AF4"/>
    <w:rsid w:val="002F4CAA"/>
    <w:rsid w:val="002F4CCC"/>
    <w:rsid w:val="002F4F0F"/>
    <w:rsid w:val="002F50F9"/>
    <w:rsid w:val="002F540D"/>
    <w:rsid w:val="002F5466"/>
    <w:rsid w:val="002F550F"/>
    <w:rsid w:val="002F5519"/>
    <w:rsid w:val="002F5675"/>
    <w:rsid w:val="002F5734"/>
    <w:rsid w:val="002F596F"/>
    <w:rsid w:val="002F598E"/>
    <w:rsid w:val="002F5AE0"/>
    <w:rsid w:val="002F5E33"/>
    <w:rsid w:val="002F60D1"/>
    <w:rsid w:val="002F6261"/>
    <w:rsid w:val="002F63E4"/>
    <w:rsid w:val="002F6458"/>
    <w:rsid w:val="002F654F"/>
    <w:rsid w:val="002F6A81"/>
    <w:rsid w:val="002F6AD4"/>
    <w:rsid w:val="002F6EAF"/>
    <w:rsid w:val="002F6F71"/>
    <w:rsid w:val="002F7085"/>
    <w:rsid w:val="002F72B6"/>
    <w:rsid w:val="002F72DE"/>
    <w:rsid w:val="002F73AA"/>
    <w:rsid w:val="002F747D"/>
    <w:rsid w:val="002F74BD"/>
    <w:rsid w:val="002F7649"/>
    <w:rsid w:val="002F7781"/>
    <w:rsid w:val="002F77BF"/>
    <w:rsid w:val="002F7810"/>
    <w:rsid w:val="002F79B9"/>
    <w:rsid w:val="002F7B40"/>
    <w:rsid w:val="002F7BA2"/>
    <w:rsid w:val="002F7D7E"/>
    <w:rsid w:val="002F7DC6"/>
    <w:rsid w:val="002F7E56"/>
    <w:rsid w:val="00300294"/>
    <w:rsid w:val="003003A0"/>
    <w:rsid w:val="00300527"/>
    <w:rsid w:val="00300597"/>
    <w:rsid w:val="00300867"/>
    <w:rsid w:val="003008ED"/>
    <w:rsid w:val="00300A19"/>
    <w:rsid w:val="00300A65"/>
    <w:rsid w:val="00300B27"/>
    <w:rsid w:val="00300C74"/>
    <w:rsid w:val="00300CE9"/>
    <w:rsid w:val="00300D1F"/>
    <w:rsid w:val="00300F37"/>
    <w:rsid w:val="0030101C"/>
    <w:rsid w:val="00301055"/>
    <w:rsid w:val="00301071"/>
    <w:rsid w:val="00301255"/>
    <w:rsid w:val="00301259"/>
    <w:rsid w:val="00301349"/>
    <w:rsid w:val="00301512"/>
    <w:rsid w:val="0030152B"/>
    <w:rsid w:val="0030164A"/>
    <w:rsid w:val="003016CB"/>
    <w:rsid w:val="003016FF"/>
    <w:rsid w:val="003017BC"/>
    <w:rsid w:val="00301834"/>
    <w:rsid w:val="00301B52"/>
    <w:rsid w:val="00301BA5"/>
    <w:rsid w:val="00301BC8"/>
    <w:rsid w:val="00301C57"/>
    <w:rsid w:val="00301D2E"/>
    <w:rsid w:val="00302368"/>
    <w:rsid w:val="0030249B"/>
    <w:rsid w:val="0030254A"/>
    <w:rsid w:val="00302587"/>
    <w:rsid w:val="00302643"/>
    <w:rsid w:val="0030275A"/>
    <w:rsid w:val="003029DA"/>
    <w:rsid w:val="00302A75"/>
    <w:rsid w:val="00302AE5"/>
    <w:rsid w:val="00302BED"/>
    <w:rsid w:val="00302CE9"/>
    <w:rsid w:val="00302CED"/>
    <w:rsid w:val="00302DC6"/>
    <w:rsid w:val="00302EBF"/>
    <w:rsid w:val="0030306E"/>
    <w:rsid w:val="00303183"/>
    <w:rsid w:val="003033B0"/>
    <w:rsid w:val="00303503"/>
    <w:rsid w:val="00303925"/>
    <w:rsid w:val="00303933"/>
    <w:rsid w:val="00303974"/>
    <w:rsid w:val="003039E3"/>
    <w:rsid w:val="003039FF"/>
    <w:rsid w:val="00303AD7"/>
    <w:rsid w:val="00303B15"/>
    <w:rsid w:val="00304006"/>
    <w:rsid w:val="0030412E"/>
    <w:rsid w:val="0030438B"/>
    <w:rsid w:val="00304462"/>
    <w:rsid w:val="003045B6"/>
    <w:rsid w:val="00304723"/>
    <w:rsid w:val="003047F1"/>
    <w:rsid w:val="003049DD"/>
    <w:rsid w:val="00304A31"/>
    <w:rsid w:val="00304C2A"/>
    <w:rsid w:val="00304C58"/>
    <w:rsid w:val="00304CD5"/>
    <w:rsid w:val="00304E71"/>
    <w:rsid w:val="00304E85"/>
    <w:rsid w:val="00304F47"/>
    <w:rsid w:val="00304F8E"/>
    <w:rsid w:val="00305006"/>
    <w:rsid w:val="003050C7"/>
    <w:rsid w:val="003050D7"/>
    <w:rsid w:val="00305179"/>
    <w:rsid w:val="0030523C"/>
    <w:rsid w:val="00305362"/>
    <w:rsid w:val="003053F8"/>
    <w:rsid w:val="003056DC"/>
    <w:rsid w:val="003058B7"/>
    <w:rsid w:val="003059CC"/>
    <w:rsid w:val="00305A10"/>
    <w:rsid w:val="00305B87"/>
    <w:rsid w:val="00305D10"/>
    <w:rsid w:val="00305E53"/>
    <w:rsid w:val="00305EF5"/>
    <w:rsid w:val="00306082"/>
    <w:rsid w:val="003060EC"/>
    <w:rsid w:val="0030618D"/>
    <w:rsid w:val="00306285"/>
    <w:rsid w:val="0030675D"/>
    <w:rsid w:val="0030677C"/>
    <w:rsid w:val="003067CF"/>
    <w:rsid w:val="0030681E"/>
    <w:rsid w:val="00306825"/>
    <w:rsid w:val="00306989"/>
    <w:rsid w:val="00306B90"/>
    <w:rsid w:val="00306C87"/>
    <w:rsid w:val="00306CD8"/>
    <w:rsid w:val="00306D25"/>
    <w:rsid w:val="00306E40"/>
    <w:rsid w:val="00306E7A"/>
    <w:rsid w:val="00306EEC"/>
    <w:rsid w:val="0030701D"/>
    <w:rsid w:val="00307050"/>
    <w:rsid w:val="003072AA"/>
    <w:rsid w:val="0030776D"/>
    <w:rsid w:val="00307804"/>
    <w:rsid w:val="0030787E"/>
    <w:rsid w:val="0030799F"/>
    <w:rsid w:val="00307A32"/>
    <w:rsid w:val="00307CF1"/>
    <w:rsid w:val="00307D2E"/>
    <w:rsid w:val="00307DC6"/>
    <w:rsid w:val="00307E28"/>
    <w:rsid w:val="00307EC4"/>
    <w:rsid w:val="00307FFB"/>
    <w:rsid w:val="00310056"/>
    <w:rsid w:val="00310077"/>
    <w:rsid w:val="0031012D"/>
    <w:rsid w:val="003101FE"/>
    <w:rsid w:val="0031025E"/>
    <w:rsid w:val="0031030A"/>
    <w:rsid w:val="0031031F"/>
    <w:rsid w:val="0031064F"/>
    <w:rsid w:val="0031067D"/>
    <w:rsid w:val="00310764"/>
    <w:rsid w:val="00310AA2"/>
    <w:rsid w:val="00310AF5"/>
    <w:rsid w:val="00310BCC"/>
    <w:rsid w:val="00310BD2"/>
    <w:rsid w:val="00310C95"/>
    <w:rsid w:val="00310CEB"/>
    <w:rsid w:val="00310E10"/>
    <w:rsid w:val="00310EFB"/>
    <w:rsid w:val="00310FEF"/>
    <w:rsid w:val="003114B0"/>
    <w:rsid w:val="0031154B"/>
    <w:rsid w:val="0031162B"/>
    <w:rsid w:val="003116FB"/>
    <w:rsid w:val="003119D6"/>
    <w:rsid w:val="00311B13"/>
    <w:rsid w:val="00311B64"/>
    <w:rsid w:val="00311E47"/>
    <w:rsid w:val="00311FC1"/>
    <w:rsid w:val="00311FC8"/>
    <w:rsid w:val="0031228C"/>
    <w:rsid w:val="00312374"/>
    <w:rsid w:val="00312393"/>
    <w:rsid w:val="0031239F"/>
    <w:rsid w:val="003123CA"/>
    <w:rsid w:val="003123FB"/>
    <w:rsid w:val="0031268F"/>
    <w:rsid w:val="003127A5"/>
    <w:rsid w:val="00312E64"/>
    <w:rsid w:val="00312E66"/>
    <w:rsid w:val="00312F0A"/>
    <w:rsid w:val="0031304D"/>
    <w:rsid w:val="00313111"/>
    <w:rsid w:val="00313233"/>
    <w:rsid w:val="003132AD"/>
    <w:rsid w:val="00313305"/>
    <w:rsid w:val="0031352C"/>
    <w:rsid w:val="003136FF"/>
    <w:rsid w:val="00313711"/>
    <w:rsid w:val="0031376B"/>
    <w:rsid w:val="00313810"/>
    <w:rsid w:val="0031393B"/>
    <w:rsid w:val="003139DA"/>
    <w:rsid w:val="00313A77"/>
    <w:rsid w:val="00313A8F"/>
    <w:rsid w:val="00313CBE"/>
    <w:rsid w:val="00313CDC"/>
    <w:rsid w:val="00313D40"/>
    <w:rsid w:val="00313E6A"/>
    <w:rsid w:val="00313E75"/>
    <w:rsid w:val="00314054"/>
    <w:rsid w:val="003141EF"/>
    <w:rsid w:val="00314242"/>
    <w:rsid w:val="00314332"/>
    <w:rsid w:val="00314456"/>
    <w:rsid w:val="00314607"/>
    <w:rsid w:val="0031466D"/>
    <w:rsid w:val="0031483A"/>
    <w:rsid w:val="00314848"/>
    <w:rsid w:val="00314A7A"/>
    <w:rsid w:val="00314A7D"/>
    <w:rsid w:val="00314CAC"/>
    <w:rsid w:val="00314CB8"/>
    <w:rsid w:val="00314CC7"/>
    <w:rsid w:val="00314DA6"/>
    <w:rsid w:val="00314F82"/>
    <w:rsid w:val="00315072"/>
    <w:rsid w:val="003151B6"/>
    <w:rsid w:val="00315285"/>
    <w:rsid w:val="00315464"/>
    <w:rsid w:val="003156C0"/>
    <w:rsid w:val="003156D4"/>
    <w:rsid w:val="003157C4"/>
    <w:rsid w:val="003159A7"/>
    <w:rsid w:val="00315A77"/>
    <w:rsid w:val="00315B6E"/>
    <w:rsid w:val="00315BFA"/>
    <w:rsid w:val="00315EB5"/>
    <w:rsid w:val="00315EBA"/>
    <w:rsid w:val="00316067"/>
    <w:rsid w:val="0031664A"/>
    <w:rsid w:val="00316B1F"/>
    <w:rsid w:val="00316BBD"/>
    <w:rsid w:val="00316CD9"/>
    <w:rsid w:val="00316D1A"/>
    <w:rsid w:val="00316F21"/>
    <w:rsid w:val="00316F25"/>
    <w:rsid w:val="00316F2C"/>
    <w:rsid w:val="00317490"/>
    <w:rsid w:val="0031751D"/>
    <w:rsid w:val="00317576"/>
    <w:rsid w:val="0031757A"/>
    <w:rsid w:val="00317634"/>
    <w:rsid w:val="00317653"/>
    <w:rsid w:val="0031772E"/>
    <w:rsid w:val="00317801"/>
    <w:rsid w:val="0031782E"/>
    <w:rsid w:val="00317969"/>
    <w:rsid w:val="00317BD2"/>
    <w:rsid w:val="00317E89"/>
    <w:rsid w:val="00317FC7"/>
    <w:rsid w:val="003204B6"/>
    <w:rsid w:val="003209C7"/>
    <w:rsid w:val="00320A7A"/>
    <w:rsid w:val="00320B2A"/>
    <w:rsid w:val="00320C37"/>
    <w:rsid w:val="00320DB1"/>
    <w:rsid w:val="00320E1D"/>
    <w:rsid w:val="00320F1A"/>
    <w:rsid w:val="00320FF8"/>
    <w:rsid w:val="00321276"/>
    <w:rsid w:val="0032137C"/>
    <w:rsid w:val="003213F6"/>
    <w:rsid w:val="00321661"/>
    <w:rsid w:val="00321B4A"/>
    <w:rsid w:val="00321B78"/>
    <w:rsid w:val="00321CE2"/>
    <w:rsid w:val="00321E6B"/>
    <w:rsid w:val="00321E8B"/>
    <w:rsid w:val="0032214B"/>
    <w:rsid w:val="003221C7"/>
    <w:rsid w:val="00322248"/>
    <w:rsid w:val="003226CF"/>
    <w:rsid w:val="00322957"/>
    <w:rsid w:val="00322A44"/>
    <w:rsid w:val="00322AA5"/>
    <w:rsid w:val="00322B3F"/>
    <w:rsid w:val="00322B4C"/>
    <w:rsid w:val="00322B4F"/>
    <w:rsid w:val="00322D50"/>
    <w:rsid w:val="00322F97"/>
    <w:rsid w:val="00323257"/>
    <w:rsid w:val="0032332D"/>
    <w:rsid w:val="00323330"/>
    <w:rsid w:val="00323433"/>
    <w:rsid w:val="003235F1"/>
    <w:rsid w:val="0032373C"/>
    <w:rsid w:val="003237F5"/>
    <w:rsid w:val="00323A53"/>
    <w:rsid w:val="00323CAC"/>
    <w:rsid w:val="00323ED7"/>
    <w:rsid w:val="00323F9A"/>
    <w:rsid w:val="0032401F"/>
    <w:rsid w:val="00324063"/>
    <w:rsid w:val="0032427C"/>
    <w:rsid w:val="003242A5"/>
    <w:rsid w:val="0032456B"/>
    <w:rsid w:val="003245D3"/>
    <w:rsid w:val="00324750"/>
    <w:rsid w:val="0032491B"/>
    <w:rsid w:val="00324993"/>
    <w:rsid w:val="00324AD8"/>
    <w:rsid w:val="00324E90"/>
    <w:rsid w:val="00324FF4"/>
    <w:rsid w:val="003251BE"/>
    <w:rsid w:val="0032531D"/>
    <w:rsid w:val="003253BF"/>
    <w:rsid w:val="003253D5"/>
    <w:rsid w:val="003255F6"/>
    <w:rsid w:val="003256D4"/>
    <w:rsid w:val="003257BC"/>
    <w:rsid w:val="003258D8"/>
    <w:rsid w:val="00325BD0"/>
    <w:rsid w:val="00325DD0"/>
    <w:rsid w:val="00325E4E"/>
    <w:rsid w:val="00325E83"/>
    <w:rsid w:val="00325FCC"/>
    <w:rsid w:val="003260BD"/>
    <w:rsid w:val="003262F5"/>
    <w:rsid w:val="00326331"/>
    <w:rsid w:val="00326385"/>
    <w:rsid w:val="0032639A"/>
    <w:rsid w:val="00326412"/>
    <w:rsid w:val="00326628"/>
    <w:rsid w:val="003266B8"/>
    <w:rsid w:val="003266E8"/>
    <w:rsid w:val="003269AC"/>
    <w:rsid w:val="00326A58"/>
    <w:rsid w:val="00326BF4"/>
    <w:rsid w:val="00326CCF"/>
    <w:rsid w:val="00326CF8"/>
    <w:rsid w:val="00326D1F"/>
    <w:rsid w:val="00326F5F"/>
    <w:rsid w:val="00326F65"/>
    <w:rsid w:val="00326FB6"/>
    <w:rsid w:val="00327227"/>
    <w:rsid w:val="003273B3"/>
    <w:rsid w:val="00327697"/>
    <w:rsid w:val="0032786F"/>
    <w:rsid w:val="00327BB1"/>
    <w:rsid w:val="00327D14"/>
    <w:rsid w:val="00327E3E"/>
    <w:rsid w:val="00327E8C"/>
    <w:rsid w:val="00327EFC"/>
    <w:rsid w:val="00327F04"/>
    <w:rsid w:val="0033001A"/>
    <w:rsid w:val="003302B1"/>
    <w:rsid w:val="00330641"/>
    <w:rsid w:val="003307D6"/>
    <w:rsid w:val="0033087B"/>
    <w:rsid w:val="003308D1"/>
    <w:rsid w:val="003308F8"/>
    <w:rsid w:val="00330AD1"/>
    <w:rsid w:val="00330B70"/>
    <w:rsid w:val="00330DC2"/>
    <w:rsid w:val="00330E0E"/>
    <w:rsid w:val="00330EA1"/>
    <w:rsid w:val="00330F29"/>
    <w:rsid w:val="003310D4"/>
    <w:rsid w:val="00331102"/>
    <w:rsid w:val="003311A9"/>
    <w:rsid w:val="003311B3"/>
    <w:rsid w:val="0033143E"/>
    <w:rsid w:val="003314F3"/>
    <w:rsid w:val="003316E3"/>
    <w:rsid w:val="00331843"/>
    <w:rsid w:val="00331A5B"/>
    <w:rsid w:val="00331BBB"/>
    <w:rsid w:val="00331CCF"/>
    <w:rsid w:val="00331D17"/>
    <w:rsid w:val="00331EA6"/>
    <w:rsid w:val="00331FF6"/>
    <w:rsid w:val="0033208C"/>
    <w:rsid w:val="003320F6"/>
    <w:rsid w:val="00332130"/>
    <w:rsid w:val="00332157"/>
    <w:rsid w:val="0033233A"/>
    <w:rsid w:val="003327CD"/>
    <w:rsid w:val="00332903"/>
    <w:rsid w:val="00332B46"/>
    <w:rsid w:val="00332B5E"/>
    <w:rsid w:val="00333192"/>
    <w:rsid w:val="003331B4"/>
    <w:rsid w:val="00333211"/>
    <w:rsid w:val="00333212"/>
    <w:rsid w:val="0033341B"/>
    <w:rsid w:val="00333485"/>
    <w:rsid w:val="003334C0"/>
    <w:rsid w:val="003334FF"/>
    <w:rsid w:val="0033356C"/>
    <w:rsid w:val="00333587"/>
    <w:rsid w:val="003336CF"/>
    <w:rsid w:val="00333952"/>
    <w:rsid w:val="00333A08"/>
    <w:rsid w:val="00333A1C"/>
    <w:rsid w:val="00333A88"/>
    <w:rsid w:val="00333AFD"/>
    <w:rsid w:val="00333DF2"/>
    <w:rsid w:val="00333E5C"/>
    <w:rsid w:val="00333F9B"/>
    <w:rsid w:val="00334106"/>
    <w:rsid w:val="0033439A"/>
    <w:rsid w:val="003343C5"/>
    <w:rsid w:val="003343DE"/>
    <w:rsid w:val="00334521"/>
    <w:rsid w:val="00334574"/>
    <w:rsid w:val="0033469E"/>
    <w:rsid w:val="0033492C"/>
    <w:rsid w:val="00334A5D"/>
    <w:rsid w:val="00334A95"/>
    <w:rsid w:val="00334C1A"/>
    <w:rsid w:val="00334C2B"/>
    <w:rsid w:val="00334E4D"/>
    <w:rsid w:val="00334F01"/>
    <w:rsid w:val="00335059"/>
    <w:rsid w:val="003350A2"/>
    <w:rsid w:val="003351B2"/>
    <w:rsid w:val="003353C5"/>
    <w:rsid w:val="00335400"/>
    <w:rsid w:val="00335450"/>
    <w:rsid w:val="00335735"/>
    <w:rsid w:val="003357DA"/>
    <w:rsid w:val="00335AF7"/>
    <w:rsid w:val="00335D35"/>
    <w:rsid w:val="00335F2F"/>
    <w:rsid w:val="00336080"/>
    <w:rsid w:val="0033611F"/>
    <w:rsid w:val="00336135"/>
    <w:rsid w:val="00336163"/>
    <w:rsid w:val="0033620B"/>
    <w:rsid w:val="00336261"/>
    <w:rsid w:val="00336418"/>
    <w:rsid w:val="00336459"/>
    <w:rsid w:val="00336463"/>
    <w:rsid w:val="00336488"/>
    <w:rsid w:val="00336792"/>
    <w:rsid w:val="00336847"/>
    <w:rsid w:val="003368CE"/>
    <w:rsid w:val="003368DB"/>
    <w:rsid w:val="00336EF0"/>
    <w:rsid w:val="00337673"/>
    <w:rsid w:val="00337906"/>
    <w:rsid w:val="003379F5"/>
    <w:rsid w:val="00337BEE"/>
    <w:rsid w:val="00337C1E"/>
    <w:rsid w:val="00340209"/>
    <w:rsid w:val="00340367"/>
    <w:rsid w:val="0034044E"/>
    <w:rsid w:val="00340B3B"/>
    <w:rsid w:val="00340C51"/>
    <w:rsid w:val="00340E3F"/>
    <w:rsid w:val="003410B9"/>
    <w:rsid w:val="003410C5"/>
    <w:rsid w:val="00341171"/>
    <w:rsid w:val="00341179"/>
    <w:rsid w:val="0034129F"/>
    <w:rsid w:val="003413C2"/>
    <w:rsid w:val="00341730"/>
    <w:rsid w:val="003417E7"/>
    <w:rsid w:val="00341988"/>
    <w:rsid w:val="00341A68"/>
    <w:rsid w:val="00341B17"/>
    <w:rsid w:val="00341DFE"/>
    <w:rsid w:val="00341E72"/>
    <w:rsid w:val="00341FD5"/>
    <w:rsid w:val="0034206F"/>
    <w:rsid w:val="003420AB"/>
    <w:rsid w:val="003422AA"/>
    <w:rsid w:val="003422D5"/>
    <w:rsid w:val="003424BD"/>
    <w:rsid w:val="00342537"/>
    <w:rsid w:val="00342977"/>
    <w:rsid w:val="00342A77"/>
    <w:rsid w:val="00342BF7"/>
    <w:rsid w:val="00342C5B"/>
    <w:rsid w:val="00342D94"/>
    <w:rsid w:val="00342FE2"/>
    <w:rsid w:val="0034300D"/>
    <w:rsid w:val="00343097"/>
    <w:rsid w:val="003430E4"/>
    <w:rsid w:val="00343348"/>
    <w:rsid w:val="0034337C"/>
    <w:rsid w:val="003433DA"/>
    <w:rsid w:val="003434ED"/>
    <w:rsid w:val="003435BE"/>
    <w:rsid w:val="00343634"/>
    <w:rsid w:val="003437DA"/>
    <w:rsid w:val="003438BA"/>
    <w:rsid w:val="003438F2"/>
    <w:rsid w:val="00343908"/>
    <w:rsid w:val="00343B12"/>
    <w:rsid w:val="00343BFB"/>
    <w:rsid w:val="00343CEA"/>
    <w:rsid w:val="00343FAC"/>
    <w:rsid w:val="00343FE2"/>
    <w:rsid w:val="00343FF9"/>
    <w:rsid w:val="003440C0"/>
    <w:rsid w:val="003440CF"/>
    <w:rsid w:val="003441F7"/>
    <w:rsid w:val="00344251"/>
    <w:rsid w:val="00344580"/>
    <w:rsid w:val="00344777"/>
    <w:rsid w:val="00344815"/>
    <w:rsid w:val="00344863"/>
    <w:rsid w:val="00344A3B"/>
    <w:rsid w:val="00344AF6"/>
    <w:rsid w:val="00344C65"/>
    <w:rsid w:val="00344C67"/>
    <w:rsid w:val="00344E03"/>
    <w:rsid w:val="00344E75"/>
    <w:rsid w:val="00344E80"/>
    <w:rsid w:val="00344FC1"/>
    <w:rsid w:val="0034502E"/>
    <w:rsid w:val="00345117"/>
    <w:rsid w:val="00345129"/>
    <w:rsid w:val="003451EE"/>
    <w:rsid w:val="003452D4"/>
    <w:rsid w:val="00345375"/>
    <w:rsid w:val="00345397"/>
    <w:rsid w:val="003454DD"/>
    <w:rsid w:val="003454FF"/>
    <w:rsid w:val="003456A2"/>
    <w:rsid w:val="00345EFA"/>
    <w:rsid w:val="00345F66"/>
    <w:rsid w:val="003460AE"/>
    <w:rsid w:val="0034615C"/>
    <w:rsid w:val="00346380"/>
    <w:rsid w:val="0034641E"/>
    <w:rsid w:val="0034643B"/>
    <w:rsid w:val="003465A4"/>
    <w:rsid w:val="003467FA"/>
    <w:rsid w:val="00346816"/>
    <w:rsid w:val="00346865"/>
    <w:rsid w:val="0034687A"/>
    <w:rsid w:val="00346911"/>
    <w:rsid w:val="00346B3F"/>
    <w:rsid w:val="00346BEF"/>
    <w:rsid w:val="00346E22"/>
    <w:rsid w:val="00347087"/>
    <w:rsid w:val="003470FC"/>
    <w:rsid w:val="003473E4"/>
    <w:rsid w:val="00347732"/>
    <w:rsid w:val="0034797D"/>
    <w:rsid w:val="00347B44"/>
    <w:rsid w:val="00347E71"/>
    <w:rsid w:val="00347EC5"/>
    <w:rsid w:val="00347F63"/>
    <w:rsid w:val="003500C1"/>
    <w:rsid w:val="00350113"/>
    <w:rsid w:val="0035013F"/>
    <w:rsid w:val="00350226"/>
    <w:rsid w:val="0035040A"/>
    <w:rsid w:val="003505DA"/>
    <w:rsid w:val="003506C0"/>
    <w:rsid w:val="00350BC6"/>
    <w:rsid w:val="00350DEF"/>
    <w:rsid w:val="00351232"/>
    <w:rsid w:val="0035130D"/>
    <w:rsid w:val="00351395"/>
    <w:rsid w:val="00351528"/>
    <w:rsid w:val="00351561"/>
    <w:rsid w:val="00351585"/>
    <w:rsid w:val="00351870"/>
    <w:rsid w:val="00351BBF"/>
    <w:rsid w:val="00351BE5"/>
    <w:rsid w:val="00351C5F"/>
    <w:rsid w:val="00351DCA"/>
    <w:rsid w:val="00351DF0"/>
    <w:rsid w:val="00351E0B"/>
    <w:rsid w:val="00351E1A"/>
    <w:rsid w:val="00351E4A"/>
    <w:rsid w:val="0035202D"/>
    <w:rsid w:val="00352039"/>
    <w:rsid w:val="003523CD"/>
    <w:rsid w:val="0035241C"/>
    <w:rsid w:val="00352617"/>
    <w:rsid w:val="00352903"/>
    <w:rsid w:val="00352B66"/>
    <w:rsid w:val="00352BF8"/>
    <w:rsid w:val="00352C2D"/>
    <w:rsid w:val="00352C64"/>
    <w:rsid w:val="00352C81"/>
    <w:rsid w:val="00352C98"/>
    <w:rsid w:val="00352CDA"/>
    <w:rsid w:val="00352DE0"/>
    <w:rsid w:val="00352EBA"/>
    <w:rsid w:val="0035317C"/>
    <w:rsid w:val="0035322C"/>
    <w:rsid w:val="00353792"/>
    <w:rsid w:val="00353A20"/>
    <w:rsid w:val="00353A36"/>
    <w:rsid w:val="00353B84"/>
    <w:rsid w:val="00353DFC"/>
    <w:rsid w:val="00354096"/>
    <w:rsid w:val="00354119"/>
    <w:rsid w:val="00354178"/>
    <w:rsid w:val="00354221"/>
    <w:rsid w:val="00354278"/>
    <w:rsid w:val="003542BA"/>
    <w:rsid w:val="003542FC"/>
    <w:rsid w:val="00354373"/>
    <w:rsid w:val="003543A9"/>
    <w:rsid w:val="0035457E"/>
    <w:rsid w:val="00354748"/>
    <w:rsid w:val="003549ED"/>
    <w:rsid w:val="00354A6B"/>
    <w:rsid w:val="00354AAD"/>
    <w:rsid w:val="00354C3A"/>
    <w:rsid w:val="00354F5E"/>
    <w:rsid w:val="00354F74"/>
    <w:rsid w:val="003550DB"/>
    <w:rsid w:val="00355125"/>
    <w:rsid w:val="00355748"/>
    <w:rsid w:val="00355A38"/>
    <w:rsid w:val="00355ACE"/>
    <w:rsid w:val="00355BC4"/>
    <w:rsid w:val="00355BCA"/>
    <w:rsid w:val="00355D4F"/>
    <w:rsid w:val="00355E1F"/>
    <w:rsid w:val="00355F97"/>
    <w:rsid w:val="00355FC4"/>
    <w:rsid w:val="00356125"/>
    <w:rsid w:val="00356275"/>
    <w:rsid w:val="003562BA"/>
    <w:rsid w:val="003562BF"/>
    <w:rsid w:val="00356300"/>
    <w:rsid w:val="003563E1"/>
    <w:rsid w:val="00356661"/>
    <w:rsid w:val="003566F5"/>
    <w:rsid w:val="00356781"/>
    <w:rsid w:val="003567B1"/>
    <w:rsid w:val="003568D8"/>
    <w:rsid w:val="003568D9"/>
    <w:rsid w:val="00356BDF"/>
    <w:rsid w:val="00356C02"/>
    <w:rsid w:val="00356C75"/>
    <w:rsid w:val="00356E0D"/>
    <w:rsid w:val="00356E7C"/>
    <w:rsid w:val="00356F29"/>
    <w:rsid w:val="00356F45"/>
    <w:rsid w:val="003573AA"/>
    <w:rsid w:val="0035741B"/>
    <w:rsid w:val="0035763A"/>
    <w:rsid w:val="00357662"/>
    <w:rsid w:val="003577EE"/>
    <w:rsid w:val="003579C7"/>
    <w:rsid w:val="00357AB5"/>
    <w:rsid w:val="00357AE9"/>
    <w:rsid w:val="00357B06"/>
    <w:rsid w:val="00357E50"/>
    <w:rsid w:val="00357EAA"/>
    <w:rsid w:val="00357EEB"/>
    <w:rsid w:val="00357FD2"/>
    <w:rsid w:val="0036008F"/>
    <w:rsid w:val="0036013E"/>
    <w:rsid w:val="00360184"/>
    <w:rsid w:val="0036025A"/>
    <w:rsid w:val="00360267"/>
    <w:rsid w:val="00360310"/>
    <w:rsid w:val="003603AA"/>
    <w:rsid w:val="0036066C"/>
    <w:rsid w:val="0036066F"/>
    <w:rsid w:val="00360730"/>
    <w:rsid w:val="0036073A"/>
    <w:rsid w:val="0036076C"/>
    <w:rsid w:val="003608AF"/>
    <w:rsid w:val="003608C9"/>
    <w:rsid w:val="0036093F"/>
    <w:rsid w:val="003609B6"/>
    <w:rsid w:val="00360C16"/>
    <w:rsid w:val="00360F30"/>
    <w:rsid w:val="003611A2"/>
    <w:rsid w:val="003611BE"/>
    <w:rsid w:val="00361244"/>
    <w:rsid w:val="0036140F"/>
    <w:rsid w:val="003614B3"/>
    <w:rsid w:val="0036177C"/>
    <w:rsid w:val="003617C3"/>
    <w:rsid w:val="00361824"/>
    <w:rsid w:val="00361836"/>
    <w:rsid w:val="00361850"/>
    <w:rsid w:val="00361F14"/>
    <w:rsid w:val="0036219B"/>
    <w:rsid w:val="00362234"/>
    <w:rsid w:val="00362394"/>
    <w:rsid w:val="003623D7"/>
    <w:rsid w:val="00362495"/>
    <w:rsid w:val="003624EB"/>
    <w:rsid w:val="00362556"/>
    <w:rsid w:val="0036268A"/>
    <w:rsid w:val="00362941"/>
    <w:rsid w:val="003629ED"/>
    <w:rsid w:val="00362AD7"/>
    <w:rsid w:val="00362CD9"/>
    <w:rsid w:val="00362FF0"/>
    <w:rsid w:val="00363431"/>
    <w:rsid w:val="00363515"/>
    <w:rsid w:val="0036351E"/>
    <w:rsid w:val="0036367B"/>
    <w:rsid w:val="003636C5"/>
    <w:rsid w:val="0036383E"/>
    <w:rsid w:val="0036389F"/>
    <w:rsid w:val="003639EF"/>
    <w:rsid w:val="00363E33"/>
    <w:rsid w:val="00363E5A"/>
    <w:rsid w:val="00364262"/>
    <w:rsid w:val="0036428D"/>
    <w:rsid w:val="0036431E"/>
    <w:rsid w:val="0036434E"/>
    <w:rsid w:val="00364627"/>
    <w:rsid w:val="0036471D"/>
    <w:rsid w:val="0036483B"/>
    <w:rsid w:val="00364863"/>
    <w:rsid w:val="003649D8"/>
    <w:rsid w:val="003649E0"/>
    <w:rsid w:val="00364A0E"/>
    <w:rsid w:val="00364B13"/>
    <w:rsid w:val="00364C9F"/>
    <w:rsid w:val="00364CFD"/>
    <w:rsid w:val="00364D83"/>
    <w:rsid w:val="00364E63"/>
    <w:rsid w:val="00364EE4"/>
    <w:rsid w:val="003651B4"/>
    <w:rsid w:val="003651DD"/>
    <w:rsid w:val="003654F3"/>
    <w:rsid w:val="0036551F"/>
    <w:rsid w:val="00365663"/>
    <w:rsid w:val="0036581A"/>
    <w:rsid w:val="0036589A"/>
    <w:rsid w:val="003658B5"/>
    <w:rsid w:val="00365B2F"/>
    <w:rsid w:val="00365B6B"/>
    <w:rsid w:val="00365BB5"/>
    <w:rsid w:val="00365C5A"/>
    <w:rsid w:val="00365C91"/>
    <w:rsid w:val="00365E0E"/>
    <w:rsid w:val="00365E58"/>
    <w:rsid w:val="00365F5B"/>
    <w:rsid w:val="00366098"/>
    <w:rsid w:val="0036617A"/>
    <w:rsid w:val="0036617D"/>
    <w:rsid w:val="003661FC"/>
    <w:rsid w:val="00366336"/>
    <w:rsid w:val="00366344"/>
    <w:rsid w:val="00366358"/>
    <w:rsid w:val="00366460"/>
    <w:rsid w:val="003666F3"/>
    <w:rsid w:val="003667BC"/>
    <w:rsid w:val="00366B49"/>
    <w:rsid w:val="00366B5B"/>
    <w:rsid w:val="00366BCB"/>
    <w:rsid w:val="00366C4B"/>
    <w:rsid w:val="00366CB5"/>
    <w:rsid w:val="00366D17"/>
    <w:rsid w:val="00366D46"/>
    <w:rsid w:val="00366D4C"/>
    <w:rsid w:val="00366D80"/>
    <w:rsid w:val="00366E9E"/>
    <w:rsid w:val="00366FA3"/>
    <w:rsid w:val="00367147"/>
    <w:rsid w:val="0036717D"/>
    <w:rsid w:val="00367320"/>
    <w:rsid w:val="0036737B"/>
    <w:rsid w:val="003675C1"/>
    <w:rsid w:val="003676E0"/>
    <w:rsid w:val="0036775C"/>
    <w:rsid w:val="00367803"/>
    <w:rsid w:val="003679F4"/>
    <w:rsid w:val="00367A7A"/>
    <w:rsid w:val="00367AF4"/>
    <w:rsid w:val="00370055"/>
    <w:rsid w:val="0037010C"/>
    <w:rsid w:val="00370390"/>
    <w:rsid w:val="0037055D"/>
    <w:rsid w:val="00370576"/>
    <w:rsid w:val="0037063C"/>
    <w:rsid w:val="00370698"/>
    <w:rsid w:val="00370A1B"/>
    <w:rsid w:val="00370BAE"/>
    <w:rsid w:val="00370CA5"/>
    <w:rsid w:val="00370D96"/>
    <w:rsid w:val="00370FBC"/>
    <w:rsid w:val="00371003"/>
    <w:rsid w:val="0037130C"/>
    <w:rsid w:val="00371408"/>
    <w:rsid w:val="00371443"/>
    <w:rsid w:val="003717D1"/>
    <w:rsid w:val="00371819"/>
    <w:rsid w:val="00371904"/>
    <w:rsid w:val="003719C0"/>
    <w:rsid w:val="00371C82"/>
    <w:rsid w:val="00371CEE"/>
    <w:rsid w:val="00371D33"/>
    <w:rsid w:val="00371D35"/>
    <w:rsid w:val="00371D7E"/>
    <w:rsid w:val="00371DA6"/>
    <w:rsid w:val="00371F8A"/>
    <w:rsid w:val="00371FBD"/>
    <w:rsid w:val="003720C7"/>
    <w:rsid w:val="00372124"/>
    <w:rsid w:val="003721C5"/>
    <w:rsid w:val="003724D4"/>
    <w:rsid w:val="0037277F"/>
    <w:rsid w:val="00372830"/>
    <w:rsid w:val="00372E01"/>
    <w:rsid w:val="00372F24"/>
    <w:rsid w:val="00372F41"/>
    <w:rsid w:val="0037301B"/>
    <w:rsid w:val="003730E3"/>
    <w:rsid w:val="00373187"/>
    <w:rsid w:val="0037320A"/>
    <w:rsid w:val="003732D9"/>
    <w:rsid w:val="00373334"/>
    <w:rsid w:val="00373338"/>
    <w:rsid w:val="0037342C"/>
    <w:rsid w:val="003734BA"/>
    <w:rsid w:val="00373504"/>
    <w:rsid w:val="0037363A"/>
    <w:rsid w:val="00373A4E"/>
    <w:rsid w:val="00373B25"/>
    <w:rsid w:val="00373B3D"/>
    <w:rsid w:val="00373E6F"/>
    <w:rsid w:val="003740E8"/>
    <w:rsid w:val="003741CE"/>
    <w:rsid w:val="00374314"/>
    <w:rsid w:val="003743DE"/>
    <w:rsid w:val="0037457A"/>
    <w:rsid w:val="003746E0"/>
    <w:rsid w:val="003746F0"/>
    <w:rsid w:val="003746FC"/>
    <w:rsid w:val="0037475B"/>
    <w:rsid w:val="00374898"/>
    <w:rsid w:val="0037497F"/>
    <w:rsid w:val="00374AB9"/>
    <w:rsid w:val="00374C03"/>
    <w:rsid w:val="00374D26"/>
    <w:rsid w:val="00374E72"/>
    <w:rsid w:val="00374EA8"/>
    <w:rsid w:val="00374F9E"/>
    <w:rsid w:val="00374FBB"/>
    <w:rsid w:val="003750FD"/>
    <w:rsid w:val="003751AA"/>
    <w:rsid w:val="003751DC"/>
    <w:rsid w:val="0037531B"/>
    <w:rsid w:val="00375426"/>
    <w:rsid w:val="003754AA"/>
    <w:rsid w:val="003756E8"/>
    <w:rsid w:val="003758BB"/>
    <w:rsid w:val="00375915"/>
    <w:rsid w:val="00375AFD"/>
    <w:rsid w:val="00375B35"/>
    <w:rsid w:val="00375FB4"/>
    <w:rsid w:val="00376192"/>
    <w:rsid w:val="003761D5"/>
    <w:rsid w:val="00376370"/>
    <w:rsid w:val="0037667C"/>
    <w:rsid w:val="00376732"/>
    <w:rsid w:val="00376948"/>
    <w:rsid w:val="00376C6A"/>
    <w:rsid w:val="00376C71"/>
    <w:rsid w:val="00376CF8"/>
    <w:rsid w:val="00376F9F"/>
    <w:rsid w:val="0037701D"/>
    <w:rsid w:val="00377127"/>
    <w:rsid w:val="00377278"/>
    <w:rsid w:val="0037748B"/>
    <w:rsid w:val="0037765D"/>
    <w:rsid w:val="00377723"/>
    <w:rsid w:val="00377789"/>
    <w:rsid w:val="003778BF"/>
    <w:rsid w:val="00377909"/>
    <w:rsid w:val="00377941"/>
    <w:rsid w:val="00377A98"/>
    <w:rsid w:val="00377BED"/>
    <w:rsid w:val="00380025"/>
    <w:rsid w:val="0038013E"/>
    <w:rsid w:val="00380225"/>
    <w:rsid w:val="00380227"/>
    <w:rsid w:val="003802C5"/>
    <w:rsid w:val="00380439"/>
    <w:rsid w:val="00380521"/>
    <w:rsid w:val="003805D7"/>
    <w:rsid w:val="003805DF"/>
    <w:rsid w:val="00380728"/>
    <w:rsid w:val="00380787"/>
    <w:rsid w:val="003807D2"/>
    <w:rsid w:val="003809E2"/>
    <w:rsid w:val="003809F3"/>
    <w:rsid w:val="00380A9D"/>
    <w:rsid w:val="00380AB1"/>
    <w:rsid w:val="00380C41"/>
    <w:rsid w:val="00380D2D"/>
    <w:rsid w:val="00380D40"/>
    <w:rsid w:val="00380F1A"/>
    <w:rsid w:val="00380FA8"/>
    <w:rsid w:val="003811B4"/>
    <w:rsid w:val="0038120B"/>
    <w:rsid w:val="0038138F"/>
    <w:rsid w:val="003813F1"/>
    <w:rsid w:val="003814D5"/>
    <w:rsid w:val="00381527"/>
    <w:rsid w:val="00381594"/>
    <w:rsid w:val="003816A7"/>
    <w:rsid w:val="0038189C"/>
    <w:rsid w:val="00381A85"/>
    <w:rsid w:val="00381B06"/>
    <w:rsid w:val="00381C07"/>
    <w:rsid w:val="00381D61"/>
    <w:rsid w:val="00381EDE"/>
    <w:rsid w:val="00381EF7"/>
    <w:rsid w:val="00381F58"/>
    <w:rsid w:val="00381F5F"/>
    <w:rsid w:val="00382372"/>
    <w:rsid w:val="00382387"/>
    <w:rsid w:val="00382500"/>
    <w:rsid w:val="003826B0"/>
    <w:rsid w:val="003828ED"/>
    <w:rsid w:val="00382AA2"/>
    <w:rsid w:val="00382ACA"/>
    <w:rsid w:val="00382C33"/>
    <w:rsid w:val="00382D00"/>
    <w:rsid w:val="00382D34"/>
    <w:rsid w:val="00382D49"/>
    <w:rsid w:val="00382EFE"/>
    <w:rsid w:val="003831E6"/>
    <w:rsid w:val="003832A5"/>
    <w:rsid w:val="003834A3"/>
    <w:rsid w:val="003835BE"/>
    <w:rsid w:val="003835D3"/>
    <w:rsid w:val="003835FC"/>
    <w:rsid w:val="00383A44"/>
    <w:rsid w:val="00383A7B"/>
    <w:rsid w:val="00383ABB"/>
    <w:rsid w:val="00383F3F"/>
    <w:rsid w:val="00384079"/>
    <w:rsid w:val="0038412F"/>
    <w:rsid w:val="003842A2"/>
    <w:rsid w:val="003844AE"/>
    <w:rsid w:val="003846BA"/>
    <w:rsid w:val="0038492E"/>
    <w:rsid w:val="003849EA"/>
    <w:rsid w:val="00384CCE"/>
    <w:rsid w:val="00384D98"/>
    <w:rsid w:val="00384E4C"/>
    <w:rsid w:val="00384E9E"/>
    <w:rsid w:val="0038505B"/>
    <w:rsid w:val="00385302"/>
    <w:rsid w:val="00385411"/>
    <w:rsid w:val="0038545C"/>
    <w:rsid w:val="00385591"/>
    <w:rsid w:val="003856A9"/>
    <w:rsid w:val="003856D6"/>
    <w:rsid w:val="00385803"/>
    <w:rsid w:val="00385824"/>
    <w:rsid w:val="00385A90"/>
    <w:rsid w:val="00385BB5"/>
    <w:rsid w:val="00385BBF"/>
    <w:rsid w:val="00385FA7"/>
    <w:rsid w:val="003860C3"/>
    <w:rsid w:val="0038614C"/>
    <w:rsid w:val="003862DC"/>
    <w:rsid w:val="003863F7"/>
    <w:rsid w:val="003864AD"/>
    <w:rsid w:val="00386549"/>
    <w:rsid w:val="00386555"/>
    <w:rsid w:val="00386678"/>
    <w:rsid w:val="003868AC"/>
    <w:rsid w:val="00386924"/>
    <w:rsid w:val="00386B09"/>
    <w:rsid w:val="00386B9A"/>
    <w:rsid w:val="00386C8A"/>
    <w:rsid w:val="00386F7E"/>
    <w:rsid w:val="00386F98"/>
    <w:rsid w:val="003870DB"/>
    <w:rsid w:val="00387325"/>
    <w:rsid w:val="003873F5"/>
    <w:rsid w:val="003875C1"/>
    <w:rsid w:val="003876C0"/>
    <w:rsid w:val="00387806"/>
    <w:rsid w:val="00387823"/>
    <w:rsid w:val="00387891"/>
    <w:rsid w:val="003879B1"/>
    <w:rsid w:val="003879BD"/>
    <w:rsid w:val="00387A6D"/>
    <w:rsid w:val="00387B88"/>
    <w:rsid w:val="00387C5B"/>
    <w:rsid w:val="003900FB"/>
    <w:rsid w:val="0039025C"/>
    <w:rsid w:val="0039044E"/>
    <w:rsid w:val="003904BE"/>
    <w:rsid w:val="003904DB"/>
    <w:rsid w:val="00390528"/>
    <w:rsid w:val="0039059F"/>
    <w:rsid w:val="0039074E"/>
    <w:rsid w:val="00390852"/>
    <w:rsid w:val="00390A82"/>
    <w:rsid w:val="00390B4E"/>
    <w:rsid w:val="00390D39"/>
    <w:rsid w:val="00390F75"/>
    <w:rsid w:val="00391091"/>
    <w:rsid w:val="00391099"/>
    <w:rsid w:val="00391157"/>
    <w:rsid w:val="00391206"/>
    <w:rsid w:val="00391504"/>
    <w:rsid w:val="0039174A"/>
    <w:rsid w:val="00391879"/>
    <w:rsid w:val="0039199C"/>
    <w:rsid w:val="00391A06"/>
    <w:rsid w:val="00391AF8"/>
    <w:rsid w:val="00391BD5"/>
    <w:rsid w:val="00391D07"/>
    <w:rsid w:val="00391D2F"/>
    <w:rsid w:val="00391DDD"/>
    <w:rsid w:val="00391EEB"/>
    <w:rsid w:val="00391FE0"/>
    <w:rsid w:val="003923DB"/>
    <w:rsid w:val="003923EB"/>
    <w:rsid w:val="00392428"/>
    <w:rsid w:val="00392586"/>
    <w:rsid w:val="003925C6"/>
    <w:rsid w:val="00392831"/>
    <w:rsid w:val="003929F1"/>
    <w:rsid w:val="00392CC1"/>
    <w:rsid w:val="00392D1F"/>
    <w:rsid w:val="00393009"/>
    <w:rsid w:val="0039308E"/>
    <w:rsid w:val="003931EA"/>
    <w:rsid w:val="003932C7"/>
    <w:rsid w:val="003932C8"/>
    <w:rsid w:val="003933C8"/>
    <w:rsid w:val="0039344C"/>
    <w:rsid w:val="0039376A"/>
    <w:rsid w:val="00393875"/>
    <w:rsid w:val="0039396A"/>
    <w:rsid w:val="003939E3"/>
    <w:rsid w:val="00393CE8"/>
    <w:rsid w:val="00393DEC"/>
    <w:rsid w:val="00393F1D"/>
    <w:rsid w:val="00393FF8"/>
    <w:rsid w:val="0039425C"/>
    <w:rsid w:val="003943D0"/>
    <w:rsid w:val="00394486"/>
    <w:rsid w:val="0039455D"/>
    <w:rsid w:val="0039480A"/>
    <w:rsid w:val="00394904"/>
    <w:rsid w:val="00394977"/>
    <w:rsid w:val="003949AC"/>
    <w:rsid w:val="00394A19"/>
    <w:rsid w:val="00394AD2"/>
    <w:rsid w:val="00394C85"/>
    <w:rsid w:val="00394C98"/>
    <w:rsid w:val="00394E42"/>
    <w:rsid w:val="00394E62"/>
    <w:rsid w:val="00394FEA"/>
    <w:rsid w:val="0039508D"/>
    <w:rsid w:val="0039515D"/>
    <w:rsid w:val="003951FE"/>
    <w:rsid w:val="00395291"/>
    <w:rsid w:val="00395361"/>
    <w:rsid w:val="00395719"/>
    <w:rsid w:val="00395990"/>
    <w:rsid w:val="00395AE7"/>
    <w:rsid w:val="00395DA3"/>
    <w:rsid w:val="00395DFF"/>
    <w:rsid w:val="00395E08"/>
    <w:rsid w:val="00395E36"/>
    <w:rsid w:val="00396273"/>
    <w:rsid w:val="00396422"/>
    <w:rsid w:val="003964D9"/>
    <w:rsid w:val="003966B2"/>
    <w:rsid w:val="003966EC"/>
    <w:rsid w:val="0039679A"/>
    <w:rsid w:val="003968AB"/>
    <w:rsid w:val="00396AFD"/>
    <w:rsid w:val="00396BD7"/>
    <w:rsid w:val="00396BD8"/>
    <w:rsid w:val="00396E66"/>
    <w:rsid w:val="00396E7E"/>
    <w:rsid w:val="00396F08"/>
    <w:rsid w:val="00397156"/>
    <w:rsid w:val="003971AF"/>
    <w:rsid w:val="00397268"/>
    <w:rsid w:val="003974F7"/>
    <w:rsid w:val="003977A3"/>
    <w:rsid w:val="003978E3"/>
    <w:rsid w:val="00397BFD"/>
    <w:rsid w:val="00397DF4"/>
    <w:rsid w:val="00397E17"/>
    <w:rsid w:val="00397FF6"/>
    <w:rsid w:val="003A003C"/>
    <w:rsid w:val="003A00A8"/>
    <w:rsid w:val="003A01E5"/>
    <w:rsid w:val="003A02FC"/>
    <w:rsid w:val="003A04C4"/>
    <w:rsid w:val="003A05A2"/>
    <w:rsid w:val="003A073B"/>
    <w:rsid w:val="003A088C"/>
    <w:rsid w:val="003A0963"/>
    <w:rsid w:val="003A0B48"/>
    <w:rsid w:val="003A1022"/>
    <w:rsid w:val="003A1311"/>
    <w:rsid w:val="003A134F"/>
    <w:rsid w:val="003A1378"/>
    <w:rsid w:val="003A1426"/>
    <w:rsid w:val="003A14C8"/>
    <w:rsid w:val="003A1A3E"/>
    <w:rsid w:val="003A1C54"/>
    <w:rsid w:val="003A1D9C"/>
    <w:rsid w:val="003A1E14"/>
    <w:rsid w:val="003A209C"/>
    <w:rsid w:val="003A215F"/>
    <w:rsid w:val="003A2341"/>
    <w:rsid w:val="003A2558"/>
    <w:rsid w:val="003A26C3"/>
    <w:rsid w:val="003A2713"/>
    <w:rsid w:val="003A2781"/>
    <w:rsid w:val="003A29D2"/>
    <w:rsid w:val="003A2A40"/>
    <w:rsid w:val="003A2A88"/>
    <w:rsid w:val="003A2AA6"/>
    <w:rsid w:val="003A2BB2"/>
    <w:rsid w:val="003A2BCD"/>
    <w:rsid w:val="003A2BD1"/>
    <w:rsid w:val="003A2C10"/>
    <w:rsid w:val="003A2C23"/>
    <w:rsid w:val="003A2CCC"/>
    <w:rsid w:val="003A2CE7"/>
    <w:rsid w:val="003A2D98"/>
    <w:rsid w:val="003A30B0"/>
    <w:rsid w:val="003A312D"/>
    <w:rsid w:val="003A3159"/>
    <w:rsid w:val="003A31C4"/>
    <w:rsid w:val="003A3273"/>
    <w:rsid w:val="003A3340"/>
    <w:rsid w:val="003A36A6"/>
    <w:rsid w:val="003A36D6"/>
    <w:rsid w:val="003A36F0"/>
    <w:rsid w:val="003A3755"/>
    <w:rsid w:val="003A3813"/>
    <w:rsid w:val="003A3866"/>
    <w:rsid w:val="003A3A4D"/>
    <w:rsid w:val="003A3A95"/>
    <w:rsid w:val="003A3BA6"/>
    <w:rsid w:val="003A3BBA"/>
    <w:rsid w:val="003A3D5E"/>
    <w:rsid w:val="003A3EA7"/>
    <w:rsid w:val="003A3FDB"/>
    <w:rsid w:val="003A401E"/>
    <w:rsid w:val="003A4137"/>
    <w:rsid w:val="003A41A0"/>
    <w:rsid w:val="003A4202"/>
    <w:rsid w:val="003A42B1"/>
    <w:rsid w:val="003A44D1"/>
    <w:rsid w:val="003A45C3"/>
    <w:rsid w:val="003A45E5"/>
    <w:rsid w:val="003A469B"/>
    <w:rsid w:val="003A46DA"/>
    <w:rsid w:val="003A4977"/>
    <w:rsid w:val="003A497E"/>
    <w:rsid w:val="003A49F1"/>
    <w:rsid w:val="003A4BEC"/>
    <w:rsid w:val="003A4D04"/>
    <w:rsid w:val="003A4F07"/>
    <w:rsid w:val="003A4F34"/>
    <w:rsid w:val="003A4FD6"/>
    <w:rsid w:val="003A5038"/>
    <w:rsid w:val="003A5041"/>
    <w:rsid w:val="003A5062"/>
    <w:rsid w:val="003A51F1"/>
    <w:rsid w:val="003A545B"/>
    <w:rsid w:val="003A582F"/>
    <w:rsid w:val="003A5840"/>
    <w:rsid w:val="003A58BA"/>
    <w:rsid w:val="003A58C3"/>
    <w:rsid w:val="003A5963"/>
    <w:rsid w:val="003A5A97"/>
    <w:rsid w:val="003A5CE0"/>
    <w:rsid w:val="003A5ECD"/>
    <w:rsid w:val="003A5EFE"/>
    <w:rsid w:val="003A5F3F"/>
    <w:rsid w:val="003A6191"/>
    <w:rsid w:val="003A61A7"/>
    <w:rsid w:val="003A6355"/>
    <w:rsid w:val="003A640F"/>
    <w:rsid w:val="003A6411"/>
    <w:rsid w:val="003A6524"/>
    <w:rsid w:val="003A6599"/>
    <w:rsid w:val="003A65A9"/>
    <w:rsid w:val="003A6802"/>
    <w:rsid w:val="003A686A"/>
    <w:rsid w:val="003A6A61"/>
    <w:rsid w:val="003A6AC1"/>
    <w:rsid w:val="003A6AD2"/>
    <w:rsid w:val="003A6D2E"/>
    <w:rsid w:val="003A6D9E"/>
    <w:rsid w:val="003A6FF5"/>
    <w:rsid w:val="003A70AB"/>
    <w:rsid w:val="003A70B5"/>
    <w:rsid w:val="003A71BA"/>
    <w:rsid w:val="003A71D9"/>
    <w:rsid w:val="003A7231"/>
    <w:rsid w:val="003A729A"/>
    <w:rsid w:val="003A732D"/>
    <w:rsid w:val="003A7535"/>
    <w:rsid w:val="003A7566"/>
    <w:rsid w:val="003A7715"/>
    <w:rsid w:val="003A779C"/>
    <w:rsid w:val="003A7870"/>
    <w:rsid w:val="003A7943"/>
    <w:rsid w:val="003A7955"/>
    <w:rsid w:val="003A7EAF"/>
    <w:rsid w:val="003A7EBF"/>
    <w:rsid w:val="003A7F10"/>
    <w:rsid w:val="003B0061"/>
    <w:rsid w:val="003B031B"/>
    <w:rsid w:val="003B0394"/>
    <w:rsid w:val="003B04B3"/>
    <w:rsid w:val="003B0559"/>
    <w:rsid w:val="003B0740"/>
    <w:rsid w:val="003B081A"/>
    <w:rsid w:val="003B094F"/>
    <w:rsid w:val="003B0A5D"/>
    <w:rsid w:val="003B0F1C"/>
    <w:rsid w:val="003B111B"/>
    <w:rsid w:val="003B11C4"/>
    <w:rsid w:val="003B13F0"/>
    <w:rsid w:val="003B180E"/>
    <w:rsid w:val="003B1CC8"/>
    <w:rsid w:val="003B1D4D"/>
    <w:rsid w:val="003B1E52"/>
    <w:rsid w:val="003B1E80"/>
    <w:rsid w:val="003B1EDC"/>
    <w:rsid w:val="003B204D"/>
    <w:rsid w:val="003B2054"/>
    <w:rsid w:val="003B20D6"/>
    <w:rsid w:val="003B2667"/>
    <w:rsid w:val="003B2700"/>
    <w:rsid w:val="003B27B5"/>
    <w:rsid w:val="003B27BC"/>
    <w:rsid w:val="003B27FB"/>
    <w:rsid w:val="003B2800"/>
    <w:rsid w:val="003B28DE"/>
    <w:rsid w:val="003B2D8D"/>
    <w:rsid w:val="003B3004"/>
    <w:rsid w:val="003B30E2"/>
    <w:rsid w:val="003B318D"/>
    <w:rsid w:val="003B31C6"/>
    <w:rsid w:val="003B31DB"/>
    <w:rsid w:val="003B3333"/>
    <w:rsid w:val="003B3466"/>
    <w:rsid w:val="003B3568"/>
    <w:rsid w:val="003B373D"/>
    <w:rsid w:val="003B381F"/>
    <w:rsid w:val="003B386C"/>
    <w:rsid w:val="003B38FC"/>
    <w:rsid w:val="003B3A0C"/>
    <w:rsid w:val="003B3A2E"/>
    <w:rsid w:val="003B3B57"/>
    <w:rsid w:val="003B3CF1"/>
    <w:rsid w:val="003B3DF6"/>
    <w:rsid w:val="003B3EA2"/>
    <w:rsid w:val="003B3FCD"/>
    <w:rsid w:val="003B4009"/>
    <w:rsid w:val="003B404A"/>
    <w:rsid w:val="003B41B7"/>
    <w:rsid w:val="003B4470"/>
    <w:rsid w:val="003B461D"/>
    <w:rsid w:val="003B4755"/>
    <w:rsid w:val="003B4756"/>
    <w:rsid w:val="003B4765"/>
    <w:rsid w:val="003B4917"/>
    <w:rsid w:val="003B49D6"/>
    <w:rsid w:val="003B4A1C"/>
    <w:rsid w:val="003B4BD9"/>
    <w:rsid w:val="003B4BF9"/>
    <w:rsid w:val="003B4D12"/>
    <w:rsid w:val="003B4F32"/>
    <w:rsid w:val="003B51C8"/>
    <w:rsid w:val="003B5376"/>
    <w:rsid w:val="003B5458"/>
    <w:rsid w:val="003B55E5"/>
    <w:rsid w:val="003B5611"/>
    <w:rsid w:val="003B576D"/>
    <w:rsid w:val="003B608D"/>
    <w:rsid w:val="003B6119"/>
    <w:rsid w:val="003B61B1"/>
    <w:rsid w:val="003B6270"/>
    <w:rsid w:val="003B6368"/>
    <w:rsid w:val="003B669F"/>
    <w:rsid w:val="003B6861"/>
    <w:rsid w:val="003B68CA"/>
    <w:rsid w:val="003B69B0"/>
    <w:rsid w:val="003B6A12"/>
    <w:rsid w:val="003B6A8D"/>
    <w:rsid w:val="003B6AF4"/>
    <w:rsid w:val="003B6BBA"/>
    <w:rsid w:val="003B6C93"/>
    <w:rsid w:val="003B6D3A"/>
    <w:rsid w:val="003B6DAF"/>
    <w:rsid w:val="003B6F00"/>
    <w:rsid w:val="003B6FD3"/>
    <w:rsid w:val="003B71D0"/>
    <w:rsid w:val="003B72F9"/>
    <w:rsid w:val="003B730D"/>
    <w:rsid w:val="003B74B8"/>
    <w:rsid w:val="003B75B7"/>
    <w:rsid w:val="003B78FE"/>
    <w:rsid w:val="003B7AE8"/>
    <w:rsid w:val="003B7B5F"/>
    <w:rsid w:val="003B7C6B"/>
    <w:rsid w:val="003B7C6E"/>
    <w:rsid w:val="003B7C8C"/>
    <w:rsid w:val="003C0117"/>
    <w:rsid w:val="003C02AF"/>
    <w:rsid w:val="003C0355"/>
    <w:rsid w:val="003C06EA"/>
    <w:rsid w:val="003C0792"/>
    <w:rsid w:val="003C0A20"/>
    <w:rsid w:val="003C0A29"/>
    <w:rsid w:val="003C0B26"/>
    <w:rsid w:val="003C0BBB"/>
    <w:rsid w:val="003C0CE9"/>
    <w:rsid w:val="003C0CFC"/>
    <w:rsid w:val="003C0ED3"/>
    <w:rsid w:val="003C0F96"/>
    <w:rsid w:val="003C12BB"/>
    <w:rsid w:val="003C1338"/>
    <w:rsid w:val="003C13B3"/>
    <w:rsid w:val="003C160B"/>
    <w:rsid w:val="003C1713"/>
    <w:rsid w:val="003C1726"/>
    <w:rsid w:val="003C1922"/>
    <w:rsid w:val="003C1A1F"/>
    <w:rsid w:val="003C1D67"/>
    <w:rsid w:val="003C1DF2"/>
    <w:rsid w:val="003C1E62"/>
    <w:rsid w:val="003C1E8A"/>
    <w:rsid w:val="003C201D"/>
    <w:rsid w:val="003C2113"/>
    <w:rsid w:val="003C2217"/>
    <w:rsid w:val="003C2264"/>
    <w:rsid w:val="003C22CD"/>
    <w:rsid w:val="003C2304"/>
    <w:rsid w:val="003C237E"/>
    <w:rsid w:val="003C25B5"/>
    <w:rsid w:val="003C274B"/>
    <w:rsid w:val="003C2779"/>
    <w:rsid w:val="003C2922"/>
    <w:rsid w:val="003C296C"/>
    <w:rsid w:val="003C2987"/>
    <w:rsid w:val="003C2A1D"/>
    <w:rsid w:val="003C2A83"/>
    <w:rsid w:val="003C2D81"/>
    <w:rsid w:val="003C2DC4"/>
    <w:rsid w:val="003C2F12"/>
    <w:rsid w:val="003C32B5"/>
    <w:rsid w:val="003C3300"/>
    <w:rsid w:val="003C3528"/>
    <w:rsid w:val="003C358A"/>
    <w:rsid w:val="003C364B"/>
    <w:rsid w:val="003C367A"/>
    <w:rsid w:val="003C36AB"/>
    <w:rsid w:val="003C39D2"/>
    <w:rsid w:val="003C3A1C"/>
    <w:rsid w:val="003C3CBE"/>
    <w:rsid w:val="003C3D6E"/>
    <w:rsid w:val="003C3DBB"/>
    <w:rsid w:val="003C3DE6"/>
    <w:rsid w:val="003C404B"/>
    <w:rsid w:val="003C42D0"/>
    <w:rsid w:val="003C435A"/>
    <w:rsid w:val="003C4371"/>
    <w:rsid w:val="003C439F"/>
    <w:rsid w:val="003C447B"/>
    <w:rsid w:val="003C46FF"/>
    <w:rsid w:val="003C48BE"/>
    <w:rsid w:val="003C4947"/>
    <w:rsid w:val="003C4C27"/>
    <w:rsid w:val="003C4D05"/>
    <w:rsid w:val="003C4D07"/>
    <w:rsid w:val="003C4DCD"/>
    <w:rsid w:val="003C4E1C"/>
    <w:rsid w:val="003C4EFF"/>
    <w:rsid w:val="003C51D0"/>
    <w:rsid w:val="003C5247"/>
    <w:rsid w:val="003C53D7"/>
    <w:rsid w:val="003C560D"/>
    <w:rsid w:val="003C5763"/>
    <w:rsid w:val="003C5786"/>
    <w:rsid w:val="003C57E3"/>
    <w:rsid w:val="003C5ACE"/>
    <w:rsid w:val="003C5E24"/>
    <w:rsid w:val="003C6070"/>
    <w:rsid w:val="003C65E0"/>
    <w:rsid w:val="003C6653"/>
    <w:rsid w:val="003C6676"/>
    <w:rsid w:val="003C683A"/>
    <w:rsid w:val="003C68C2"/>
    <w:rsid w:val="003C6950"/>
    <w:rsid w:val="003C6A5B"/>
    <w:rsid w:val="003C6A69"/>
    <w:rsid w:val="003C6C42"/>
    <w:rsid w:val="003C6DDE"/>
    <w:rsid w:val="003C6DEC"/>
    <w:rsid w:val="003C6E0A"/>
    <w:rsid w:val="003C6FCA"/>
    <w:rsid w:val="003C70DE"/>
    <w:rsid w:val="003C7189"/>
    <w:rsid w:val="003C7271"/>
    <w:rsid w:val="003C730D"/>
    <w:rsid w:val="003C7364"/>
    <w:rsid w:val="003C73BA"/>
    <w:rsid w:val="003C765C"/>
    <w:rsid w:val="003C784C"/>
    <w:rsid w:val="003C7B11"/>
    <w:rsid w:val="003C7B1F"/>
    <w:rsid w:val="003C7B74"/>
    <w:rsid w:val="003C7D12"/>
    <w:rsid w:val="003C7D1B"/>
    <w:rsid w:val="003C7D6A"/>
    <w:rsid w:val="003C7E88"/>
    <w:rsid w:val="003C7F4B"/>
    <w:rsid w:val="003C7F9A"/>
    <w:rsid w:val="003D000A"/>
    <w:rsid w:val="003D0020"/>
    <w:rsid w:val="003D0069"/>
    <w:rsid w:val="003D0238"/>
    <w:rsid w:val="003D0479"/>
    <w:rsid w:val="003D0515"/>
    <w:rsid w:val="003D0896"/>
    <w:rsid w:val="003D08B9"/>
    <w:rsid w:val="003D0BD2"/>
    <w:rsid w:val="003D0DF8"/>
    <w:rsid w:val="003D0ED7"/>
    <w:rsid w:val="003D0EF8"/>
    <w:rsid w:val="003D0FEC"/>
    <w:rsid w:val="003D0FFC"/>
    <w:rsid w:val="003D124E"/>
    <w:rsid w:val="003D127D"/>
    <w:rsid w:val="003D1596"/>
    <w:rsid w:val="003D17B9"/>
    <w:rsid w:val="003D19DC"/>
    <w:rsid w:val="003D1B02"/>
    <w:rsid w:val="003D1C8B"/>
    <w:rsid w:val="003D1D28"/>
    <w:rsid w:val="003D1D39"/>
    <w:rsid w:val="003D1DDA"/>
    <w:rsid w:val="003D2108"/>
    <w:rsid w:val="003D2197"/>
    <w:rsid w:val="003D22FF"/>
    <w:rsid w:val="003D2455"/>
    <w:rsid w:val="003D247E"/>
    <w:rsid w:val="003D27FF"/>
    <w:rsid w:val="003D2A22"/>
    <w:rsid w:val="003D2AD5"/>
    <w:rsid w:val="003D2CFC"/>
    <w:rsid w:val="003D2D5C"/>
    <w:rsid w:val="003D2E24"/>
    <w:rsid w:val="003D30EE"/>
    <w:rsid w:val="003D332B"/>
    <w:rsid w:val="003D34A5"/>
    <w:rsid w:val="003D3580"/>
    <w:rsid w:val="003D359F"/>
    <w:rsid w:val="003D35B0"/>
    <w:rsid w:val="003D36B8"/>
    <w:rsid w:val="003D38AE"/>
    <w:rsid w:val="003D38D9"/>
    <w:rsid w:val="003D3D70"/>
    <w:rsid w:val="003D3DB2"/>
    <w:rsid w:val="003D424B"/>
    <w:rsid w:val="003D42E8"/>
    <w:rsid w:val="003D42FE"/>
    <w:rsid w:val="003D4476"/>
    <w:rsid w:val="003D44E8"/>
    <w:rsid w:val="003D45C9"/>
    <w:rsid w:val="003D464D"/>
    <w:rsid w:val="003D4663"/>
    <w:rsid w:val="003D47EF"/>
    <w:rsid w:val="003D480F"/>
    <w:rsid w:val="003D4E74"/>
    <w:rsid w:val="003D4F8F"/>
    <w:rsid w:val="003D5042"/>
    <w:rsid w:val="003D509A"/>
    <w:rsid w:val="003D517B"/>
    <w:rsid w:val="003D540C"/>
    <w:rsid w:val="003D54A9"/>
    <w:rsid w:val="003D5502"/>
    <w:rsid w:val="003D5649"/>
    <w:rsid w:val="003D5787"/>
    <w:rsid w:val="003D57C1"/>
    <w:rsid w:val="003D57DA"/>
    <w:rsid w:val="003D58D3"/>
    <w:rsid w:val="003D5A8C"/>
    <w:rsid w:val="003D5AF9"/>
    <w:rsid w:val="003D5B36"/>
    <w:rsid w:val="003D5D29"/>
    <w:rsid w:val="003D5EC8"/>
    <w:rsid w:val="003D5FE9"/>
    <w:rsid w:val="003D601E"/>
    <w:rsid w:val="003D6214"/>
    <w:rsid w:val="003D622C"/>
    <w:rsid w:val="003D6498"/>
    <w:rsid w:val="003D660F"/>
    <w:rsid w:val="003D6943"/>
    <w:rsid w:val="003D6AD8"/>
    <w:rsid w:val="003D6C79"/>
    <w:rsid w:val="003D6EE8"/>
    <w:rsid w:val="003D6F56"/>
    <w:rsid w:val="003D729B"/>
    <w:rsid w:val="003D73B8"/>
    <w:rsid w:val="003D7474"/>
    <w:rsid w:val="003D7505"/>
    <w:rsid w:val="003D766B"/>
    <w:rsid w:val="003D76A3"/>
    <w:rsid w:val="003D7737"/>
    <w:rsid w:val="003D781B"/>
    <w:rsid w:val="003D792F"/>
    <w:rsid w:val="003D7A55"/>
    <w:rsid w:val="003D7A66"/>
    <w:rsid w:val="003D7BB2"/>
    <w:rsid w:val="003D7CB1"/>
    <w:rsid w:val="003E0058"/>
    <w:rsid w:val="003E0078"/>
    <w:rsid w:val="003E00E0"/>
    <w:rsid w:val="003E025D"/>
    <w:rsid w:val="003E03C0"/>
    <w:rsid w:val="003E052B"/>
    <w:rsid w:val="003E0688"/>
    <w:rsid w:val="003E071D"/>
    <w:rsid w:val="003E080A"/>
    <w:rsid w:val="003E0976"/>
    <w:rsid w:val="003E09B1"/>
    <w:rsid w:val="003E0AE4"/>
    <w:rsid w:val="003E0B84"/>
    <w:rsid w:val="003E0D2A"/>
    <w:rsid w:val="003E0D8C"/>
    <w:rsid w:val="003E0D96"/>
    <w:rsid w:val="003E0E0B"/>
    <w:rsid w:val="003E0E5A"/>
    <w:rsid w:val="003E1309"/>
    <w:rsid w:val="003E13AD"/>
    <w:rsid w:val="003E150A"/>
    <w:rsid w:val="003E155A"/>
    <w:rsid w:val="003E1566"/>
    <w:rsid w:val="003E18C1"/>
    <w:rsid w:val="003E18FE"/>
    <w:rsid w:val="003E1B68"/>
    <w:rsid w:val="003E1EDE"/>
    <w:rsid w:val="003E207C"/>
    <w:rsid w:val="003E229A"/>
    <w:rsid w:val="003E22E2"/>
    <w:rsid w:val="003E2644"/>
    <w:rsid w:val="003E2718"/>
    <w:rsid w:val="003E275D"/>
    <w:rsid w:val="003E2896"/>
    <w:rsid w:val="003E2976"/>
    <w:rsid w:val="003E2995"/>
    <w:rsid w:val="003E2C68"/>
    <w:rsid w:val="003E2D4C"/>
    <w:rsid w:val="003E2E2D"/>
    <w:rsid w:val="003E2F20"/>
    <w:rsid w:val="003E2F41"/>
    <w:rsid w:val="003E353C"/>
    <w:rsid w:val="003E353D"/>
    <w:rsid w:val="003E37FB"/>
    <w:rsid w:val="003E395B"/>
    <w:rsid w:val="003E3A67"/>
    <w:rsid w:val="003E3B01"/>
    <w:rsid w:val="003E3B27"/>
    <w:rsid w:val="003E3B5D"/>
    <w:rsid w:val="003E3B81"/>
    <w:rsid w:val="003E3B9B"/>
    <w:rsid w:val="003E3C77"/>
    <w:rsid w:val="003E3CA9"/>
    <w:rsid w:val="003E3CD2"/>
    <w:rsid w:val="003E3CD8"/>
    <w:rsid w:val="003E3D87"/>
    <w:rsid w:val="003E3FA7"/>
    <w:rsid w:val="003E3FEE"/>
    <w:rsid w:val="003E4168"/>
    <w:rsid w:val="003E4358"/>
    <w:rsid w:val="003E472D"/>
    <w:rsid w:val="003E4797"/>
    <w:rsid w:val="003E47C0"/>
    <w:rsid w:val="003E485F"/>
    <w:rsid w:val="003E48DD"/>
    <w:rsid w:val="003E4A9A"/>
    <w:rsid w:val="003E4BAE"/>
    <w:rsid w:val="003E4C70"/>
    <w:rsid w:val="003E4D83"/>
    <w:rsid w:val="003E4DA8"/>
    <w:rsid w:val="003E4F72"/>
    <w:rsid w:val="003E51B7"/>
    <w:rsid w:val="003E53AE"/>
    <w:rsid w:val="003E54C8"/>
    <w:rsid w:val="003E5564"/>
    <w:rsid w:val="003E55E5"/>
    <w:rsid w:val="003E5658"/>
    <w:rsid w:val="003E5743"/>
    <w:rsid w:val="003E5790"/>
    <w:rsid w:val="003E57A2"/>
    <w:rsid w:val="003E589E"/>
    <w:rsid w:val="003E5927"/>
    <w:rsid w:val="003E5983"/>
    <w:rsid w:val="003E59D0"/>
    <w:rsid w:val="003E5CDC"/>
    <w:rsid w:val="003E5DA0"/>
    <w:rsid w:val="003E60EA"/>
    <w:rsid w:val="003E61B3"/>
    <w:rsid w:val="003E649E"/>
    <w:rsid w:val="003E668B"/>
    <w:rsid w:val="003E66D5"/>
    <w:rsid w:val="003E6884"/>
    <w:rsid w:val="003E6991"/>
    <w:rsid w:val="003E6A3F"/>
    <w:rsid w:val="003E6AAD"/>
    <w:rsid w:val="003E6D4D"/>
    <w:rsid w:val="003E6DD7"/>
    <w:rsid w:val="003E6F7D"/>
    <w:rsid w:val="003E7013"/>
    <w:rsid w:val="003E71D5"/>
    <w:rsid w:val="003E75E0"/>
    <w:rsid w:val="003E79BA"/>
    <w:rsid w:val="003E79CD"/>
    <w:rsid w:val="003E7CF3"/>
    <w:rsid w:val="003E7D43"/>
    <w:rsid w:val="003E7D85"/>
    <w:rsid w:val="003E7F42"/>
    <w:rsid w:val="003E7F64"/>
    <w:rsid w:val="003F0040"/>
    <w:rsid w:val="003F02A0"/>
    <w:rsid w:val="003F0362"/>
    <w:rsid w:val="003F041F"/>
    <w:rsid w:val="003F04AC"/>
    <w:rsid w:val="003F0526"/>
    <w:rsid w:val="003F0555"/>
    <w:rsid w:val="003F062B"/>
    <w:rsid w:val="003F0770"/>
    <w:rsid w:val="003F0786"/>
    <w:rsid w:val="003F07E1"/>
    <w:rsid w:val="003F0D02"/>
    <w:rsid w:val="003F0E68"/>
    <w:rsid w:val="003F1074"/>
    <w:rsid w:val="003F119A"/>
    <w:rsid w:val="003F124C"/>
    <w:rsid w:val="003F127D"/>
    <w:rsid w:val="003F12B9"/>
    <w:rsid w:val="003F1746"/>
    <w:rsid w:val="003F174F"/>
    <w:rsid w:val="003F177B"/>
    <w:rsid w:val="003F19CE"/>
    <w:rsid w:val="003F1A77"/>
    <w:rsid w:val="003F1E06"/>
    <w:rsid w:val="003F1E31"/>
    <w:rsid w:val="003F1FD0"/>
    <w:rsid w:val="003F2149"/>
    <w:rsid w:val="003F225C"/>
    <w:rsid w:val="003F2382"/>
    <w:rsid w:val="003F2410"/>
    <w:rsid w:val="003F258A"/>
    <w:rsid w:val="003F26AA"/>
    <w:rsid w:val="003F27C4"/>
    <w:rsid w:val="003F27CF"/>
    <w:rsid w:val="003F27D7"/>
    <w:rsid w:val="003F2821"/>
    <w:rsid w:val="003F28EB"/>
    <w:rsid w:val="003F298B"/>
    <w:rsid w:val="003F2A0F"/>
    <w:rsid w:val="003F2A22"/>
    <w:rsid w:val="003F2E03"/>
    <w:rsid w:val="003F2E31"/>
    <w:rsid w:val="003F2F20"/>
    <w:rsid w:val="003F3330"/>
    <w:rsid w:val="003F339A"/>
    <w:rsid w:val="003F34D7"/>
    <w:rsid w:val="003F3611"/>
    <w:rsid w:val="003F3752"/>
    <w:rsid w:val="003F3789"/>
    <w:rsid w:val="003F37E4"/>
    <w:rsid w:val="003F3940"/>
    <w:rsid w:val="003F3A02"/>
    <w:rsid w:val="003F3A80"/>
    <w:rsid w:val="003F3BCD"/>
    <w:rsid w:val="003F3E17"/>
    <w:rsid w:val="003F3F2D"/>
    <w:rsid w:val="003F3FBC"/>
    <w:rsid w:val="003F4103"/>
    <w:rsid w:val="003F4177"/>
    <w:rsid w:val="003F436A"/>
    <w:rsid w:val="003F4376"/>
    <w:rsid w:val="003F450F"/>
    <w:rsid w:val="003F4541"/>
    <w:rsid w:val="003F4591"/>
    <w:rsid w:val="003F47D8"/>
    <w:rsid w:val="003F484E"/>
    <w:rsid w:val="003F49DA"/>
    <w:rsid w:val="003F4DD6"/>
    <w:rsid w:val="003F4F42"/>
    <w:rsid w:val="003F50D6"/>
    <w:rsid w:val="003F50E0"/>
    <w:rsid w:val="003F515B"/>
    <w:rsid w:val="003F5337"/>
    <w:rsid w:val="003F5405"/>
    <w:rsid w:val="003F54DC"/>
    <w:rsid w:val="003F5764"/>
    <w:rsid w:val="003F5A95"/>
    <w:rsid w:val="003F5AEC"/>
    <w:rsid w:val="003F5C8D"/>
    <w:rsid w:val="003F5CCD"/>
    <w:rsid w:val="003F6054"/>
    <w:rsid w:val="003F6121"/>
    <w:rsid w:val="003F6148"/>
    <w:rsid w:val="003F6258"/>
    <w:rsid w:val="003F62BA"/>
    <w:rsid w:val="003F632E"/>
    <w:rsid w:val="003F6579"/>
    <w:rsid w:val="003F65DB"/>
    <w:rsid w:val="003F67FC"/>
    <w:rsid w:val="003F6B9C"/>
    <w:rsid w:val="003F6F3A"/>
    <w:rsid w:val="003F7293"/>
    <w:rsid w:val="003F734A"/>
    <w:rsid w:val="003F734E"/>
    <w:rsid w:val="003F73A8"/>
    <w:rsid w:val="003F7543"/>
    <w:rsid w:val="003F7575"/>
    <w:rsid w:val="003F75ED"/>
    <w:rsid w:val="003F789B"/>
    <w:rsid w:val="003F7AA8"/>
    <w:rsid w:val="003F7D43"/>
    <w:rsid w:val="003F7EA9"/>
    <w:rsid w:val="003F7ECA"/>
    <w:rsid w:val="003F7F19"/>
    <w:rsid w:val="003F7F21"/>
    <w:rsid w:val="003F7F25"/>
    <w:rsid w:val="004000E8"/>
    <w:rsid w:val="004001E1"/>
    <w:rsid w:val="004003D9"/>
    <w:rsid w:val="00400498"/>
    <w:rsid w:val="004004A2"/>
    <w:rsid w:val="00400662"/>
    <w:rsid w:val="0040086B"/>
    <w:rsid w:val="0040096A"/>
    <w:rsid w:val="00400BD1"/>
    <w:rsid w:val="00400BFC"/>
    <w:rsid w:val="00400C8A"/>
    <w:rsid w:val="00400CD3"/>
    <w:rsid w:val="00400F33"/>
    <w:rsid w:val="00400F97"/>
    <w:rsid w:val="00400FF3"/>
    <w:rsid w:val="004010D3"/>
    <w:rsid w:val="00401205"/>
    <w:rsid w:val="004013E3"/>
    <w:rsid w:val="004014A8"/>
    <w:rsid w:val="004014C4"/>
    <w:rsid w:val="004015A2"/>
    <w:rsid w:val="0040163C"/>
    <w:rsid w:val="00401698"/>
    <w:rsid w:val="00401A19"/>
    <w:rsid w:val="00401A36"/>
    <w:rsid w:val="00401B43"/>
    <w:rsid w:val="00401C8B"/>
    <w:rsid w:val="00401DA2"/>
    <w:rsid w:val="00401DFB"/>
    <w:rsid w:val="00401E7C"/>
    <w:rsid w:val="00401F7E"/>
    <w:rsid w:val="00402127"/>
    <w:rsid w:val="00402474"/>
    <w:rsid w:val="00402704"/>
    <w:rsid w:val="004027B5"/>
    <w:rsid w:val="004029AA"/>
    <w:rsid w:val="00402A08"/>
    <w:rsid w:val="00402A95"/>
    <w:rsid w:val="00402B16"/>
    <w:rsid w:val="00402B3D"/>
    <w:rsid w:val="00402B48"/>
    <w:rsid w:val="00402C52"/>
    <w:rsid w:val="00402E3E"/>
    <w:rsid w:val="00402E40"/>
    <w:rsid w:val="00402EEA"/>
    <w:rsid w:val="00402F0E"/>
    <w:rsid w:val="00403125"/>
    <w:rsid w:val="004031A9"/>
    <w:rsid w:val="004033D3"/>
    <w:rsid w:val="004033D5"/>
    <w:rsid w:val="0040371E"/>
    <w:rsid w:val="00403AB9"/>
    <w:rsid w:val="00403BC9"/>
    <w:rsid w:val="00403BD2"/>
    <w:rsid w:val="00403C85"/>
    <w:rsid w:val="00403F15"/>
    <w:rsid w:val="00403F9F"/>
    <w:rsid w:val="00404504"/>
    <w:rsid w:val="00404544"/>
    <w:rsid w:val="00404BA0"/>
    <w:rsid w:val="00404ED5"/>
    <w:rsid w:val="00404EE4"/>
    <w:rsid w:val="00404F14"/>
    <w:rsid w:val="00405089"/>
    <w:rsid w:val="0040508C"/>
    <w:rsid w:val="0040510E"/>
    <w:rsid w:val="0040519E"/>
    <w:rsid w:val="00405293"/>
    <w:rsid w:val="0040532C"/>
    <w:rsid w:val="0040540C"/>
    <w:rsid w:val="00405435"/>
    <w:rsid w:val="0040561F"/>
    <w:rsid w:val="00405661"/>
    <w:rsid w:val="004056DB"/>
    <w:rsid w:val="00405A08"/>
    <w:rsid w:val="00405A32"/>
    <w:rsid w:val="00405A41"/>
    <w:rsid w:val="00405B7A"/>
    <w:rsid w:val="00405CB6"/>
    <w:rsid w:val="00405E4A"/>
    <w:rsid w:val="00405F09"/>
    <w:rsid w:val="00405F34"/>
    <w:rsid w:val="00405FF1"/>
    <w:rsid w:val="00406054"/>
    <w:rsid w:val="0040610F"/>
    <w:rsid w:val="00406135"/>
    <w:rsid w:val="004061C8"/>
    <w:rsid w:val="004063BE"/>
    <w:rsid w:val="0040669C"/>
    <w:rsid w:val="00406756"/>
    <w:rsid w:val="004068F7"/>
    <w:rsid w:val="00406946"/>
    <w:rsid w:val="004069BB"/>
    <w:rsid w:val="00406BD0"/>
    <w:rsid w:val="00406BEC"/>
    <w:rsid w:val="00406C89"/>
    <w:rsid w:val="00406C91"/>
    <w:rsid w:val="00406C96"/>
    <w:rsid w:val="00406DAE"/>
    <w:rsid w:val="00406E6D"/>
    <w:rsid w:val="00406F8E"/>
    <w:rsid w:val="00407210"/>
    <w:rsid w:val="0040762A"/>
    <w:rsid w:val="004077BF"/>
    <w:rsid w:val="00407854"/>
    <w:rsid w:val="00407BDA"/>
    <w:rsid w:val="004100D9"/>
    <w:rsid w:val="00410404"/>
    <w:rsid w:val="00410405"/>
    <w:rsid w:val="004104F3"/>
    <w:rsid w:val="004105D8"/>
    <w:rsid w:val="004107C4"/>
    <w:rsid w:val="00410882"/>
    <w:rsid w:val="004108C3"/>
    <w:rsid w:val="00410A1A"/>
    <w:rsid w:val="00410C83"/>
    <w:rsid w:val="00410D2D"/>
    <w:rsid w:val="00410E6F"/>
    <w:rsid w:val="004110DB"/>
    <w:rsid w:val="004110E8"/>
    <w:rsid w:val="00411115"/>
    <w:rsid w:val="00411444"/>
    <w:rsid w:val="00411609"/>
    <w:rsid w:val="0041175A"/>
    <w:rsid w:val="00411D7A"/>
    <w:rsid w:val="00411D8A"/>
    <w:rsid w:val="00411DDA"/>
    <w:rsid w:val="00411E7A"/>
    <w:rsid w:val="00411EB4"/>
    <w:rsid w:val="00411EDF"/>
    <w:rsid w:val="004121DB"/>
    <w:rsid w:val="00412270"/>
    <w:rsid w:val="004123EC"/>
    <w:rsid w:val="0041251D"/>
    <w:rsid w:val="00412531"/>
    <w:rsid w:val="004125B7"/>
    <w:rsid w:val="004126C4"/>
    <w:rsid w:val="004127BC"/>
    <w:rsid w:val="00412874"/>
    <w:rsid w:val="00412898"/>
    <w:rsid w:val="004128F9"/>
    <w:rsid w:val="004129DF"/>
    <w:rsid w:val="00412A10"/>
    <w:rsid w:val="00412A43"/>
    <w:rsid w:val="00412BAC"/>
    <w:rsid w:val="00412C4D"/>
    <w:rsid w:val="00412D25"/>
    <w:rsid w:val="00412E30"/>
    <w:rsid w:val="00412ECE"/>
    <w:rsid w:val="00413147"/>
    <w:rsid w:val="004131CE"/>
    <w:rsid w:val="00413206"/>
    <w:rsid w:val="0041323F"/>
    <w:rsid w:val="004132D6"/>
    <w:rsid w:val="0041364F"/>
    <w:rsid w:val="004137BB"/>
    <w:rsid w:val="00413874"/>
    <w:rsid w:val="00413932"/>
    <w:rsid w:val="00413B5A"/>
    <w:rsid w:val="00413B9D"/>
    <w:rsid w:val="00413C00"/>
    <w:rsid w:val="00413C59"/>
    <w:rsid w:val="00413E1F"/>
    <w:rsid w:val="00413EE8"/>
    <w:rsid w:val="00414162"/>
    <w:rsid w:val="00414361"/>
    <w:rsid w:val="00414368"/>
    <w:rsid w:val="004143DD"/>
    <w:rsid w:val="004144B0"/>
    <w:rsid w:val="00414728"/>
    <w:rsid w:val="004148BB"/>
    <w:rsid w:val="0041491E"/>
    <w:rsid w:val="00414B4A"/>
    <w:rsid w:val="00414C68"/>
    <w:rsid w:val="00414F3D"/>
    <w:rsid w:val="00414F6F"/>
    <w:rsid w:val="00414FF7"/>
    <w:rsid w:val="0041506B"/>
    <w:rsid w:val="0041512D"/>
    <w:rsid w:val="00415392"/>
    <w:rsid w:val="004155DF"/>
    <w:rsid w:val="00415734"/>
    <w:rsid w:val="00415746"/>
    <w:rsid w:val="00415910"/>
    <w:rsid w:val="00415951"/>
    <w:rsid w:val="00415A25"/>
    <w:rsid w:val="00415A7E"/>
    <w:rsid w:val="00415CC8"/>
    <w:rsid w:val="00415D52"/>
    <w:rsid w:val="00415E64"/>
    <w:rsid w:val="00416062"/>
    <w:rsid w:val="004163FD"/>
    <w:rsid w:val="00416435"/>
    <w:rsid w:val="00416633"/>
    <w:rsid w:val="0041668C"/>
    <w:rsid w:val="004166C1"/>
    <w:rsid w:val="00416828"/>
    <w:rsid w:val="004169F1"/>
    <w:rsid w:val="00416A22"/>
    <w:rsid w:val="00416C6B"/>
    <w:rsid w:val="00416CFE"/>
    <w:rsid w:val="00417019"/>
    <w:rsid w:val="00417147"/>
    <w:rsid w:val="0041715D"/>
    <w:rsid w:val="004171E0"/>
    <w:rsid w:val="0041743D"/>
    <w:rsid w:val="0041748F"/>
    <w:rsid w:val="004178B4"/>
    <w:rsid w:val="00417923"/>
    <w:rsid w:val="0041799F"/>
    <w:rsid w:val="00417F06"/>
    <w:rsid w:val="00417F25"/>
    <w:rsid w:val="00417F64"/>
    <w:rsid w:val="00417F89"/>
    <w:rsid w:val="00420045"/>
    <w:rsid w:val="004202F3"/>
    <w:rsid w:val="004203A8"/>
    <w:rsid w:val="00420536"/>
    <w:rsid w:val="004207A6"/>
    <w:rsid w:val="00420800"/>
    <w:rsid w:val="00420925"/>
    <w:rsid w:val="004209C9"/>
    <w:rsid w:val="00420AC5"/>
    <w:rsid w:val="00420B39"/>
    <w:rsid w:val="00420BCC"/>
    <w:rsid w:val="00420BF3"/>
    <w:rsid w:val="004210D6"/>
    <w:rsid w:val="0042119E"/>
    <w:rsid w:val="00421211"/>
    <w:rsid w:val="004213FE"/>
    <w:rsid w:val="004214C8"/>
    <w:rsid w:val="00421504"/>
    <w:rsid w:val="0042153B"/>
    <w:rsid w:val="004215B4"/>
    <w:rsid w:val="004216CE"/>
    <w:rsid w:val="0042196D"/>
    <w:rsid w:val="00421A5B"/>
    <w:rsid w:val="00421A76"/>
    <w:rsid w:val="00421AB3"/>
    <w:rsid w:val="00421B37"/>
    <w:rsid w:val="00421DDA"/>
    <w:rsid w:val="00421DE1"/>
    <w:rsid w:val="00421E43"/>
    <w:rsid w:val="00422151"/>
    <w:rsid w:val="0042245C"/>
    <w:rsid w:val="004226EE"/>
    <w:rsid w:val="00422724"/>
    <w:rsid w:val="00422792"/>
    <w:rsid w:val="00422ABC"/>
    <w:rsid w:val="00422B02"/>
    <w:rsid w:val="00422D50"/>
    <w:rsid w:val="00422E8C"/>
    <w:rsid w:val="00422EC7"/>
    <w:rsid w:val="00422F50"/>
    <w:rsid w:val="004230B2"/>
    <w:rsid w:val="004230E6"/>
    <w:rsid w:val="00423119"/>
    <w:rsid w:val="00423357"/>
    <w:rsid w:val="0042352A"/>
    <w:rsid w:val="004235DB"/>
    <w:rsid w:val="00423714"/>
    <w:rsid w:val="00423BB1"/>
    <w:rsid w:val="00423D70"/>
    <w:rsid w:val="00423E51"/>
    <w:rsid w:val="004244E3"/>
    <w:rsid w:val="0042463D"/>
    <w:rsid w:val="004246AC"/>
    <w:rsid w:val="00424840"/>
    <w:rsid w:val="00424BE8"/>
    <w:rsid w:val="00424C27"/>
    <w:rsid w:val="00424CCA"/>
    <w:rsid w:val="00424DA3"/>
    <w:rsid w:val="00424E98"/>
    <w:rsid w:val="004250E9"/>
    <w:rsid w:val="004251E2"/>
    <w:rsid w:val="00425350"/>
    <w:rsid w:val="004258E1"/>
    <w:rsid w:val="0042594F"/>
    <w:rsid w:val="0042596E"/>
    <w:rsid w:val="00425A04"/>
    <w:rsid w:val="00425C36"/>
    <w:rsid w:val="00425C72"/>
    <w:rsid w:val="00425E3F"/>
    <w:rsid w:val="00425EB1"/>
    <w:rsid w:val="00425ED8"/>
    <w:rsid w:val="00425F1E"/>
    <w:rsid w:val="00425F4E"/>
    <w:rsid w:val="00425F70"/>
    <w:rsid w:val="00425FF1"/>
    <w:rsid w:val="00426075"/>
    <w:rsid w:val="00426360"/>
    <w:rsid w:val="004264D8"/>
    <w:rsid w:val="00426551"/>
    <w:rsid w:val="004266CA"/>
    <w:rsid w:val="00426829"/>
    <w:rsid w:val="00426890"/>
    <w:rsid w:val="004269DE"/>
    <w:rsid w:val="00426BF4"/>
    <w:rsid w:val="00426DD1"/>
    <w:rsid w:val="00426E4E"/>
    <w:rsid w:val="00426FA2"/>
    <w:rsid w:val="004272C4"/>
    <w:rsid w:val="0042739A"/>
    <w:rsid w:val="004276DF"/>
    <w:rsid w:val="004276EA"/>
    <w:rsid w:val="004277CF"/>
    <w:rsid w:val="00427A71"/>
    <w:rsid w:val="00427B51"/>
    <w:rsid w:val="00427B97"/>
    <w:rsid w:val="004300C5"/>
    <w:rsid w:val="0043037F"/>
    <w:rsid w:val="004303A2"/>
    <w:rsid w:val="00430551"/>
    <w:rsid w:val="00430690"/>
    <w:rsid w:val="004306BC"/>
    <w:rsid w:val="004306CE"/>
    <w:rsid w:val="004306D5"/>
    <w:rsid w:val="00430738"/>
    <w:rsid w:val="00430753"/>
    <w:rsid w:val="00430893"/>
    <w:rsid w:val="004308B0"/>
    <w:rsid w:val="00430924"/>
    <w:rsid w:val="004309C4"/>
    <w:rsid w:val="00430B0E"/>
    <w:rsid w:val="00430B7C"/>
    <w:rsid w:val="00430C0C"/>
    <w:rsid w:val="00430C44"/>
    <w:rsid w:val="00430D1C"/>
    <w:rsid w:val="00430D27"/>
    <w:rsid w:val="00430D93"/>
    <w:rsid w:val="00430D9A"/>
    <w:rsid w:val="00430D9C"/>
    <w:rsid w:val="00430DBD"/>
    <w:rsid w:val="00430EB5"/>
    <w:rsid w:val="00430F91"/>
    <w:rsid w:val="004310A1"/>
    <w:rsid w:val="004310B4"/>
    <w:rsid w:val="004310C5"/>
    <w:rsid w:val="0043112F"/>
    <w:rsid w:val="00431194"/>
    <w:rsid w:val="00431284"/>
    <w:rsid w:val="004312DD"/>
    <w:rsid w:val="004313BF"/>
    <w:rsid w:val="0043141A"/>
    <w:rsid w:val="004317C4"/>
    <w:rsid w:val="00431A4D"/>
    <w:rsid w:val="00431DA1"/>
    <w:rsid w:val="00431DB4"/>
    <w:rsid w:val="00432007"/>
    <w:rsid w:val="00432151"/>
    <w:rsid w:val="00432222"/>
    <w:rsid w:val="00432239"/>
    <w:rsid w:val="0043229A"/>
    <w:rsid w:val="00432608"/>
    <w:rsid w:val="004326F5"/>
    <w:rsid w:val="00432895"/>
    <w:rsid w:val="00432948"/>
    <w:rsid w:val="00432C98"/>
    <w:rsid w:val="00432CF3"/>
    <w:rsid w:val="00432E69"/>
    <w:rsid w:val="00432EAF"/>
    <w:rsid w:val="00432FE6"/>
    <w:rsid w:val="0043309A"/>
    <w:rsid w:val="004330ED"/>
    <w:rsid w:val="0043318E"/>
    <w:rsid w:val="004331C7"/>
    <w:rsid w:val="0043328B"/>
    <w:rsid w:val="00433303"/>
    <w:rsid w:val="004334B2"/>
    <w:rsid w:val="00433668"/>
    <w:rsid w:val="0043373C"/>
    <w:rsid w:val="004337D4"/>
    <w:rsid w:val="004337E9"/>
    <w:rsid w:val="004339AE"/>
    <w:rsid w:val="00433A0A"/>
    <w:rsid w:val="00433C97"/>
    <w:rsid w:val="00433D7A"/>
    <w:rsid w:val="00433E74"/>
    <w:rsid w:val="00433E99"/>
    <w:rsid w:val="00433F39"/>
    <w:rsid w:val="00433F85"/>
    <w:rsid w:val="00434100"/>
    <w:rsid w:val="00434102"/>
    <w:rsid w:val="004342B7"/>
    <w:rsid w:val="0043489D"/>
    <w:rsid w:val="004349CC"/>
    <w:rsid w:val="00434CA0"/>
    <w:rsid w:val="00434D37"/>
    <w:rsid w:val="00434DA9"/>
    <w:rsid w:val="00434F96"/>
    <w:rsid w:val="004351F0"/>
    <w:rsid w:val="004357A5"/>
    <w:rsid w:val="00435887"/>
    <w:rsid w:val="004358FE"/>
    <w:rsid w:val="00435A08"/>
    <w:rsid w:val="00435ADC"/>
    <w:rsid w:val="00435B42"/>
    <w:rsid w:val="00435B89"/>
    <w:rsid w:val="00435BC1"/>
    <w:rsid w:val="00435CB2"/>
    <w:rsid w:val="00435D12"/>
    <w:rsid w:val="00435DE6"/>
    <w:rsid w:val="00435E00"/>
    <w:rsid w:val="00436096"/>
    <w:rsid w:val="004360C9"/>
    <w:rsid w:val="004360EB"/>
    <w:rsid w:val="00436150"/>
    <w:rsid w:val="00436227"/>
    <w:rsid w:val="0043684A"/>
    <w:rsid w:val="004368BB"/>
    <w:rsid w:val="004368CE"/>
    <w:rsid w:val="00436941"/>
    <w:rsid w:val="004369A0"/>
    <w:rsid w:val="00436AD9"/>
    <w:rsid w:val="00436B1C"/>
    <w:rsid w:val="00436F81"/>
    <w:rsid w:val="00436FF9"/>
    <w:rsid w:val="0043700E"/>
    <w:rsid w:val="00437081"/>
    <w:rsid w:val="00437108"/>
    <w:rsid w:val="00437639"/>
    <w:rsid w:val="004377D6"/>
    <w:rsid w:val="004377E4"/>
    <w:rsid w:val="004378B2"/>
    <w:rsid w:val="004379B9"/>
    <w:rsid w:val="00437A3F"/>
    <w:rsid w:val="00437C88"/>
    <w:rsid w:val="00437D34"/>
    <w:rsid w:val="00437D44"/>
    <w:rsid w:val="00437DFF"/>
    <w:rsid w:val="00437E29"/>
    <w:rsid w:val="00437EDB"/>
    <w:rsid w:val="00440009"/>
    <w:rsid w:val="0044021D"/>
    <w:rsid w:val="0044031A"/>
    <w:rsid w:val="00440463"/>
    <w:rsid w:val="004406B0"/>
    <w:rsid w:val="0044092A"/>
    <w:rsid w:val="00440942"/>
    <w:rsid w:val="00440B3A"/>
    <w:rsid w:val="00440C17"/>
    <w:rsid w:val="00440C95"/>
    <w:rsid w:val="00440D71"/>
    <w:rsid w:val="00440DE7"/>
    <w:rsid w:val="00440DF0"/>
    <w:rsid w:val="00441004"/>
    <w:rsid w:val="0044118B"/>
    <w:rsid w:val="004412A3"/>
    <w:rsid w:val="004413FC"/>
    <w:rsid w:val="00441629"/>
    <w:rsid w:val="004417AE"/>
    <w:rsid w:val="004418C8"/>
    <w:rsid w:val="0044197A"/>
    <w:rsid w:val="00441B13"/>
    <w:rsid w:val="00441B84"/>
    <w:rsid w:val="00441BA0"/>
    <w:rsid w:val="00441C84"/>
    <w:rsid w:val="00441E4E"/>
    <w:rsid w:val="00441F6B"/>
    <w:rsid w:val="00441FF9"/>
    <w:rsid w:val="00442004"/>
    <w:rsid w:val="00442227"/>
    <w:rsid w:val="00442250"/>
    <w:rsid w:val="0044225E"/>
    <w:rsid w:val="0044235C"/>
    <w:rsid w:val="00442377"/>
    <w:rsid w:val="004424B3"/>
    <w:rsid w:val="00442575"/>
    <w:rsid w:val="004426CA"/>
    <w:rsid w:val="00442834"/>
    <w:rsid w:val="0044286D"/>
    <w:rsid w:val="00442920"/>
    <w:rsid w:val="00442AA2"/>
    <w:rsid w:val="00442AC0"/>
    <w:rsid w:val="00442B3E"/>
    <w:rsid w:val="00442E52"/>
    <w:rsid w:val="00442E83"/>
    <w:rsid w:val="00443405"/>
    <w:rsid w:val="00443446"/>
    <w:rsid w:val="0044349E"/>
    <w:rsid w:val="00443773"/>
    <w:rsid w:val="0044388F"/>
    <w:rsid w:val="0044392D"/>
    <w:rsid w:val="004439DC"/>
    <w:rsid w:val="00443AED"/>
    <w:rsid w:val="00443C05"/>
    <w:rsid w:val="00443D3E"/>
    <w:rsid w:val="00443DE7"/>
    <w:rsid w:val="00444010"/>
    <w:rsid w:val="00444047"/>
    <w:rsid w:val="00444102"/>
    <w:rsid w:val="00444151"/>
    <w:rsid w:val="004441D9"/>
    <w:rsid w:val="00444242"/>
    <w:rsid w:val="004442F0"/>
    <w:rsid w:val="004445A0"/>
    <w:rsid w:val="0044476A"/>
    <w:rsid w:val="004448F2"/>
    <w:rsid w:val="00444B3B"/>
    <w:rsid w:val="00444D2B"/>
    <w:rsid w:val="00444DA2"/>
    <w:rsid w:val="00444DBB"/>
    <w:rsid w:val="00444FA1"/>
    <w:rsid w:val="00444FD9"/>
    <w:rsid w:val="004450DA"/>
    <w:rsid w:val="00445215"/>
    <w:rsid w:val="0044530E"/>
    <w:rsid w:val="00445394"/>
    <w:rsid w:val="004453FD"/>
    <w:rsid w:val="00445403"/>
    <w:rsid w:val="00445691"/>
    <w:rsid w:val="00445816"/>
    <w:rsid w:val="004458B2"/>
    <w:rsid w:val="00445911"/>
    <w:rsid w:val="00445A9C"/>
    <w:rsid w:val="00445AFD"/>
    <w:rsid w:val="00445B84"/>
    <w:rsid w:val="00445BB8"/>
    <w:rsid w:val="00445BD1"/>
    <w:rsid w:val="00445DCB"/>
    <w:rsid w:val="00445E94"/>
    <w:rsid w:val="00445F86"/>
    <w:rsid w:val="00446161"/>
    <w:rsid w:val="0044622C"/>
    <w:rsid w:val="00446455"/>
    <w:rsid w:val="00446487"/>
    <w:rsid w:val="00446625"/>
    <w:rsid w:val="004466F0"/>
    <w:rsid w:val="00446870"/>
    <w:rsid w:val="00446873"/>
    <w:rsid w:val="00446D4A"/>
    <w:rsid w:val="0044704F"/>
    <w:rsid w:val="0044705A"/>
    <w:rsid w:val="00447286"/>
    <w:rsid w:val="004472E1"/>
    <w:rsid w:val="00447386"/>
    <w:rsid w:val="0044743E"/>
    <w:rsid w:val="00447568"/>
    <w:rsid w:val="0044761E"/>
    <w:rsid w:val="0044769E"/>
    <w:rsid w:val="004478F1"/>
    <w:rsid w:val="00447956"/>
    <w:rsid w:val="0044795E"/>
    <w:rsid w:val="00447A3A"/>
    <w:rsid w:val="00447B18"/>
    <w:rsid w:val="00447B31"/>
    <w:rsid w:val="00447B9B"/>
    <w:rsid w:val="00447BC9"/>
    <w:rsid w:val="00447D26"/>
    <w:rsid w:val="00447FF3"/>
    <w:rsid w:val="00450082"/>
    <w:rsid w:val="00450131"/>
    <w:rsid w:val="004501C5"/>
    <w:rsid w:val="0045021C"/>
    <w:rsid w:val="0045025E"/>
    <w:rsid w:val="004503FC"/>
    <w:rsid w:val="004505FB"/>
    <w:rsid w:val="00450777"/>
    <w:rsid w:val="004507F6"/>
    <w:rsid w:val="00450874"/>
    <w:rsid w:val="004508A1"/>
    <w:rsid w:val="00450982"/>
    <w:rsid w:val="004509C3"/>
    <w:rsid w:val="00450A70"/>
    <w:rsid w:val="00450BD6"/>
    <w:rsid w:val="00450C87"/>
    <w:rsid w:val="00450E04"/>
    <w:rsid w:val="00450F67"/>
    <w:rsid w:val="00451214"/>
    <w:rsid w:val="00451230"/>
    <w:rsid w:val="00451300"/>
    <w:rsid w:val="0045138D"/>
    <w:rsid w:val="004515B1"/>
    <w:rsid w:val="004517D0"/>
    <w:rsid w:val="00451981"/>
    <w:rsid w:val="00451A36"/>
    <w:rsid w:val="00451C3A"/>
    <w:rsid w:val="00451CC8"/>
    <w:rsid w:val="00451DBC"/>
    <w:rsid w:val="00451EC4"/>
    <w:rsid w:val="00452283"/>
    <w:rsid w:val="00452378"/>
    <w:rsid w:val="004525C8"/>
    <w:rsid w:val="004525CE"/>
    <w:rsid w:val="00452734"/>
    <w:rsid w:val="004527A0"/>
    <w:rsid w:val="0045298A"/>
    <w:rsid w:val="00452BA2"/>
    <w:rsid w:val="00452CAC"/>
    <w:rsid w:val="00452D91"/>
    <w:rsid w:val="00452FC5"/>
    <w:rsid w:val="00453311"/>
    <w:rsid w:val="004533E9"/>
    <w:rsid w:val="004534F8"/>
    <w:rsid w:val="0045353D"/>
    <w:rsid w:val="0045360C"/>
    <w:rsid w:val="00453613"/>
    <w:rsid w:val="00453704"/>
    <w:rsid w:val="004537F1"/>
    <w:rsid w:val="0045382C"/>
    <w:rsid w:val="004539B5"/>
    <w:rsid w:val="00453B95"/>
    <w:rsid w:val="00453BC2"/>
    <w:rsid w:val="00453C5E"/>
    <w:rsid w:val="00453C8C"/>
    <w:rsid w:val="00453D6E"/>
    <w:rsid w:val="00453D9B"/>
    <w:rsid w:val="00454019"/>
    <w:rsid w:val="00454159"/>
    <w:rsid w:val="004541DF"/>
    <w:rsid w:val="00454230"/>
    <w:rsid w:val="0045430E"/>
    <w:rsid w:val="004544B5"/>
    <w:rsid w:val="00454ACF"/>
    <w:rsid w:val="00454AFB"/>
    <w:rsid w:val="00454D41"/>
    <w:rsid w:val="00454E24"/>
    <w:rsid w:val="00454E82"/>
    <w:rsid w:val="00455081"/>
    <w:rsid w:val="0045510B"/>
    <w:rsid w:val="00455180"/>
    <w:rsid w:val="004552B9"/>
    <w:rsid w:val="00455345"/>
    <w:rsid w:val="004553AF"/>
    <w:rsid w:val="00455410"/>
    <w:rsid w:val="00455ADC"/>
    <w:rsid w:val="00455B31"/>
    <w:rsid w:val="00455E85"/>
    <w:rsid w:val="00455E86"/>
    <w:rsid w:val="00455F53"/>
    <w:rsid w:val="00455F70"/>
    <w:rsid w:val="0045600C"/>
    <w:rsid w:val="00456034"/>
    <w:rsid w:val="00456194"/>
    <w:rsid w:val="0045654B"/>
    <w:rsid w:val="0045656E"/>
    <w:rsid w:val="004565C1"/>
    <w:rsid w:val="004565E9"/>
    <w:rsid w:val="004565EE"/>
    <w:rsid w:val="00456601"/>
    <w:rsid w:val="004567DE"/>
    <w:rsid w:val="00456967"/>
    <w:rsid w:val="00456BC2"/>
    <w:rsid w:val="00456BFC"/>
    <w:rsid w:val="00456CB0"/>
    <w:rsid w:val="00456D22"/>
    <w:rsid w:val="00456FFE"/>
    <w:rsid w:val="00457233"/>
    <w:rsid w:val="0045732D"/>
    <w:rsid w:val="00457407"/>
    <w:rsid w:val="0045741B"/>
    <w:rsid w:val="0045743A"/>
    <w:rsid w:val="004574C0"/>
    <w:rsid w:val="00457592"/>
    <w:rsid w:val="0045788E"/>
    <w:rsid w:val="004578A3"/>
    <w:rsid w:val="004578C3"/>
    <w:rsid w:val="004578FB"/>
    <w:rsid w:val="00457967"/>
    <w:rsid w:val="00457991"/>
    <w:rsid w:val="00457AF8"/>
    <w:rsid w:val="00457D46"/>
    <w:rsid w:val="00457D92"/>
    <w:rsid w:val="00457E54"/>
    <w:rsid w:val="00457EDE"/>
    <w:rsid w:val="00457FB0"/>
    <w:rsid w:val="00460042"/>
    <w:rsid w:val="0046005A"/>
    <w:rsid w:val="004600A8"/>
    <w:rsid w:val="0046014C"/>
    <w:rsid w:val="0046029E"/>
    <w:rsid w:val="00460462"/>
    <w:rsid w:val="00460684"/>
    <w:rsid w:val="00460743"/>
    <w:rsid w:val="00460762"/>
    <w:rsid w:val="00460CB8"/>
    <w:rsid w:val="00460E1C"/>
    <w:rsid w:val="00460E5E"/>
    <w:rsid w:val="00460ECE"/>
    <w:rsid w:val="00460F6A"/>
    <w:rsid w:val="00460FA6"/>
    <w:rsid w:val="00461270"/>
    <w:rsid w:val="0046131A"/>
    <w:rsid w:val="00461429"/>
    <w:rsid w:val="004614D5"/>
    <w:rsid w:val="0046157C"/>
    <w:rsid w:val="004615B6"/>
    <w:rsid w:val="004616A9"/>
    <w:rsid w:val="0046175B"/>
    <w:rsid w:val="004617BC"/>
    <w:rsid w:val="00461802"/>
    <w:rsid w:val="00461A6B"/>
    <w:rsid w:val="00461A93"/>
    <w:rsid w:val="00461BB6"/>
    <w:rsid w:val="00461C9B"/>
    <w:rsid w:val="00461CF2"/>
    <w:rsid w:val="00462069"/>
    <w:rsid w:val="00462112"/>
    <w:rsid w:val="00462209"/>
    <w:rsid w:val="00462308"/>
    <w:rsid w:val="004624BE"/>
    <w:rsid w:val="0046251C"/>
    <w:rsid w:val="004625F3"/>
    <w:rsid w:val="00462861"/>
    <w:rsid w:val="0046288A"/>
    <w:rsid w:val="00462946"/>
    <w:rsid w:val="0046298E"/>
    <w:rsid w:val="004629AD"/>
    <w:rsid w:val="00462BE0"/>
    <w:rsid w:val="00462C74"/>
    <w:rsid w:val="00462CF6"/>
    <w:rsid w:val="00462F6F"/>
    <w:rsid w:val="00462FA2"/>
    <w:rsid w:val="00462FD7"/>
    <w:rsid w:val="0046308E"/>
    <w:rsid w:val="004630D3"/>
    <w:rsid w:val="0046311C"/>
    <w:rsid w:val="00463163"/>
    <w:rsid w:val="00463243"/>
    <w:rsid w:val="0046326D"/>
    <w:rsid w:val="004632A3"/>
    <w:rsid w:val="0046341A"/>
    <w:rsid w:val="00463856"/>
    <w:rsid w:val="004638FA"/>
    <w:rsid w:val="0046392E"/>
    <w:rsid w:val="00463933"/>
    <w:rsid w:val="004639F4"/>
    <w:rsid w:val="00463A0D"/>
    <w:rsid w:val="00463AA6"/>
    <w:rsid w:val="00463E82"/>
    <w:rsid w:val="0046411F"/>
    <w:rsid w:val="00464137"/>
    <w:rsid w:val="0046423C"/>
    <w:rsid w:val="00464269"/>
    <w:rsid w:val="00464343"/>
    <w:rsid w:val="0046435E"/>
    <w:rsid w:val="00464424"/>
    <w:rsid w:val="00464495"/>
    <w:rsid w:val="004645A7"/>
    <w:rsid w:val="0046462B"/>
    <w:rsid w:val="00464696"/>
    <w:rsid w:val="00464A15"/>
    <w:rsid w:val="00464B3A"/>
    <w:rsid w:val="00464C57"/>
    <w:rsid w:val="00464DEE"/>
    <w:rsid w:val="00465069"/>
    <w:rsid w:val="004651CB"/>
    <w:rsid w:val="00465255"/>
    <w:rsid w:val="00465264"/>
    <w:rsid w:val="00465435"/>
    <w:rsid w:val="0046544C"/>
    <w:rsid w:val="0046545A"/>
    <w:rsid w:val="004654BB"/>
    <w:rsid w:val="0046557F"/>
    <w:rsid w:val="004655E1"/>
    <w:rsid w:val="004656C8"/>
    <w:rsid w:val="00465DD5"/>
    <w:rsid w:val="00465FC9"/>
    <w:rsid w:val="0046633D"/>
    <w:rsid w:val="00466449"/>
    <w:rsid w:val="004665B7"/>
    <w:rsid w:val="00466611"/>
    <w:rsid w:val="00466823"/>
    <w:rsid w:val="0046696A"/>
    <w:rsid w:val="00466B7B"/>
    <w:rsid w:val="00466BEB"/>
    <w:rsid w:val="00466C9C"/>
    <w:rsid w:val="00466D58"/>
    <w:rsid w:val="00466E5D"/>
    <w:rsid w:val="00466F00"/>
    <w:rsid w:val="00466FC5"/>
    <w:rsid w:val="00467192"/>
    <w:rsid w:val="00467329"/>
    <w:rsid w:val="004673FD"/>
    <w:rsid w:val="004674B1"/>
    <w:rsid w:val="004674DE"/>
    <w:rsid w:val="004674E2"/>
    <w:rsid w:val="0046750F"/>
    <w:rsid w:val="004675ED"/>
    <w:rsid w:val="00467655"/>
    <w:rsid w:val="00467899"/>
    <w:rsid w:val="0046798E"/>
    <w:rsid w:val="00467A64"/>
    <w:rsid w:val="00467B3C"/>
    <w:rsid w:val="00467E1A"/>
    <w:rsid w:val="0047005E"/>
    <w:rsid w:val="0047006F"/>
    <w:rsid w:val="00470719"/>
    <w:rsid w:val="00470807"/>
    <w:rsid w:val="00470A51"/>
    <w:rsid w:val="00470AAC"/>
    <w:rsid w:val="00470B50"/>
    <w:rsid w:val="00470FD1"/>
    <w:rsid w:val="0047131A"/>
    <w:rsid w:val="00471343"/>
    <w:rsid w:val="004713B2"/>
    <w:rsid w:val="0047146C"/>
    <w:rsid w:val="0047150B"/>
    <w:rsid w:val="004718E1"/>
    <w:rsid w:val="00471946"/>
    <w:rsid w:val="004719D1"/>
    <w:rsid w:val="00471BCE"/>
    <w:rsid w:val="00471C62"/>
    <w:rsid w:val="00471FED"/>
    <w:rsid w:val="004720B4"/>
    <w:rsid w:val="0047210B"/>
    <w:rsid w:val="00472142"/>
    <w:rsid w:val="00472208"/>
    <w:rsid w:val="004723B2"/>
    <w:rsid w:val="00472800"/>
    <w:rsid w:val="00472AB0"/>
    <w:rsid w:val="00472ED8"/>
    <w:rsid w:val="00472EF9"/>
    <w:rsid w:val="00472FB0"/>
    <w:rsid w:val="00472FD6"/>
    <w:rsid w:val="004731D8"/>
    <w:rsid w:val="004731EE"/>
    <w:rsid w:val="00473607"/>
    <w:rsid w:val="00473796"/>
    <w:rsid w:val="004737B5"/>
    <w:rsid w:val="00473972"/>
    <w:rsid w:val="00473AA9"/>
    <w:rsid w:val="00473B48"/>
    <w:rsid w:val="00473BD8"/>
    <w:rsid w:val="00473C89"/>
    <w:rsid w:val="00473CDB"/>
    <w:rsid w:val="00473ED0"/>
    <w:rsid w:val="00473FA8"/>
    <w:rsid w:val="00473FBB"/>
    <w:rsid w:val="00473FF3"/>
    <w:rsid w:val="00474202"/>
    <w:rsid w:val="0047428F"/>
    <w:rsid w:val="0047430C"/>
    <w:rsid w:val="004743D8"/>
    <w:rsid w:val="004743E0"/>
    <w:rsid w:val="00474424"/>
    <w:rsid w:val="00474509"/>
    <w:rsid w:val="00474665"/>
    <w:rsid w:val="004746FC"/>
    <w:rsid w:val="004747A4"/>
    <w:rsid w:val="00474979"/>
    <w:rsid w:val="00474992"/>
    <w:rsid w:val="004749F9"/>
    <w:rsid w:val="00474D78"/>
    <w:rsid w:val="00474DA4"/>
    <w:rsid w:val="00474DD0"/>
    <w:rsid w:val="00474E63"/>
    <w:rsid w:val="00474ECC"/>
    <w:rsid w:val="00474F3A"/>
    <w:rsid w:val="00474FD5"/>
    <w:rsid w:val="00475257"/>
    <w:rsid w:val="004752CC"/>
    <w:rsid w:val="004753FE"/>
    <w:rsid w:val="0047541C"/>
    <w:rsid w:val="00475596"/>
    <w:rsid w:val="004755DE"/>
    <w:rsid w:val="0047582B"/>
    <w:rsid w:val="00475874"/>
    <w:rsid w:val="00475C40"/>
    <w:rsid w:val="00475CCA"/>
    <w:rsid w:val="00475E8F"/>
    <w:rsid w:val="00475FCF"/>
    <w:rsid w:val="00475FF4"/>
    <w:rsid w:val="004761BB"/>
    <w:rsid w:val="004767EC"/>
    <w:rsid w:val="00476830"/>
    <w:rsid w:val="0047683D"/>
    <w:rsid w:val="00476A34"/>
    <w:rsid w:val="00476A9E"/>
    <w:rsid w:val="00476AC6"/>
    <w:rsid w:val="00476AF2"/>
    <w:rsid w:val="00476FD0"/>
    <w:rsid w:val="00477266"/>
    <w:rsid w:val="0047734A"/>
    <w:rsid w:val="004774D5"/>
    <w:rsid w:val="004774D8"/>
    <w:rsid w:val="004774F3"/>
    <w:rsid w:val="00477890"/>
    <w:rsid w:val="00477940"/>
    <w:rsid w:val="00477971"/>
    <w:rsid w:val="00477B62"/>
    <w:rsid w:val="00477E70"/>
    <w:rsid w:val="00477EEA"/>
    <w:rsid w:val="00477F9F"/>
    <w:rsid w:val="0047A590"/>
    <w:rsid w:val="00480314"/>
    <w:rsid w:val="00480499"/>
    <w:rsid w:val="00480617"/>
    <w:rsid w:val="0048061E"/>
    <w:rsid w:val="00480639"/>
    <w:rsid w:val="00480707"/>
    <w:rsid w:val="00480940"/>
    <w:rsid w:val="00480AD5"/>
    <w:rsid w:val="00480B4E"/>
    <w:rsid w:val="00480FA3"/>
    <w:rsid w:val="00481148"/>
    <w:rsid w:val="004811B7"/>
    <w:rsid w:val="004812E5"/>
    <w:rsid w:val="004813B7"/>
    <w:rsid w:val="00481498"/>
    <w:rsid w:val="004816EF"/>
    <w:rsid w:val="00481730"/>
    <w:rsid w:val="00481893"/>
    <w:rsid w:val="00481A9C"/>
    <w:rsid w:val="00481B01"/>
    <w:rsid w:val="00481BC6"/>
    <w:rsid w:val="00481CD9"/>
    <w:rsid w:val="00481D11"/>
    <w:rsid w:val="00481D43"/>
    <w:rsid w:val="00481E03"/>
    <w:rsid w:val="00481E5B"/>
    <w:rsid w:val="00481EB4"/>
    <w:rsid w:val="00481F3A"/>
    <w:rsid w:val="004821D7"/>
    <w:rsid w:val="00482306"/>
    <w:rsid w:val="0048234B"/>
    <w:rsid w:val="00482538"/>
    <w:rsid w:val="00482561"/>
    <w:rsid w:val="004826B9"/>
    <w:rsid w:val="004829FC"/>
    <w:rsid w:val="00482A65"/>
    <w:rsid w:val="00482B8D"/>
    <w:rsid w:val="00482C78"/>
    <w:rsid w:val="0048319A"/>
    <w:rsid w:val="00483217"/>
    <w:rsid w:val="00483399"/>
    <w:rsid w:val="004833FB"/>
    <w:rsid w:val="0048369E"/>
    <w:rsid w:val="00483A3D"/>
    <w:rsid w:val="00483AFC"/>
    <w:rsid w:val="00483CFA"/>
    <w:rsid w:val="00483E5D"/>
    <w:rsid w:val="00483F17"/>
    <w:rsid w:val="00484310"/>
    <w:rsid w:val="0048448D"/>
    <w:rsid w:val="004845FE"/>
    <w:rsid w:val="0048463F"/>
    <w:rsid w:val="00484ABE"/>
    <w:rsid w:val="00484E6A"/>
    <w:rsid w:val="00484E97"/>
    <w:rsid w:val="00484EC0"/>
    <w:rsid w:val="00484FAC"/>
    <w:rsid w:val="00484FF2"/>
    <w:rsid w:val="00485077"/>
    <w:rsid w:val="00485093"/>
    <w:rsid w:val="004851E3"/>
    <w:rsid w:val="00485252"/>
    <w:rsid w:val="004854D6"/>
    <w:rsid w:val="0048567E"/>
    <w:rsid w:val="00485831"/>
    <w:rsid w:val="0048587F"/>
    <w:rsid w:val="004858E2"/>
    <w:rsid w:val="00485AC7"/>
    <w:rsid w:val="00485AD8"/>
    <w:rsid w:val="00485C52"/>
    <w:rsid w:val="00485DE4"/>
    <w:rsid w:val="00485E47"/>
    <w:rsid w:val="00486049"/>
    <w:rsid w:val="00486130"/>
    <w:rsid w:val="004861C6"/>
    <w:rsid w:val="004863BD"/>
    <w:rsid w:val="0048670E"/>
    <w:rsid w:val="004867FE"/>
    <w:rsid w:val="00486853"/>
    <w:rsid w:val="00486876"/>
    <w:rsid w:val="00486926"/>
    <w:rsid w:val="00486B7B"/>
    <w:rsid w:val="00486DCF"/>
    <w:rsid w:val="00486E59"/>
    <w:rsid w:val="00486E88"/>
    <w:rsid w:val="00486E9F"/>
    <w:rsid w:val="0048706B"/>
    <w:rsid w:val="004870CD"/>
    <w:rsid w:val="00487122"/>
    <w:rsid w:val="00487214"/>
    <w:rsid w:val="004873CA"/>
    <w:rsid w:val="004874D6"/>
    <w:rsid w:val="004874FC"/>
    <w:rsid w:val="004875A4"/>
    <w:rsid w:val="004877C5"/>
    <w:rsid w:val="004878B5"/>
    <w:rsid w:val="00487A35"/>
    <w:rsid w:val="00487C4D"/>
    <w:rsid w:val="00487C4F"/>
    <w:rsid w:val="00487E5E"/>
    <w:rsid w:val="00487F70"/>
    <w:rsid w:val="00487FC4"/>
    <w:rsid w:val="004900EC"/>
    <w:rsid w:val="00490188"/>
    <w:rsid w:val="00490536"/>
    <w:rsid w:val="0049058F"/>
    <w:rsid w:val="00490594"/>
    <w:rsid w:val="004905A6"/>
    <w:rsid w:val="004905C5"/>
    <w:rsid w:val="004905E7"/>
    <w:rsid w:val="00490A5F"/>
    <w:rsid w:val="00490BD8"/>
    <w:rsid w:val="00490C90"/>
    <w:rsid w:val="00490E12"/>
    <w:rsid w:val="00490E19"/>
    <w:rsid w:val="0049106C"/>
    <w:rsid w:val="004910AB"/>
    <w:rsid w:val="004911B5"/>
    <w:rsid w:val="004915EE"/>
    <w:rsid w:val="0049177E"/>
    <w:rsid w:val="00491803"/>
    <w:rsid w:val="00491886"/>
    <w:rsid w:val="0049192C"/>
    <w:rsid w:val="00491BC8"/>
    <w:rsid w:val="00491BDE"/>
    <w:rsid w:val="00491C20"/>
    <w:rsid w:val="00491D37"/>
    <w:rsid w:val="00491DE1"/>
    <w:rsid w:val="004920E4"/>
    <w:rsid w:val="004925B9"/>
    <w:rsid w:val="0049269E"/>
    <w:rsid w:val="0049275E"/>
    <w:rsid w:val="00492948"/>
    <w:rsid w:val="00492981"/>
    <w:rsid w:val="00492A87"/>
    <w:rsid w:val="00492BB6"/>
    <w:rsid w:val="00492C0D"/>
    <w:rsid w:val="00492C75"/>
    <w:rsid w:val="00492E1C"/>
    <w:rsid w:val="00493070"/>
    <w:rsid w:val="004930E5"/>
    <w:rsid w:val="00493108"/>
    <w:rsid w:val="00493121"/>
    <w:rsid w:val="00493197"/>
    <w:rsid w:val="004931E1"/>
    <w:rsid w:val="0049340B"/>
    <w:rsid w:val="004937C3"/>
    <w:rsid w:val="004938E5"/>
    <w:rsid w:val="00493A2F"/>
    <w:rsid w:val="00493B7B"/>
    <w:rsid w:val="00493C12"/>
    <w:rsid w:val="00493DAD"/>
    <w:rsid w:val="00493FFD"/>
    <w:rsid w:val="004940BE"/>
    <w:rsid w:val="004940F3"/>
    <w:rsid w:val="004942DC"/>
    <w:rsid w:val="00494398"/>
    <w:rsid w:val="00494408"/>
    <w:rsid w:val="00494767"/>
    <w:rsid w:val="00494A60"/>
    <w:rsid w:val="00494DCB"/>
    <w:rsid w:val="00494F17"/>
    <w:rsid w:val="004951E7"/>
    <w:rsid w:val="00495355"/>
    <w:rsid w:val="00495372"/>
    <w:rsid w:val="00495542"/>
    <w:rsid w:val="0049555B"/>
    <w:rsid w:val="0049568D"/>
    <w:rsid w:val="004956FE"/>
    <w:rsid w:val="00495719"/>
    <w:rsid w:val="0049575C"/>
    <w:rsid w:val="0049587A"/>
    <w:rsid w:val="00495909"/>
    <w:rsid w:val="004959C0"/>
    <w:rsid w:val="00495CAD"/>
    <w:rsid w:val="00495D40"/>
    <w:rsid w:val="00495FB7"/>
    <w:rsid w:val="0049610C"/>
    <w:rsid w:val="0049629F"/>
    <w:rsid w:val="004962EF"/>
    <w:rsid w:val="0049643E"/>
    <w:rsid w:val="004965DA"/>
    <w:rsid w:val="004966C7"/>
    <w:rsid w:val="0049696A"/>
    <w:rsid w:val="00496A57"/>
    <w:rsid w:val="00496AB7"/>
    <w:rsid w:val="00496BDA"/>
    <w:rsid w:val="00496C46"/>
    <w:rsid w:val="00496EEF"/>
    <w:rsid w:val="0049707B"/>
    <w:rsid w:val="0049727E"/>
    <w:rsid w:val="0049741C"/>
    <w:rsid w:val="00497530"/>
    <w:rsid w:val="004976D0"/>
    <w:rsid w:val="00497818"/>
    <w:rsid w:val="00497882"/>
    <w:rsid w:val="004978EB"/>
    <w:rsid w:val="004978FD"/>
    <w:rsid w:val="004979E8"/>
    <w:rsid w:val="00497A1A"/>
    <w:rsid w:val="00497A2B"/>
    <w:rsid w:val="00497B75"/>
    <w:rsid w:val="00497B93"/>
    <w:rsid w:val="00497EE5"/>
    <w:rsid w:val="00497F23"/>
    <w:rsid w:val="004A0183"/>
    <w:rsid w:val="004A0255"/>
    <w:rsid w:val="004A0296"/>
    <w:rsid w:val="004A02D4"/>
    <w:rsid w:val="004A02F3"/>
    <w:rsid w:val="004A0554"/>
    <w:rsid w:val="004A0568"/>
    <w:rsid w:val="004A056B"/>
    <w:rsid w:val="004A05E8"/>
    <w:rsid w:val="004A07E2"/>
    <w:rsid w:val="004A0BAC"/>
    <w:rsid w:val="004A0D2E"/>
    <w:rsid w:val="004A0D30"/>
    <w:rsid w:val="004A0D8D"/>
    <w:rsid w:val="004A0FC7"/>
    <w:rsid w:val="004A1078"/>
    <w:rsid w:val="004A108A"/>
    <w:rsid w:val="004A12A4"/>
    <w:rsid w:val="004A1399"/>
    <w:rsid w:val="004A16CD"/>
    <w:rsid w:val="004A17E9"/>
    <w:rsid w:val="004A191A"/>
    <w:rsid w:val="004A1928"/>
    <w:rsid w:val="004A1BC5"/>
    <w:rsid w:val="004A1C1B"/>
    <w:rsid w:val="004A1C35"/>
    <w:rsid w:val="004A1E25"/>
    <w:rsid w:val="004A1ED2"/>
    <w:rsid w:val="004A20F6"/>
    <w:rsid w:val="004A23ED"/>
    <w:rsid w:val="004A2415"/>
    <w:rsid w:val="004A24E5"/>
    <w:rsid w:val="004A25FB"/>
    <w:rsid w:val="004A263D"/>
    <w:rsid w:val="004A269C"/>
    <w:rsid w:val="004A26B7"/>
    <w:rsid w:val="004A29A5"/>
    <w:rsid w:val="004A29BA"/>
    <w:rsid w:val="004A2CA4"/>
    <w:rsid w:val="004A2CEF"/>
    <w:rsid w:val="004A2E91"/>
    <w:rsid w:val="004A2FB6"/>
    <w:rsid w:val="004A31B5"/>
    <w:rsid w:val="004A31D2"/>
    <w:rsid w:val="004A3270"/>
    <w:rsid w:val="004A32F4"/>
    <w:rsid w:val="004A3321"/>
    <w:rsid w:val="004A3621"/>
    <w:rsid w:val="004A3921"/>
    <w:rsid w:val="004A3A2E"/>
    <w:rsid w:val="004A3D75"/>
    <w:rsid w:val="004A4255"/>
    <w:rsid w:val="004A427B"/>
    <w:rsid w:val="004A451B"/>
    <w:rsid w:val="004A45AC"/>
    <w:rsid w:val="004A466D"/>
    <w:rsid w:val="004A4694"/>
    <w:rsid w:val="004A481A"/>
    <w:rsid w:val="004A4CFF"/>
    <w:rsid w:val="004A4D28"/>
    <w:rsid w:val="004A4E65"/>
    <w:rsid w:val="004A4E89"/>
    <w:rsid w:val="004A4EB0"/>
    <w:rsid w:val="004A4FA4"/>
    <w:rsid w:val="004A502C"/>
    <w:rsid w:val="004A509E"/>
    <w:rsid w:val="004A510D"/>
    <w:rsid w:val="004A51CB"/>
    <w:rsid w:val="004A5209"/>
    <w:rsid w:val="004A524A"/>
    <w:rsid w:val="004A52B6"/>
    <w:rsid w:val="004A539B"/>
    <w:rsid w:val="004A55BC"/>
    <w:rsid w:val="004A56F8"/>
    <w:rsid w:val="004A5850"/>
    <w:rsid w:val="004A5AD5"/>
    <w:rsid w:val="004A5CFD"/>
    <w:rsid w:val="004A5D9B"/>
    <w:rsid w:val="004A5E09"/>
    <w:rsid w:val="004A5EC3"/>
    <w:rsid w:val="004A5EE5"/>
    <w:rsid w:val="004A5F42"/>
    <w:rsid w:val="004A5F57"/>
    <w:rsid w:val="004A5FD9"/>
    <w:rsid w:val="004A6199"/>
    <w:rsid w:val="004A621C"/>
    <w:rsid w:val="004A63C4"/>
    <w:rsid w:val="004A65B7"/>
    <w:rsid w:val="004A65F3"/>
    <w:rsid w:val="004A68AB"/>
    <w:rsid w:val="004A69F1"/>
    <w:rsid w:val="004A6A34"/>
    <w:rsid w:val="004A6B2A"/>
    <w:rsid w:val="004A6C4B"/>
    <w:rsid w:val="004A6CB3"/>
    <w:rsid w:val="004A6CF6"/>
    <w:rsid w:val="004A6DFC"/>
    <w:rsid w:val="004A6E6B"/>
    <w:rsid w:val="004A6E92"/>
    <w:rsid w:val="004A709F"/>
    <w:rsid w:val="004A70D0"/>
    <w:rsid w:val="004A710E"/>
    <w:rsid w:val="004A712B"/>
    <w:rsid w:val="004A7190"/>
    <w:rsid w:val="004A725E"/>
    <w:rsid w:val="004A7366"/>
    <w:rsid w:val="004A75A6"/>
    <w:rsid w:val="004A7755"/>
    <w:rsid w:val="004A776F"/>
    <w:rsid w:val="004A7844"/>
    <w:rsid w:val="004A795A"/>
    <w:rsid w:val="004A798A"/>
    <w:rsid w:val="004A7A69"/>
    <w:rsid w:val="004A7A96"/>
    <w:rsid w:val="004A7D80"/>
    <w:rsid w:val="004A7D9B"/>
    <w:rsid w:val="004A7DAE"/>
    <w:rsid w:val="004B02DB"/>
    <w:rsid w:val="004B0591"/>
    <w:rsid w:val="004B05AC"/>
    <w:rsid w:val="004B05D0"/>
    <w:rsid w:val="004B0887"/>
    <w:rsid w:val="004B0A34"/>
    <w:rsid w:val="004B0EB6"/>
    <w:rsid w:val="004B0FB7"/>
    <w:rsid w:val="004B109E"/>
    <w:rsid w:val="004B10D0"/>
    <w:rsid w:val="004B1257"/>
    <w:rsid w:val="004B1294"/>
    <w:rsid w:val="004B135A"/>
    <w:rsid w:val="004B1391"/>
    <w:rsid w:val="004B1492"/>
    <w:rsid w:val="004B14B6"/>
    <w:rsid w:val="004B161C"/>
    <w:rsid w:val="004B19DC"/>
    <w:rsid w:val="004B1A02"/>
    <w:rsid w:val="004B1B0B"/>
    <w:rsid w:val="004B1B4C"/>
    <w:rsid w:val="004B1B75"/>
    <w:rsid w:val="004B1E2C"/>
    <w:rsid w:val="004B2007"/>
    <w:rsid w:val="004B20E9"/>
    <w:rsid w:val="004B2146"/>
    <w:rsid w:val="004B217F"/>
    <w:rsid w:val="004B25E2"/>
    <w:rsid w:val="004B260F"/>
    <w:rsid w:val="004B261C"/>
    <w:rsid w:val="004B269C"/>
    <w:rsid w:val="004B279D"/>
    <w:rsid w:val="004B2AFA"/>
    <w:rsid w:val="004B2B0A"/>
    <w:rsid w:val="004B2BC8"/>
    <w:rsid w:val="004B2EF0"/>
    <w:rsid w:val="004B2FF5"/>
    <w:rsid w:val="004B304B"/>
    <w:rsid w:val="004B30BF"/>
    <w:rsid w:val="004B32C8"/>
    <w:rsid w:val="004B3352"/>
    <w:rsid w:val="004B366A"/>
    <w:rsid w:val="004B3758"/>
    <w:rsid w:val="004B39C5"/>
    <w:rsid w:val="004B39EC"/>
    <w:rsid w:val="004B3A6D"/>
    <w:rsid w:val="004B3B8D"/>
    <w:rsid w:val="004B3C32"/>
    <w:rsid w:val="004B3FC3"/>
    <w:rsid w:val="004B413E"/>
    <w:rsid w:val="004B4171"/>
    <w:rsid w:val="004B450E"/>
    <w:rsid w:val="004B4529"/>
    <w:rsid w:val="004B490F"/>
    <w:rsid w:val="004B491C"/>
    <w:rsid w:val="004B493B"/>
    <w:rsid w:val="004B4949"/>
    <w:rsid w:val="004B4C06"/>
    <w:rsid w:val="004B4CDB"/>
    <w:rsid w:val="004B4E4B"/>
    <w:rsid w:val="004B4EC0"/>
    <w:rsid w:val="004B4F0E"/>
    <w:rsid w:val="004B4FD2"/>
    <w:rsid w:val="004B4FEE"/>
    <w:rsid w:val="004B5004"/>
    <w:rsid w:val="004B50B8"/>
    <w:rsid w:val="004B5222"/>
    <w:rsid w:val="004B54A8"/>
    <w:rsid w:val="004B5528"/>
    <w:rsid w:val="004B564E"/>
    <w:rsid w:val="004B57ED"/>
    <w:rsid w:val="004B582D"/>
    <w:rsid w:val="004B5863"/>
    <w:rsid w:val="004B5A6A"/>
    <w:rsid w:val="004B5AE1"/>
    <w:rsid w:val="004B5B32"/>
    <w:rsid w:val="004B5B41"/>
    <w:rsid w:val="004B5BD5"/>
    <w:rsid w:val="004B5BDC"/>
    <w:rsid w:val="004B5DD1"/>
    <w:rsid w:val="004B5F0C"/>
    <w:rsid w:val="004B5F33"/>
    <w:rsid w:val="004B603D"/>
    <w:rsid w:val="004B624E"/>
    <w:rsid w:val="004B6339"/>
    <w:rsid w:val="004B6595"/>
    <w:rsid w:val="004B6609"/>
    <w:rsid w:val="004B692A"/>
    <w:rsid w:val="004B6931"/>
    <w:rsid w:val="004B6935"/>
    <w:rsid w:val="004B6A44"/>
    <w:rsid w:val="004B6C57"/>
    <w:rsid w:val="004B6C64"/>
    <w:rsid w:val="004B6D54"/>
    <w:rsid w:val="004B705B"/>
    <w:rsid w:val="004B709F"/>
    <w:rsid w:val="004B72A6"/>
    <w:rsid w:val="004B73A5"/>
    <w:rsid w:val="004B74D1"/>
    <w:rsid w:val="004B7677"/>
    <w:rsid w:val="004B769C"/>
    <w:rsid w:val="004B78DA"/>
    <w:rsid w:val="004B78E6"/>
    <w:rsid w:val="004B7904"/>
    <w:rsid w:val="004B79E7"/>
    <w:rsid w:val="004B7A20"/>
    <w:rsid w:val="004B7AD8"/>
    <w:rsid w:val="004B7AE3"/>
    <w:rsid w:val="004B7AEA"/>
    <w:rsid w:val="004B7CA9"/>
    <w:rsid w:val="004B7FC5"/>
    <w:rsid w:val="004C0057"/>
    <w:rsid w:val="004C0421"/>
    <w:rsid w:val="004C0499"/>
    <w:rsid w:val="004C04E1"/>
    <w:rsid w:val="004C0B4F"/>
    <w:rsid w:val="004C0B57"/>
    <w:rsid w:val="004C0B8C"/>
    <w:rsid w:val="004C0C8E"/>
    <w:rsid w:val="004C0E5E"/>
    <w:rsid w:val="004C0E9F"/>
    <w:rsid w:val="004C10CB"/>
    <w:rsid w:val="004C1106"/>
    <w:rsid w:val="004C118E"/>
    <w:rsid w:val="004C119F"/>
    <w:rsid w:val="004C11B6"/>
    <w:rsid w:val="004C124B"/>
    <w:rsid w:val="004C1375"/>
    <w:rsid w:val="004C1441"/>
    <w:rsid w:val="004C1755"/>
    <w:rsid w:val="004C1862"/>
    <w:rsid w:val="004C19E4"/>
    <w:rsid w:val="004C1CD5"/>
    <w:rsid w:val="004C203E"/>
    <w:rsid w:val="004C2218"/>
    <w:rsid w:val="004C2369"/>
    <w:rsid w:val="004C238D"/>
    <w:rsid w:val="004C25C8"/>
    <w:rsid w:val="004C28CA"/>
    <w:rsid w:val="004C29BC"/>
    <w:rsid w:val="004C2A5D"/>
    <w:rsid w:val="004C2ED5"/>
    <w:rsid w:val="004C2FBB"/>
    <w:rsid w:val="004C304A"/>
    <w:rsid w:val="004C30DF"/>
    <w:rsid w:val="004C3341"/>
    <w:rsid w:val="004C3363"/>
    <w:rsid w:val="004C33A5"/>
    <w:rsid w:val="004C33B8"/>
    <w:rsid w:val="004C34FD"/>
    <w:rsid w:val="004C370B"/>
    <w:rsid w:val="004C3E1F"/>
    <w:rsid w:val="004C3E32"/>
    <w:rsid w:val="004C4131"/>
    <w:rsid w:val="004C4197"/>
    <w:rsid w:val="004C4298"/>
    <w:rsid w:val="004C42F0"/>
    <w:rsid w:val="004C4396"/>
    <w:rsid w:val="004C43E1"/>
    <w:rsid w:val="004C4417"/>
    <w:rsid w:val="004C446D"/>
    <w:rsid w:val="004C45C7"/>
    <w:rsid w:val="004C460A"/>
    <w:rsid w:val="004C4862"/>
    <w:rsid w:val="004C48FF"/>
    <w:rsid w:val="004C491D"/>
    <w:rsid w:val="004C49DC"/>
    <w:rsid w:val="004C4A08"/>
    <w:rsid w:val="004C4A91"/>
    <w:rsid w:val="004C4B50"/>
    <w:rsid w:val="004C4BD6"/>
    <w:rsid w:val="004C4C24"/>
    <w:rsid w:val="004C4D6C"/>
    <w:rsid w:val="004C5060"/>
    <w:rsid w:val="004C509F"/>
    <w:rsid w:val="004C5102"/>
    <w:rsid w:val="004C5148"/>
    <w:rsid w:val="004C561B"/>
    <w:rsid w:val="004C56F0"/>
    <w:rsid w:val="004C57EA"/>
    <w:rsid w:val="004C5CC8"/>
    <w:rsid w:val="004C5D52"/>
    <w:rsid w:val="004C5E05"/>
    <w:rsid w:val="004C5E71"/>
    <w:rsid w:val="004C5F08"/>
    <w:rsid w:val="004C60B4"/>
    <w:rsid w:val="004C62B2"/>
    <w:rsid w:val="004C644C"/>
    <w:rsid w:val="004C655F"/>
    <w:rsid w:val="004C67B8"/>
    <w:rsid w:val="004C695E"/>
    <w:rsid w:val="004C6CD4"/>
    <w:rsid w:val="004C6CE1"/>
    <w:rsid w:val="004C6EA6"/>
    <w:rsid w:val="004C6EB3"/>
    <w:rsid w:val="004C7044"/>
    <w:rsid w:val="004C725A"/>
    <w:rsid w:val="004C7477"/>
    <w:rsid w:val="004C750C"/>
    <w:rsid w:val="004C753A"/>
    <w:rsid w:val="004C76FC"/>
    <w:rsid w:val="004C7796"/>
    <w:rsid w:val="004C77DF"/>
    <w:rsid w:val="004C7871"/>
    <w:rsid w:val="004C7914"/>
    <w:rsid w:val="004C797E"/>
    <w:rsid w:val="004C797F"/>
    <w:rsid w:val="004C7B4C"/>
    <w:rsid w:val="004C7C40"/>
    <w:rsid w:val="004C7C5C"/>
    <w:rsid w:val="004C7E27"/>
    <w:rsid w:val="004C7ED7"/>
    <w:rsid w:val="004C7F11"/>
    <w:rsid w:val="004C7F72"/>
    <w:rsid w:val="004C7F94"/>
    <w:rsid w:val="004C7FED"/>
    <w:rsid w:val="004D0057"/>
    <w:rsid w:val="004D00C6"/>
    <w:rsid w:val="004D00CF"/>
    <w:rsid w:val="004D0190"/>
    <w:rsid w:val="004D0285"/>
    <w:rsid w:val="004D0301"/>
    <w:rsid w:val="004D0364"/>
    <w:rsid w:val="004D03B8"/>
    <w:rsid w:val="004D03BD"/>
    <w:rsid w:val="004D0659"/>
    <w:rsid w:val="004D07A5"/>
    <w:rsid w:val="004D0961"/>
    <w:rsid w:val="004D09FF"/>
    <w:rsid w:val="004D0BD6"/>
    <w:rsid w:val="004D0C8D"/>
    <w:rsid w:val="004D0DEF"/>
    <w:rsid w:val="004D0E9C"/>
    <w:rsid w:val="004D0FA4"/>
    <w:rsid w:val="004D1083"/>
    <w:rsid w:val="004D11B1"/>
    <w:rsid w:val="004D1353"/>
    <w:rsid w:val="004D156F"/>
    <w:rsid w:val="004D160A"/>
    <w:rsid w:val="004D1628"/>
    <w:rsid w:val="004D167C"/>
    <w:rsid w:val="004D19A7"/>
    <w:rsid w:val="004D1A16"/>
    <w:rsid w:val="004D1C4B"/>
    <w:rsid w:val="004D1C66"/>
    <w:rsid w:val="004D1D0A"/>
    <w:rsid w:val="004D1DE4"/>
    <w:rsid w:val="004D1E53"/>
    <w:rsid w:val="004D1EA9"/>
    <w:rsid w:val="004D1ED9"/>
    <w:rsid w:val="004D1FED"/>
    <w:rsid w:val="004D2031"/>
    <w:rsid w:val="004D2183"/>
    <w:rsid w:val="004D2433"/>
    <w:rsid w:val="004D2444"/>
    <w:rsid w:val="004D2495"/>
    <w:rsid w:val="004D24AD"/>
    <w:rsid w:val="004D24D2"/>
    <w:rsid w:val="004D2590"/>
    <w:rsid w:val="004D25F2"/>
    <w:rsid w:val="004D2861"/>
    <w:rsid w:val="004D29CD"/>
    <w:rsid w:val="004D2B6F"/>
    <w:rsid w:val="004D2E40"/>
    <w:rsid w:val="004D2E88"/>
    <w:rsid w:val="004D2EE3"/>
    <w:rsid w:val="004D2EF5"/>
    <w:rsid w:val="004D2FE6"/>
    <w:rsid w:val="004D307D"/>
    <w:rsid w:val="004D30B3"/>
    <w:rsid w:val="004D30D8"/>
    <w:rsid w:val="004D30FE"/>
    <w:rsid w:val="004D315A"/>
    <w:rsid w:val="004D32D9"/>
    <w:rsid w:val="004D33AC"/>
    <w:rsid w:val="004D3494"/>
    <w:rsid w:val="004D3647"/>
    <w:rsid w:val="004D3686"/>
    <w:rsid w:val="004D36FB"/>
    <w:rsid w:val="004D3964"/>
    <w:rsid w:val="004D39F6"/>
    <w:rsid w:val="004D3BE6"/>
    <w:rsid w:val="004D3D03"/>
    <w:rsid w:val="004D3EB5"/>
    <w:rsid w:val="004D3FCF"/>
    <w:rsid w:val="004D43CA"/>
    <w:rsid w:val="004D4587"/>
    <w:rsid w:val="004D461C"/>
    <w:rsid w:val="004D47BC"/>
    <w:rsid w:val="004D47E6"/>
    <w:rsid w:val="004D4870"/>
    <w:rsid w:val="004D497A"/>
    <w:rsid w:val="004D49B0"/>
    <w:rsid w:val="004D49EB"/>
    <w:rsid w:val="004D4A49"/>
    <w:rsid w:val="004D4B3D"/>
    <w:rsid w:val="004D4B90"/>
    <w:rsid w:val="004D4BF2"/>
    <w:rsid w:val="004D4EEB"/>
    <w:rsid w:val="004D5243"/>
    <w:rsid w:val="004D531F"/>
    <w:rsid w:val="004D54D5"/>
    <w:rsid w:val="004D54F4"/>
    <w:rsid w:val="004D5532"/>
    <w:rsid w:val="004D57A6"/>
    <w:rsid w:val="004D591E"/>
    <w:rsid w:val="004D5951"/>
    <w:rsid w:val="004D5A6F"/>
    <w:rsid w:val="004D5A89"/>
    <w:rsid w:val="004D5C37"/>
    <w:rsid w:val="004D6049"/>
    <w:rsid w:val="004D640C"/>
    <w:rsid w:val="004D6464"/>
    <w:rsid w:val="004D654C"/>
    <w:rsid w:val="004D66E4"/>
    <w:rsid w:val="004D687D"/>
    <w:rsid w:val="004D6A36"/>
    <w:rsid w:val="004D6AA6"/>
    <w:rsid w:val="004D6B9C"/>
    <w:rsid w:val="004D6D4A"/>
    <w:rsid w:val="004D6DC0"/>
    <w:rsid w:val="004D6E67"/>
    <w:rsid w:val="004D7084"/>
    <w:rsid w:val="004D729E"/>
    <w:rsid w:val="004D72CB"/>
    <w:rsid w:val="004D738C"/>
    <w:rsid w:val="004D7397"/>
    <w:rsid w:val="004D7547"/>
    <w:rsid w:val="004D7704"/>
    <w:rsid w:val="004D785B"/>
    <w:rsid w:val="004D786F"/>
    <w:rsid w:val="004D79D1"/>
    <w:rsid w:val="004D7A43"/>
    <w:rsid w:val="004D7A82"/>
    <w:rsid w:val="004D7B11"/>
    <w:rsid w:val="004D7B43"/>
    <w:rsid w:val="004D7B90"/>
    <w:rsid w:val="004D7DB2"/>
    <w:rsid w:val="004D7DBC"/>
    <w:rsid w:val="004E001D"/>
    <w:rsid w:val="004E00DB"/>
    <w:rsid w:val="004E02A8"/>
    <w:rsid w:val="004E02C7"/>
    <w:rsid w:val="004E032A"/>
    <w:rsid w:val="004E043A"/>
    <w:rsid w:val="004E052C"/>
    <w:rsid w:val="004E09A0"/>
    <w:rsid w:val="004E0B23"/>
    <w:rsid w:val="004E0BEB"/>
    <w:rsid w:val="004E0C06"/>
    <w:rsid w:val="004E0C63"/>
    <w:rsid w:val="004E0D65"/>
    <w:rsid w:val="004E0D84"/>
    <w:rsid w:val="004E0DAB"/>
    <w:rsid w:val="004E101E"/>
    <w:rsid w:val="004E1046"/>
    <w:rsid w:val="004E128F"/>
    <w:rsid w:val="004E165C"/>
    <w:rsid w:val="004E19F2"/>
    <w:rsid w:val="004E1A7A"/>
    <w:rsid w:val="004E1A98"/>
    <w:rsid w:val="004E1C19"/>
    <w:rsid w:val="004E1D04"/>
    <w:rsid w:val="004E1EE3"/>
    <w:rsid w:val="004E210C"/>
    <w:rsid w:val="004E21BB"/>
    <w:rsid w:val="004E22C9"/>
    <w:rsid w:val="004E2328"/>
    <w:rsid w:val="004E23B6"/>
    <w:rsid w:val="004E25B8"/>
    <w:rsid w:val="004E2643"/>
    <w:rsid w:val="004E2680"/>
    <w:rsid w:val="004E272E"/>
    <w:rsid w:val="004E2773"/>
    <w:rsid w:val="004E27A3"/>
    <w:rsid w:val="004E289B"/>
    <w:rsid w:val="004E2A2B"/>
    <w:rsid w:val="004E2B13"/>
    <w:rsid w:val="004E2B54"/>
    <w:rsid w:val="004E2BF5"/>
    <w:rsid w:val="004E2D62"/>
    <w:rsid w:val="004E2E27"/>
    <w:rsid w:val="004E3125"/>
    <w:rsid w:val="004E325E"/>
    <w:rsid w:val="004E32B1"/>
    <w:rsid w:val="004E3332"/>
    <w:rsid w:val="004E337F"/>
    <w:rsid w:val="004E3621"/>
    <w:rsid w:val="004E3714"/>
    <w:rsid w:val="004E374D"/>
    <w:rsid w:val="004E38B6"/>
    <w:rsid w:val="004E38CE"/>
    <w:rsid w:val="004E3B64"/>
    <w:rsid w:val="004E3B79"/>
    <w:rsid w:val="004E3DB1"/>
    <w:rsid w:val="004E3E13"/>
    <w:rsid w:val="004E3EC6"/>
    <w:rsid w:val="004E3ED0"/>
    <w:rsid w:val="004E40F5"/>
    <w:rsid w:val="004E417C"/>
    <w:rsid w:val="004E41FE"/>
    <w:rsid w:val="004E4372"/>
    <w:rsid w:val="004E4374"/>
    <w:rsid w:val="004E4389"/>
    <w:rsid w:val="004E461B"/>
    <w:rsid w:val="004E4674"/>
    <w:rsid w:val="004E4A1B"/>
    <w:rsid w:val="004E4B8B"/>
    <w:rsid w:val="004E4CF1"/>
    <w:rsid w:val="004E4E65"/>
    <w:rsid w:val="004E4EE0"/>
    <w:rsid w:val="004E4F69"/>
    <w:rsid w:val="004E5008"/>
    <w:rsid w:val="004E5031"/>
    <w:rsid w:val="004E5121"/>
    <w:rsid w:val="004E532A"/>
    <w:rsid w:val="004E5560"/>
    <w:rsid w:val="004E5596"/>
    <w:rsid w:val="004E571C"/>
    <w:rsid w:val="004E572A"/>
    <w:rsid w:val="004E5863"/>
    <w:rsid w:val="004E5AA6"/>
    <w:rsid w:val="004E5BDD"/>
    <w:rsid w:val="004E5C4A"/>
    <w:rsid w:val="004E5E79"/>
    <w:rsid w:val="004E60A7"/>
    <w:rsid w:val="004E60BE"/>
    <w:rsid w:val="004E60ED"/>
    <w:rsid w:val="004E6588"/>
    <w:rsid w:val="004E6AEF"/>
    <w:rsid w:val="004E6CEB"/>
    <w:rsid w:val="004E6D9C"/>
    <w:rsid w:val="004E6DE3"/>
    <w:rsid w:val="004E6DEB"/>
    <w:rsid w:val="004E6FFC"/>
    <w:rsid w:val="004E703C"/>
    <w:rsid w:val="004E711B"/>
    <w:rsid w:val="004E7131"/>
    <w:rsid w:val="004E72BF"/>
    <w:rsid w:val="004E72C1"/>
    <w:rsid w:val="004E74E1"/>
    <w:rsid w:val="004E7766"/>
    <w:rsid w:val="004E7767"/>
    <w:rsid w:val="004E7773"/>
    <w:rsid w:val="004E78B5"/>
    <w:rsid w:val="004E78DD"/>
    <w:rsid w:val="004E7A4F"/>
    <w:rsid w:val="004E7C16"/>
    <w:rsid w:val="004E7C1A"/>
    <w:rsid w:val="004E7D41"/>
    <w:rsid w:val="004E7E4D"/>
    <w:rsid w:val="004E7E9F"/>
    <w:rsid w:val="004E7F22"/>
    <w:rsid w:val="004E7F5D"/>
    <w:rsid w:val="004F006D"/>
    <w:rsid w:val="004F0399"/>
    <w:rsid w:val="004F04DE"/>
    <w:rsid w:val="004F0504"/>
    <w:rsid w:val="004F054A"/>
    <w:rsid w:val="004F06F0"/>
    <w:rsid w:val="004F079F"/>
    <w:rsid w:val="004F08C5"/>
    <w:rsid w:val="004F08EB"/>
    <w:rsid w:val="004F0923"/>
    <w:rsid w:val="004F09AE"/>
    <w:rsid w:val="004F0BF7"/>
    <w:rsid w:val="004F0F7A"/>
    <w:rsid w:val="004F1047"/>
    <w:rsid w:val="004F1071"/>
    <w:rsid w:val="004F10BC"/>
    <w:rsid w:val="004F10F3"/>
    <w:rsid w:val="004F1137"/>
    <w:rsid w:val="004F121F"/>
    <w:rsid w:val="004F12CE"/>
    <w:rsid w:val="004F1438"/>
    <w:rsid w:val="004F1498"/>
    <w:rsid w:val="004F16B7"/>
    <w:rsid w:val="004F16D8"/>
    <w:rsid w:val="004F17E8"/>
    <w:rsid w:val="004F1A53"/>
    <w:rsid w:val="004F1D4A"/>
    <w:rsid w:val="004F1D68"/>
    <w:rsid w:val="004F1DB5"/>
    <w:rsid w:val="004F1E0C"/>
    <w:rsid w:val="004F1F5B"/>
    <w:rsid w:val="004F206A"/>
    <w:rsid w:val="004F2248"/>
    <w:rsid w:val="004F23FD"/>
    <w:rsid w:val="004F2518"/>
    <w:rsid w:val="004F251F"/>
    <w:rsid w:val="004F254C"/>
    <w:rsid w:val="004F2879"/>
    <w:rsid w:val="004F2888"/>
    <w:rsid w:val="004F28DC"/>
    <w:rsid w:val="004F28FD"/>
    <w:rsid w:val="004F29D6"/>
    <w:rsid w:val="004F2B69"/>
    <w:rsid w:val="004F2C82"/>
    <w:rsid w:val="004F2CD0"/>
    <w:rsid w:val="004F2CF5"/>
    <w:rsid w:val="004F2D8C"/>
    <w:rsid w:val="004F3113"/>
    <w:rsid w:val="004F349C"/>
    <w:rsid w:val="004F37D1"/>
    <w:rsid w:val="004F3823"/>
    <w:rsid w:val="004F389D"/>
    <w:rsid w:val="004F3942"/>
    <w:rsid w:val="004F3F0D"/>
    <w:rsid w:val="004F42B5"/>
    <w:rsid w:val="004F43A5"/>
    <w:rsid w:val="004F44AB"/>
    <w:rsid w:val="004F4548"/>
    <w:rsid w:val="004F45C0"/>
    <w:rsid w:val="004F4735"/>
    <w:rsid w:val="004F4882"/>
    <w:rsid w:val="004F48C7"/>
    <w:rsid w:val="004F49B7"/>
    <w:rsid w:val="004F4A2F"/>
    <w:rsid w:val="004F4BFC"/>
    <w:rsid w:val="004F4C47"/>
    <w:rsid w:val="004F4F02"/>
    <w:rsid w:val="004F51C4"/>
    <w:rsid w:val="004F53A4"/>
    <w:rsid w:val="004F561E"/>
    <w:rsid w:val="004F591E"/>
    <w:rsid w:val="004F5954"/>
    <w:rsid w:val="004F59D3"/>
    <w:rsid w:val="004F5AB3"/>
    <w:rsid w:val="004F5C6B"/>
    <w:rsid w:val="004F5D50"/>
    <w:rsid w:val="004F5D75"/>
    <w:rsid w:val="004F5EFB"/>
    <w:rsid w:val="004F5F64"/>
    <w:rsid w:val="004F61AC"/>
    <w:rsid w:val="004F6211"/>
    <w:rsid w:val="004F6252"/>
    <w:rsid w:val="004F62A2"/>
    <w:rsid w:val="004F6382"/>
    <w:rsid w:val="004F648A"/>
    <w:rsid w:val="004F69B1"/>
    <w:rsid w:val="004F6B10"/>
    <w:rsid w:val="004F6C86"/>
    <w:rsid w:val="004F6D1A"/>
    <w:rsid w:val="004F6E1B"/>
    <w:rsid w:val="004F6EAC"/>
    <w:rsid w:val="004F6FC5"/>
    <w:rsid w:val="004F706F"/>
    <w:rsid w:val="004F7195"/>
    <w:rsid w:val="004F71DB"/>
    <w:rsid w:val="004F72B4"/>
    <w:rsid w:val="004F72DD"/>
    <w:rsid w:val="004F74E8"/>
    <w:rsid w:val="004F7A5B"/>
    <w:rsid w:val="004F7A64"/>
    <w:rsid w:val="004F7A9C"/>
    <w:rsid w:val="004F7CB4"/>
    <w:rsid w:val="004F7D18"/>
    <w:rsid w:val="004F7D67"/>
    <w:rsid w:val="004F7F7B"/>
    <w:rsid w:val="005000D7"/>
    <w:rsid w:val="005000DE"/>
    <w:rsid w:val="00500194"/>
    <w:rsid w:val="005002F7"/>
    <w:rsid w:val="005003FF"/>
    <w:rsid w:val="005004E5"/>
    <w:rsid w:val="00500567"/>
    <w:rsid w:val="00500601"/>
    <w:rsid w:val="00500801"/>
    <w:rsid w:val="00500B22"/>
    <w:rsid w:val="00500BF4"/>
    <w:rsid w:val="00500C01"/>
    <w:rsid w:val="00500CDF"/>
    <w:rsid w:val="00500D14"/>
    <w:rsid w:val="00500E80"/>
    <w:rsid w:val="00500F54"/>
    <w:rsid w:val="00501042"/>
    <w:rsid w:val="00501089"/>
    <w:rsid w:val="0050114E"/>
    <w:rsid w:val="0050116C"/>
    <w:rsid w:val="00501230"/>
    <w:rsid w:val="005012D0"/>
    <w:rsid w:val="005012E0"/>
    <w:rsid w:val="0050146D"/>
    <w:rsid w:val="005015B7"/>
    <w:rsid w:val="00501608"/>
    <w:rsid w:val="005016F4"/>
    <w:rsid w:val="005018D9"/>
    <w:rsid w:val="005018E6"/>
    <w:rsid w:val="0050196B"/>
    <w:rsid w:val="005019D5"/>
    <w:rsid w:val="00501CD8"/>
    <w:rsid w:val="00501F5B"/>
    <w:rsid w:val="00501FAC"/>
    <w:rsid w:val="00501FCD"/>
    <w:rsid w:val="0050219A"/>
    <w:rsid w:val="005021C4"/>
    <w:rsid w:val="0050226D"/>
    <w:rsid w:val="00502441"/>
    <w:rsid w:val="00502478"/>
    <w:rsid w:val="005024DF"/>
    <w:rsid w:val="005025FD"/>
    <w:rsid w:val="0050265E"/>
    <w:rsid w:val="00502694"/>
    <w:rsid w:val="00502835"/>
    <w:rsid w:val="005029C1"/>
    <w:rsid w:val="00502A27"/>
    <w:rsid w:val="00502C5B"/>
    <w:rsid w:val="00502CB2"/>
    <w:rsid w:val="00502CFE"/>
    <w:rsid w:val="00502E3A"/>
    <w:rsid w:val="00502E73"/>
    <w:rsid w:val="00502E8F"/>
    <w:rsid w:val="0050310C"/>
    <w:rsid w:val="005031D9"/>
    <w:rsid w:val="005031E5"/>
    <w:rsid w:val="00503242"/>
    <w:rsid w:val="0050324C"/>
    <w:rsid w:val="0050353D"/>
    <w:rsid w:val="005035E6"/>
    <w:rsid w:val="005038BB"/>
    <w:rsid w:val="005038F1"/>
    <w:rsid w:val="00503915"/>
    <w:rsid w:val="005039C5"/>
    <w:rsid w:val="00503B34"/>
    <w:rsid w:val="00503BD0"/>
    <w:rsid w:val="00503CC6"/>
    <w:rsid w:val="00503D15"/>
    <w:rsid w:val="00504115"/>
    <w:rsid w:val="0050423D"/>
    <w:rsid w:val="00504322"/>
    <w:rsid w:val="005045F8"/>
    <w:rsid w:val="0050469D"/>
    <w:rsid w:val="0050473D"/>
    <w:rsid w:val="00504920"/>
    <w:rsid w:val="00504AC2"/>
    <w:rsid w:val="00504CC0"/>
    <w:rsid w:val="00504D7B"/>
    <w:rsid w:val="00504F19"/>
    <w:rsid w:val="00504F63"/>
    <w:rsid w:val="005050C5"/>
    <w:rsid w:val="0050536B"/>
    <w:rsid w:val="005053E0"/>
    <w:rsid w:val="005053FC"/>
    <w:rsid w:val="00505418"/>
    <w:rsid w:val="00505440"/>
    <w:rsid w:val="0050573D"/>
    <w:rsid w:val="005058E4"/>
    <w:rsid w:val="00505BAB"/>
    <w:rsid w:val="005060A6"/>
    <w:rsid w:val="005061C6"/>
    <w:rsid w:val="00506291"/>
    <w:rsid w:val="005062AC"/>
    <w:rsid w:val="005063A2"/>
    <w:rsid w:val="00506513"/>
    <w:rsid w:val="0050652C"/>
    <w:rsid w:val="00506569"/>
    <w:rsid w:val="005067F5"/>
    <w:rsid w:val="0050680F"/>
    <w:rsid w:val="00506B5D"/>
    <w:rsid w:val="00506E7F"/>
    <w:rsid w:val="00507102"/>
    <w:rsid w:val="00507223"/>
    <w:rsid w:val="0050726C"/>
    <w:rsid w:val="0050730D"/>
    <w:rsid w:val="00507366"/>
    <w:rsid w:val="00507581"/>
    <w:rsid w:val="00507598"/>
    <w:rsid w:val="005075EF"/>
    <w:rsid w:val="0050789E"/>
    <w:rsid w:val="0050794B"/>
    <w:rsid w:val="005079A2"/>
    <w:rsid w:val="005079BD"/>
    <w:rsid w:val="00507BA3"/>
    <w:rsid w:val="00507CAE"/>
    <w:rsid w:val="00507DAF"/>
    <w:rsid w:val="00507EC3"/>
    <w:rsid w:val="00510429"/>
    <w:rsid w:val="0051060F"/>
    <w:rsid w:val="00510814"/>
    <w:rsid w:val="00510846"/>
    <w:rsid w:val="00510AC2"/>
    <w:rsid w:val="00510B54"/>
    <w:rsid w:val="00510B9D"/>
    <w:rsid w:val="00510CE0"/>
    <w:rsid w:val="00510D66"/>
    <w:rsid w:val="005110FD"/>
    <w:rsid w:val="00511179"/>
    <w:rsid w:val="00511275"/>
    <w:rsid w:val="00511290"/>
    <w:rsid w:val="00511367"/>
    <w:rsid w:val="00511372"/>
    <w:rsid w:val="005114EC"/>
    <w:rsid w:val="005115BD"/>
    <w:rsid w:val="005115BF"/>
    <w:rsid w:val="005117F9"/>
    <w:rsid w:val="00511879"/>
    <w:rsid w:val="005118AF"/>
    <w:rsid w:val="005118B6"/>
    <w:rsid w:val="00511909"/>
    <w:rsid w:val="00511A0F"/>
    <w:rsid w:val="00511B9B"/>
    <w:rsid w:val="00511BF9"/>
    <w:rsid w:val="00511D64"/>
    <w:rsid w:val="00511D7F"/>
    <w:rsid w:val="00511DEF"/>
    <w:rsid w:val="00511DF5"/>
    <w:rsid w:val="00511E8C"/>
    <w:rsid w:val="00512121"/>
    <w:rsid w:val="00512394"/>
    <w:rsid w:val="005123AA"/>
    <w:rsid w:val="005123C3"/>
    <w:rsid w:val="0051268A"/>
    <w:rsid w:val="00512696"/>
    <w:rsid w:val="005128B5"/>
    <w:rsid w:val="00512A58"/>
    <w:rsid w:val="00512A62"/>
    <w:rsid w:val="00512BF6"/>
    <w:rsid w:val="00512C09"/>
    <w:rsid w:val="00512CBC"/>
    <w:rsid w:val="00512CEB"/>
    <w:rsid w:val="00512D81"/>
    <w:rsid w:val="00512EE9"/>
    <w:rsid w:val="00512F9E"/>
    <w:rsid w:val="005131AB"/>
    <w:rsid w:val="005136FB"/>
    <w:rsid w:val="0051381D"/>
    <w:rsid w:val="00513846"/>
    <w:rsid w:val="00513965"/>
    <w:rsid w:val="00513B20"/>
    <w:rsid w:val="00513C69"/>
    <w:rsid w:val="00513CEA"/>
    <w:rsid w:val="00513DBB"/>
    <w:rsid w:val="00513E1F"/>
    <w:rsid w:val="00513EBA"/>
    <w:rsid w:val="0051410F"/>
    <w:rsid w:val="005141E8"/>
    <w:rsid w:val="0051423C"/>
    <w:rsid w:val="00514375"/>
    <w:rsid w:val="005144E3"/>
    <w:rsid w:val="00514513"/>
    <w:rsid w:val="0051467E"/>
    <w:rsid w:val="005146C0"/>
    <w:rsid w:val="0051474F"/>
    <w:rsid w:val="00514972"/>
    <w:rsid w:val="005149FA"/>
    <w:rsid w:val="00514DC1"/>
    <w:rsid w:val="00514FA1"/>
    <w:rsid w:val="00514FD7"/>
    <w:rsid w:val="005151D1"/>
    <w:rsid w:val="005151D6"/>
    <w:rsid w:val="005152AF"/>
    <w:rsid w:val="00515348"/>
    <w:rsid w:val="00515569"/>
    <w:rsid w:val="00515689"/>
    <w:rsid w:val="005159D8"/>
    <w:rsid w:val="00515A13"/>
    <w:rsid w:val="00515ACE"/>
    <w:rsid w:val="00515C82"/>
    <w:rsid w:val="00515CF3"/>
    <w:rsid w:val="00515D25"/>
    <w:rsid w:val="0051608B"/>
    <w:rsid w:val="005160F7"/>
    <w:rsid w:val="00516230"/>
    <w:rsid w:val="00516277"/>
    <w:rsid w:val="005162A2"/>
    <w:rsid w:val="005162BA"/>
    <w:rsid w:val="00516752"/>
    <w:rsid w:val="0051675D"/>
    <w:rsid w:val="0051679C"/>
    <w:rsid w:val="00516813"/>
    <w:rsid w:val="00516984"/>
    <w:rsid w:val="00516BC0"/>
    <w:rsid w:val="00516C92"/>
    <w:rsid w:val="005171B2"/>
    <w:rsid w:val="005171CF"/>
    <w:rsid w:val="005172FA"/>
    <w:rsid w:val="00517670"/>
    <w:rsid w:val="00517710"/>
    <w:rsid w:val="00517758"/>
    <w:rsid w:val="005177D4"/>
    <w:rsid w:val="0051783B"/>
    <w:rsid w:val="005178F4"/>
    <w:rsid w:val="00517ADD"/>
    <w:rsid w:val="00517AE1"/>
    <w:rsid w:val="00517AF1"/>
    <w:rsid w:val="00517B01"/>
    <w:rsid w:val="00517BC6"/>
    <w:rsid w:val="00517E53"/>
    <w:rsid w:val="00517FAB"/>
    <w:rsid w:val="00520007"/>
    <w:rsid w:val="00520191"/>
    <w:rsid w:val="00520199"/>
    <w:rsid w:val="0052028A"/>
    <w:rsid w:val="005203FC"/>
    <w:rsid w:val="005206F3"/>
    <w:rsid w:val="00520754"/>
    <w:rsid w:val="005207BD"/>
    <w:rsid w:val="00520947"/>
    <w:rsid w:val="0052099C"/>
    <w:rsid w:val="005209A2"/>
    <w:rsid w:val="00520A9A"/>
    <w:rsid w:val="00520C04"/>
    <w:rsid w:val="00520CC2"/>
    <w:rsid w:val="00521392"/>
    <w:rsid w:val="00521630"/>
    <w:rsid w:val="00521A4F"/>
    <w:rsid w:val="00521E09"/>
    <w:rsid w:val="0052231A"/>
    <w:rsid w:val="005225D9"/>
    <w:rsid w:val="00522620"/>
    <w:rsid w:val="005227EC"/>
    <w:rsid w:val="00522914"/>
    <w:rsid w:val="00522B93"/>
    <w:rsid w:val="00522C0D"/>
    <w:rsid w:val="00522C48"/>
    <w:rsid w:val="00522C7C"/>
    <w:rsid w:val="00522CA6"/>
    <w:rsid w:val="00522DAC"/>
    <w:rsid w:val="00522FC2"/>
    <w:rsid w:val="00523202"/>
    <w:rsid w:val="005233A5"/>
    <w:rsid w:val="00523516"/>
    <w:rsid w:val="005236B2"/>
    <w:rsid w:val="00523908"/>
    <w:rsid w:val="00523A2B"/>
    <w:rsid w:val="00523CD3"/>
    <w:rsid w:val="00523EDA"/>
    <w:rsid w:val="00523F36"/>
    <w:rsid w:val="00524054"/>
    <w:rsid w:val="00524157"/>
    <w:rsid w:val="0052449A"/>
    <w:rsid w:val="00524672"/>
    <w:rsid w:val="005249FE"/>
    <w:rsid w:val="00524A4E"/>
    <w:rsid w:val="00524ADD"/>
    <w:rsid w:val="00524B75"/>
    <w:rsid w:val="00524F27"/>
    <w:rsid w:val="00524F96"/>
    <w:rsid w:val="0052510D"/>
    <w:rsid w:val="00525146"/>
    <w:rsid w:val="0052516C"/>
    <w:rsid w:val="0052517C"/>
    <w:rsid w:val="0052526B"/>
    <w:rsid w:val="005252B4"/>
    <w:rsid w:val="005255DF"/>
    <w:rsid w:val="00525632"/>
    <w:rsid w:val="005257B4"/>
    <w:rsid w:val="00525A44"/>
    <w:rsid w:val="00525AE9"/>
    <w:rsid w:val="00525B6D"/>
    <w:rsid w:val="00525B6E"/>
    <w:rsid w:val="00525C03"/>
    <w:rsid w:val="00525C90"/>
    <w:rsid w:val="00525DB2"/>
    <w:rsid w:val="00525E0F"/>
    <w:rsid w:val="0052609F"/>
    <w:rsid w:val="005260CE"/>
    <w:rsid w:val="00526180"/>
    <w:rsid w:val="005263EE"/>
    <w:rsid w:val="0052643E"/>
    <w:rsid w:val="00526479"/>
    <w:rsid w:val="005264E6"/>
    <w:rsid w:val="005266AC"/>
    <w:rsid w:val="00526768"/>
    <w:rsid w:val="0052676B"/>
    <w:rsid w:val="005267EC"/>
    <w:rsid w:val="005269EC"/>
    <w:rsid w:val="00526B69"/>
    <w:rsid w:val="00526D05"/>
    <w:rsid w:val="00526DF4"/>
    <w:rsid w:val="005270F3"/>
    <w:rsid w:val="00527120"/>
    <w:rsid w:val="00527286"/>
    <w:rsid w:val="0052731F"/>
    <w:rsid w:val="005273BC"/>
    <w:rsid w:val="00527505"/>
    <w:rsid w:val="00527601"/>
    <w:rsid w:val="005278CE"/>
    <w:rsid w:val="0052799E"/>
    <w:rsid w:val="00527A35"/>
    <w:rsid w:val="00527B7C"/>
    <w:rsid w:val="00527E1D"/>
    <w:rsid w:val="00527E77"/>
    <w:rsid w:val="00530065"/>
    <w:rsid w:val="00530134"/>
    <w:rsid w:val="0053020A"/>
    <w:rsid w:val="00530351"/>
    <w:rsid w:val="00530375"/>
    <w:rsid w:val="0053044E"/>
    <w:rsid w:val="00530470"/>
    <w:rsid w:val="005305BE"/>
    <w:rsid w:val="00530633"/>
    <w:rsid w:val="005306BD"/>
    <w:rsid w:val="005307D6"/>
    <w:rsid w:val="005307DC"/>
    <w:rsid w:val="0053087F"/>
    <w:rsid w:val="005308D5"/>
    <w:rsid w:val="0053090B"/>
    <w:rsid w:val="00530979"/>
    <w:rsid w:val="00530D92"/>
    <w:rsid w:val="00530E19"/>
    <w:rsid w:val="00530E72"/>
    <w:rsid w:val="00530F51"/>
    <w:rsid w:val="005310C7"/>
    <w:rsid w:val="0053123C"/>
    <w:rsid w:val="005312F2"/>
    <w:rsid w:val="0053147B"/>
    <w:rsid w:val="005316F0"/>
    <w:rsid w:val="00531741"/>
    <w:rsid w:val="00531860"/>
    <w:rsid w:val="00531898"/>
    <w:rsid w:val="00531DB2"/>
    <w:rsid w:val="00531DC7"/>
    <w:rsid w:val="00531FCC"/>
    <w:rsid w:val="005321EF"/>
    <w:rsid w:val="005321F2"/>
    <w:rsid w:val="005322AC"/>
    <w:rsid w:val="00532680"/>
    <w:rsid w:val="0053287A"/>
    <w:rsid w:val="00532A23"/>
    <w:rsid w:val="00532C05"/>
    <w:rsid w:val="00532CAB"/>
    <w:rsid w:val="00532E98"/>
    <w:rsid w:val="00532F01"/>
    <w:rsid w:val="005330C9"/>
    <w:rsid w:val="00533155"/>
    <w:rsid w:val="005333A6"/>
    <w:rsid w:val="00533568"/>
    <w:rsid w:val="00533587"/>
    <w:rsid w:val="0053380F"/>
    <w:rsid w:val="00533937"/>
    <w:rsid w:val="00533BED"/>
    <w:rsid w:val="00533CE4"/>
    <w:rsid w:val="00533DFB"/>
    <w:rsid w:val="00533EAC"/>
    <w:rsid w:val="00533FED"/>
    <w:rsid w:val="00534094"/>
    <w:rsid w:val="00534147"/>
    <w:rsid w:val="00534208"/>
    <w:rsid w:val="00534248"/>
    <w:rsid w:val="005342B4"/>
    <w:rsid w:val="005342CB"/>
    <w:rsid w:val="005343DC"/>
    <w:rsid w:val="0053486A"/>
    <w:rsid w:val="0053490E"/>
    <w:rsid w:val="00534BA0"/>
    <w:rsid w:val="00534E0D"/>
    <w:rsid w:val="005351E5"/>
    <w:rsid w:val="005353AB"/>
    <w:rsid w:val="0053540E"/>
    <w:rsid w:val="00535538"/>
    <w:rsid w:val="005356C6"/>
    <w:rsid w:val="005357BD"/>
    <w:rsid w:val="00535BC1"/>
    <w:rsid w:val="00535CB1"/>
    <w:rsid w:val="00535CC1"/>
    <w:rsid w:val="00535EC8"/>
    <w:rsid w:val="00536014"/>
    <w:rsid w:val="0053624E"/>
    <w:rsid w:val="005362A5"/>
    <w:rsid w:val="00536336"/>
    <w:rsid w:val="005363A4"/>
    <w:rsid w:val="0053648E"/>
    <w:rsid w:val="0053652F"/>
    <w:rsid w:val="00536581"/>
    <w:rsid w:val="005365B2"/>
    <w:rsid w:val="005365E9"/>
    <w:rsid w:val="0053665C"/>
    <w:rsid w:val="00536683"/>
    <w:rsid w:val="005367C4"/>
    <w:rsid w:val="005369D9"/>
    <w:rsid w:val="00536C44"/>
    <w:rsid w:val="00536C4D"/>
    <w:rsid w:val="00536D9A"/>
    <w:rsid w:val="00536E2F"/>
    <w:rsid w:val="00536E35"/>
    <w:rsid w:val="00536E90"/>
    <w:rsid w:val="00536F8C"/>
    <w:rsid w:val="005371FC"/>
    <w:rsid w:val="00537282"/>
    <w:rsid w:val="005372C1"/>
    <w:rsid w:val="0053742C"/>
    <w:rsid w:val="005374DB"/>
    <w:rsid w:val="005375ED"/>
    <w:rsid w:val="0053761C"/>
    <w:rsid w:val="00537864"/>
    <w:rsid w:val="005378AE"/>
    <w:rsid w:val="00537907"/>
    <w:rsid w:val="00537923"/>
    <w:rsid w:val="005379AC"/>
    <w:rsid w:val="00537A8A"/>
    <w:rsid w:val="00537E1C"/>
    <w:rsid w:val="00537E93"/>
    <w:rsid w:val="005400AB"/>
    <w:rsid w:val="005403D7"/>
    <w:rsid w:val="005403E8"/>
    <w:rsid w:val="00540B26"/>
    <w:rsid w:val="00540CE1"/>
    <w:rsid w:val="00540D4C"/>
    <w:rsid w:val="00541002"/>
    <w:rsid w:val="0054107F"/>
    <w:rsid w:val="00541086"/>
    <w:rsid w:val="005410F6"/>
    <w:rsid w:val="0054117B"/>
    <w:rsid w:val="00541197"/>
    <w:rsid w:val="00541219"/>
    <w:rsid w:val="0054131D"/>
    <w:rsid w:val="00541327"/>
    <w:rsid w:val="005416DC"/>
    <w:rsid w:val="00541821"/>
    <w:rsid w:val="005418CB"/>
    <w:rsid w:val="00541984"/>
    <w:rsid w:val="005419B2"/>
    <w:rsid w:val="005419F7"/>
    <w:rsid w:val="00541A4A"/>
    <w:rsid w:val="00541B10"/>
    <w:rsid w:val="00541F08"/>
    <w:rsid w:val="00542159"/>
    <w:rsid w:val="00542351"/>
    <w:rsid w:val="0054252F"/>
    <w:rsid w:val="005425C3"/>
    <w:rsid w:val="005429EA"/>
    <w:rsid w:val="005429EB"/>
    <w:rsid w:val="00542A0C"/>
    <w:rsid w:val="00542CB4"/>
    <w:rsid w:val="00542EB2"/>
    <w:rsid w:val="00542F2A"/>
    <w:rsid w:val="00542FB4"/>
    <w:rsid w:val="005430DF"/>
    <w:rsid w:val="00543136"/>
    <w:rsid w:val="00543455"/>
    <w:rsid w:val="0054349A"/>
    <w:rsid w:val="0054354D"/>
    <w:rsid w:val="00543734"/>
    <w:rsid w:val="0054377C"/>
    <w:rsid w:val="0054380B"/>
    <w:rsid w:val="00543836"/>
    <w:rsid w:val="00543A5E"/>
    <w:rsid w:val="00543AA7"/>
    <w:rsid w:val="00543BB3"/>
    <w:rsid w:val="00543CA9"/>
    <w:rsid w:val="00543D1D"/>
    <w:rsid w:val="00543F23"/>
    <w:rsid w:val="00544084"/>
    <w:rsid w:val="005440BD"/>
    <w:rsid w:val="0054428A"/>
    <w:rsid w:val="005444D2"/>
    <w:rsid w:val="005446B4"/>
    <w:rsid w:val="0054479D"/>
    <w:rsid w:val="005448E3"/>
    <w:rsid w:val="00544A89"/>
    <w:rsid w:val="00544DA4"/>
    <w:rsid w:val="00544DED"/>
    <w:rsid w:val="00544EC7"/>
    <w:rsid w:val="005450BC"/>
    <w:rsid w:val="005450C0"/>
    <w:rsid w:val="005451D6"/>
    <w:rsid w:val="0054526B"/>
    <w:rsid w:val="005453B2"/>
    <w:rsid w:val="005454C0"/>
    <w:rsid w:val="005456D6"/>
    <w:rsid w:val="00545857"/>
    <w:rsid w:val="00545A89"/>
    <w:rsid w:val="00545AFD"/>
    <w:rsid w:val="00545B0F"/>
    <w:rsid w:val="00545B88"/>
    <w:rsid w:val="00545BCA"/>
    <w:rsid w:val="00545BE2"/>
    <w:rsid w:val="00545C2E"/>
    <w:rsid w:val="00545CD2"/>
    <w:rsid w:val="00545DF7"/>
    <w:rsid w:val="00545E23"/>
    <w:rsid w:val="00545E83"/>
    <w:rsid w:val="00545E99"/>
    <w:rsid w:val="00545F6B"/>
    <w:rsid w:val="00545FAB"/>
    <w:rsid w:val="005460DC"/>
    <w:rsid w:val="005461E9"/>
    <w:rsid w:val="00546216"/>
    <w:rsid w:val="005463AD"/>
    <w:rsid w:val="0054647B"/>
    <w:rsid w:val="005464B2"/>
    <w:rsid w:val="005465A4"/>
    <w:rsid w:val="00546605"/>
    <w:rsid w:val="005468E2"/>
    <w:rsid w:val="00546A73"/>
    <w:rsid w:val="00546A9A"/>
    <w:rsid w:val="00546B65"/>
    <w:rsid w:val="00546CF8"/>
    <w:rsid w:val="00546DC3"/>
    <w:rsid w:val="00546FC2"/>
    <w:rsid w:val="00546FEE"/>
    <w:rsid w:val="005470ED"/>
    <w:rsid w:val="0054742C"/>
    <w:rsid w:val="0054742D"/>
    <w:rsid w:val="0054745C"/>
    <w:rsid w:val="005474B3"/>
    <w:rsid w:val="005474CC"/>
    <w:rsid w:val="005476DD"/>
    <w:rsid w:val="005477C7"/>
    <w:rsid w:val="005477D7"/>
    <w:rsid w:val="005477F4"/>
    <w:rsid w:val="00547A6F"/>
    <w:rsid w:val="00547A97"/>
    <w:rsid w:val="00547D2A"/>
    <w:rsid w:val="00547E39"/>
    <w:rsid w:val="00550371"/>
    <w:rsid w:val="0055050B"/>
    <w:rsid w:val="00550537"/>
    <w:rsid w:val="005505B6"/>
    <w:rsid w:val="005506B2"/>
    <w:rsid w:val="00550866"/>
    <w:rsid w:val="005508EA"/>
    <w:rsid w:val="005509C1"/>
    <w:rsid w:val="00550A93"/>
    <w:rsid w:val="00550B86"/>
    <w:rsid w:val="00550FF7"/>
    <w:rsid w:val="00551009"/>
    <w:rsid w:val="005510A3"/>
    <w:rsid w:val="0055113E"/>
    <w:rsid w:val="0055117F"/>
    <w:rsid w:val="00551499"/>
    <w:rsid w:val="005514BA"/>
    <w:rsid w:val="00551546"/>
    <w:rsid w:val="005515AD"/>
    <w:rsid w:val="005515EC"/>
    <w:rsid w:val="005515ED"/>
    <w:rsid w:val="005515F0"/>
    <w:rsid w:val="005516CC"/>
    <w:rsid w:val="0055186E"/>
    <w:rsid w:val="00551941"/>
    <w:rsid w:val="00551B1F"/>
    <w:rsid w:val="00551C12"/>
    <w:rsid w:val="00551D08"/>
    <w:rsid w:val="00551F16"/>
    <w:rsid w:val="00551F62"/>
    <w:rsid w:val="00551FF3"/>
    <w:rsid w:val="00552008"/>
    <w:rsid w:val="00552137"/>
    <w:rsid w:val="0055231C"/>
    <w:rsid w:val="00552591"/>
    <w:rsid w:val="00552646"/>
    <w:rsid w:val="005527DA"/>
    <w:rsid w:val="005528EF"/>
    <w:rsid w:val="0055299E"/>
    <w:rsid w:val="00552CFE"/>
    <w:rsid w:val="00552D31"/>
    <w:rsid w:val="00552DFD"/>
    <w:rsid w:val="00552E82"/>
    <w:rsid w:val="00552F4C"/>
    <w:rsid w:val="00552F99"/>
    <w:rsid w:val="005530BA"/>
    <w:rsid w:val="005530D0"/>
    <w:rsid w:val="0055318B"/>
    <w:rsid w:val="0055320D"/>
    <w:rsid w:val="00553243"/>
    <w:rsid w:val="0055343A"/>
    <w:rsid w:val="00553652"/>
    <w:rsid w:val="00553667"/>
    <w:rsid w:val="005537C2"/>
    <w:rsid w:val="00553874"/>
    <w:rsid w:val="00553892"/>
    <w:rsid w:val="005538AC"/>
    <w:rsid w:val="00553BB2"/>
    <w:rsid w:val="00553C70"/>
    <w:rsid w:val="00553D92"/>
    <w:rsid w:val="00553F71"/>
    <w:rsid w:val="00553FA9"/>
    <w:rsid w:val="00554129"/>
    <w:rsid w:val="0055496F"/>
    <w:rsid w:val="00554982"/>
    <w:rsid w:val="00554E10"/>
    <w:rsid w:val="00554F6E"/>
    <w:rsid w:val="005550AB"/>
    <w:rsid w:val="00555108"/>
    <w:rsid w:val="005551B4"/>
    <w:rsid w:val="00555249"/>
    <w:rsid w:val="005553D4"/>
    <w:rsid w:val="005555DC"/>
    <w:rsid w:val="005556E7"/>
    <w:rsid w:val="00555701"/>
    <w:rsid w:val="00555A32"/>
    <w:rsid w:val="00555A6B"/>
    <w:rsid w:val="00555A75"/>
    <w:rsid w:val="00555CF2"/>
    <w:rsid w:val="00555D81"/>
    <w:rsid w:val="00555DCE"/>
    <w:rsid w:val="00555E36"/>
    <w:rsid w:val="00555F5A"/>
    <w:rsid w:val="00555FAA"/>
    <w:rsid w:val="0055601B"/>
    <w:rsid w:val="0055609E"/>
    <w:rsid w:val="005561F3"/>
    <w:rsid w:val="00556495"/>
    <w:rsid w:val="005564A3"/>
    <w:rsid w:val="00556601"/>
    <w:rsid w:val="0055671F"/>
    <w:rsid w:val="005568F8"/>
    <w:rsid w:val="00556929"/>
    <w:rsid w:val="0055692D"/>
    <w:rsid w:val="005569D6"/>
    <w:rsid w:val="00556A77"/>
    <w:rsid w:val="00556C54"/>
    <w:rsid w:val="00556DBB"/>
    <w:rsid w:val="00556F5B"/>
    <w:rsid w:val="005571E4"/>
    <w:rsid w:val="005571F2"/>
    <w:rsid w:val="005571F7"/>
    <w:rsid w:val="005572F5"/>
    <w:rsid w:val="005573C5"/>
    <w:rsid w:val="005573F2"/>
    <w:rsid w:val="00557653"/>
    <w:rsid w:val="0055770A"/>
    <w:rsid w:val="0055781A"/>
    <w:rsid w:val="00557ABB"/>
    <w:rsid w:val="00557F4B"/>
    <w:rsid w:val="005600FF"/>
    <w:rsid w:val="005601A4"/>
    <w:rsid w:val="00560207"/>
    <w:rsid w:val="0056051B"/>
    <w:rsid w:val="00560909"/>
    <w:rsid w:val="00560A1A"/>
    <w:rsid w:val="00560B33"/>
    <w:rsid w:val="00560C23"/>
    <w:rsid w:val="00560D86"/>
    <w:rsid w:val="00560E0D"/>
    <w:rsid w:val="00560F73"/>
    <w:rsid w:val="00561189"/>
    <w:rsid w:val="00561227"/>
    <w:rsid w:val="0056138D"/>
    <w:rsid w:val="005617B5"/>
    <w:rsid w:val="005618B4"/>
    <w:rsid w:val="00561915"/>
    <w:rsid w:val="00561AC6"/>
    <w:rsid w:val="00561BA4"/>
    <w:rsid w:val="00561E58"/>
    <w:rsid w:val="0056201D"/>
    <w:rsid w:val="00562035"/>
    <w:rsid w:val="00562159"/>
    <w:rsid w:val="00562170"/>
    <w:rsid w:val="005621AB"/>
    <w:rsid w:val="005623F0"/>
    <w:rsid w:val="00562420"/>
    <w:rsid w:val="0056244F"/>
    <w:rsid w:val="005624EE"/>
    <w:rsid w:val="0056268F"/>
    <w:rsid w:val="005626DD"/>
    <w:rsid w:val="005627F8"/>
    <w:rsid w:val="00562A87"/>
    <w:rsid w:val="00562BEB"/>
    <w:rsid w:val="00562C39"/>
    <w:rsid w:val="00562F1A"/>
    <w:rsid w:val="00562F5E"/>
    <w:rsid w:val="00562F7D"/>
    <w:rsid w:val="005633A0"/>
    <w:rsid w:val="0056342D"/>
    <w:rsid w:val="00563438"/>
    <w:rsid w:val="00563553"/>
    <w:rsid w:val="0056389A"/>
    <w:rsid w:val="005638B7"/>
    <w:rsid w:val="005639C3"/>
    <w:rsid w:val="00563B2A"/>
    <w:rsid w:val="00563B73"/>
    <w:rsid w:val="00563D08"/>
    <w:rsid w:val="0056451E"/>
    <w:rsid w:val="005646BF"/>
    <w:rsid w:val="005646C6"/>
    <w:rsid w:val="005647DB"/>
    <w:rsid w:val="00564BF3"/>
    <w:rsid w:val="00564D2E"/>
    <w:rsid w:val="00564E82"/>
    <w:rsid w:val="00564F8E"/>
    <w:rsid w:val="00565145"/>
    <w:rsid w:val="00565207"/>
    <w:rsid w:val="00565286"/>
    <w:rsid w:val="005653B0"/>
    <w:rsid w:val="005653C7"/>
    <w:rsid w:val="005655CA"/>
    <w:rsid w:val="00565759"/>
    <w:rsid w:val="005657C9"/>
    <w:rsid w:val="0056585F"/>
    <w:rsid w:val="00565B73"/>
    <w:rsid w:val="00565CA9"/>
    <w:rsid w:val="00565D68"/>
    <w:rsid w:val="00565DEB"/>
    <w:rsid w:val="00565DFA"/>
    <w:rsid w:val="005660FD"/>
    <w:rsid w:val="0056626F"/>
    <w:rsid w:val="0056637F"/>
    <w:rsid w:val="005663BE"/>
    <w:rsid w:val="005663C4"/>
    <w:rsid w:val="00566494"/>
    <w:rsid w:val="0056661D"/>
    <w:rsid w:val="00566635"/>
    <w:rsid w:val="005668C9"/>
    <w:rsid w:val="005668F0"/>
    <w:rsid w:val="00566ED4"/>
    <w:rsid w:val="00566FD1"/>
    <w:rsid w:val="00566FE4"/>
    <w:rsid w:val="0056732E"/>
    <w:rsid w:val="00567362"/>
    <w:rsid w:val="005673B2"/>
    <w:rsid w:val="005673C8"/>
    <w:rsid w:val="005675A8"/>
    <w:rsid w:val="005675BF"/>
    <w:rsid w:val="00567609"/>
    <w:rsid w:val="0056765E"/>
    <w:rsid w:val="00567729"/>
    <w:rsid w:val="00567744"/>
    <w:rsid w:val="005678BF"/>
    <w:rsid w:val="00567AC1"/>
    <w:rsid w:val="00567B70"/>
    <w:rsid w:val="00567BBF"/>
    <w:rsid w:val="00567C29"/>
    <w:rsid w:val="00567C31"/>
    <w:rsid w:val="00567C57"/>
    <w:rsid w:val="00567D68"/>
    <w:rsid w:val="00567D86"/>
    <w:rsid w:val="00567E1B"/>
    <w:rsid w:val="00567E33"/>
    <w:rsid w:val="00567F8A"/>
    <w:rsid w:val="00570092"/>
    <w:rsid w:val="00570622"/>
    <w:rsid w:val="00570696"/>
    <w:rsid w:val="00570871"/>
    <w:rsid w:val="005709E2"/>
    <w:rsid w:val="00570A63"/>
    <w:rsid w:val="00570AAB"/>
    <w:rsid w:val="00570AE0"/>
    <w:rsid w:val="00570B8B"/>
    <w:rsid w:val="00571000"/>
    <w:rsid w:val="005713A4"/>
    <w:rsid w:val="00571411"/>
    <w:rsid w:val="005714E1"/>
    <w:rsid w:val="00571624"/>
    <w:rsid w:val="00571A84"/>
    <w:rsid w:val="00571C30"/>
    <w:rsid w:val="00571CDE"/>
    <w:rsid w:val="00571D93"/>
    <w:rsid w:val="00572055"/>
    <w:rsid w:val="00572076"/>
    <w:rsid w:val="00572106"/>
    <w:rsid w:val="005721CD"/>
    <w:rsid w:val="00572345"/>
    <w:rsid w:val="00572384"/>
    <w:rsid w:val="00572449"/>
    <w:rsid w:val="005724EF"/>
    <w:rsid w:val="005725CC"/>
    <w:rsid w:val="00572891"/>
    <w:rsid w:val="00572914"/>
    <w:rsid w:val="00572A89"/>
    <w:rsid w:val="00572BBD"/>
    <w:rsid w:val="00572E9D"/>
    <w:rsid w:val="00573018"/>
    <w:rsid w:val="00573388"/>
    <w:rsid w:val="00573393"/>
    <w:rsid w:val="005733F3"/>
    <w:rsid w:val="0057358D"/>
    <w:rsid w:val="0057395A"/>
    <w:rsid w:val="00573B39"/>
    <w:rsid w:val="00573C52"/>
    <w:rsid w:val="00573EAE"/>
    <w:rsid w:val="00573F8B"/>
    <w:rsid w:val="00573FEE"/>
    <w:rsid w:val="00574164"/>
    <w:rsid w:val="005742E1"/>
    <w:rsid w:val="005743EE"/>
    <w:rsid w:val="0057465C"/>
    <w:rsid w:val="005747A9"/>
    <w:rsid w:val="0057483D"/>
    <w:rsid w:val="005748B4"/>
    <w:rsid w:val="0057498E"/>
    <w:rsid w:val="00574B6D"/>
    <w:rsid w:val="00574D5D"/>
    <w:rsid w:val="00574D6A"/>
    <w:rsid w:val="00574F2C"/>
    <w:rsid w:val="00575244"/>
    <w:rsid w:val="00575257"/>
    <w:rsid w:val="005752AF"/>
    <w:rsid w:val="00575514"/>
    <w:rsid w:val="00575748"/>
    <w:rsid w:val="005757CF"/>
    <w:rsid w:val="00575ADF"/>
    <w:rsid w:val="00575B4F"/>
    <w:rsid w:val="00575CB3"/>
    <w:rsid w:val="00575D6D"/>
    <w:rsid w:val="00575E14"/>
    <w:rsid w:val="00575F81"/>
    <w:rsid w:val="00576005"/>
    <w:rsid w:val="005760D5"/>
    <w:rsid w:val="005762BC"/>
    <w:rsid w:val="005763FF"/>
    <w:rsid w:val="00576557"/>
    <w:rsid w:val="00576706"/>
    <w:rsid w:val="0057677B"/>
    <w:rsid w:val="00576872"/>
    <w:rsid w:val="00576994"/>
    <w:rsid w:val="00576A01"/>
    <w:rsid w:val="00576A47"/>
    <w:rsid w:val="00576A5C"/>
    <w:rsid w:val="00576BC8"/>
    <w:rsid w:val="00576C0E"/>
    <w:rsid w:val="00576DE8"/>
    <w:rsid w:val="00576F35"/>
    <w:rsid w:val="0057702A"/>
    <w:rsid w:val="00577109"/>
    <w:rsid w:val="0057737C"/>
    <w:rsid w:val="005773A4"/>
    <w:rsid w:val="005773AC"/>
    <w:rsid w:val="0057740A"/>
    <w:rsid w:val="0057744B"/>
    <w:rsid w:val="005775AF"/>
    <w:rsid w:val="00577679"/>
    <w:rsid w:val="005777EC"/>
    <w:rsid w:val="0057781B"/>
    <w:rsid w:val="00577DBD"/>
    <w:rsid w:val="00577DDB"/>
    <w:rsid w:val="00577E76"/>
    <w:rsid w:val="00577E8C"/>
    <w:rsid w:val="005800B5"/>
    <w:rsid w:val="005800D0"/>
    <w:rsid w:val="00580264"/>
    <w:rsid w:val="005803B2"/>
    <w:rsid w:val="005807F0"/>
    <w:rsid w:val="00580837"/>
    <w:rsid w:val="005809C8"/>
    <w:rsid w:val="00580AAE"/>
    <w:rsid w:val="00580B42"/>
    <w:rsid w:val="00580B6D"/>
    <w:rsid w:val="00580D9A"/>
    <w:rsid w:val="00580DB9"/>
    <w:rsid w:val="00580E22"/>
    <w:rsid w:val="00580E7A"/>
    <w:rsid w:val="00580E8B"/>
    <w:rsid w:val="00580F31"/>
    <w:rsid w:val="00580F74"/>
    <w:rsid w:val="005810CD"/>
    <w:rsid w:val="00581246"/>
    <w:rsid w:val="0058124C"/>
    <w:rsid w:val="00581286"/>
    <w:rsid w:val="00581314"/>
    <w:rsid w:val="005813C0"/>
    <w:rsid w:val="0058146C"/>
    <w:rsid w:val="005814AC"/>
    <w:rsid w:val="005815B2"/>
    <w:rsid w:val="005815CB"/>
    <w:rsid w:val="005816EC"/>
    <w:rsid w:val="00581CE8"/>
    <w:rsid w:val="00581FAE"/>
    <w:rsid w:val="00582058"/>
    <w:rsid w:val="005821E6"/>
    <w:rsid w:val="00582216"/>
    <w:rsid w:val="005822DC"/>
    <w:rsid w:val="0058278F"/>
    <w:rsid w:val="00582A75"/>
    <w:rsid w:val="00582ACB"/>
    <w:rsid w:val="00582B42"/>
    <w:rsid w:val="00582BDD"/>
    <w:rsid w:val="00582C03"/>
    <w:rsid w:val="00582F03"/>
    <w:rsid w:val="00582FFD"/>
    <w:rsid w:val="00583036"/>
    <w:rsid w:val="005830BD"/>
    <w:rsid w:val="00583433"/>
    <w:rsid w:val="00583814"/>
    <w:rsid w:val="0058389E"/>
    <w:rsid w:val="00583BC7"/>
    <w:rsid w:val="00583E81"/>
    <w:rsid w:val="00583F11"/>
    <w:rsid w:val="0058414E"/>
    <w:rsid w:val="005842C3"/>
    <w:rsid w:val="00584326"/>
    <w:rsid w:val="00584484"/>
    <w:rsid w:val="005844B5"/>
    <w:rsid w:val="005844E6"/>
    <w:rsid w:val="005844F2"/>
    <w:rsid w:val="00584567"/>
    <w:rsid w:val="0058457C"/>
    <w:rsid w:val="005845EA"/>
    <w:rsid w:val="005846FE"/>
    <w:rsid w:val="00584864"/>
    <w:rsid w:val="005848FA"/>
    <w:rsid w:val="005849C2"/>
    <w:rsid w:val="00584A55"/>
    <w:rsid w:val="00584CEB"/>
    <w:rsid w:val="00584D54"/>
    <w:rsid w:val="00585321"/>
    <w:rsid w:val="00585327"/>
    <w:rsid w:val="0058540A"/>
    <w:rsid w:val="00585467"/>
    <w:rsid w:val="005855D9"/>
    <w:rsid w:val="005855E2"/>
    <w:rsid w:val="00585644"/>
    <w:rsid w:val="00585926"/>
    <w:rsid w:val="00585947"/>
    <w:rsid w:val="00585976"/>
    <w:rsid w:val="00585A42"/>
    <w:rsid w:val="00585B8B"/>
    <w:rsid w:val="00585C68"/>
    <w:rsid w:val="00585D4D"/>
    <w:rsid w:val="00585E01"/>
    <w:rsid w:val="00585F51"/>
    <w:rsid w:val="00585F73"/>
    <w:rsid w:val="00585FE8"/>
    <w:rsid w:val="00586244"/>
    <w:rsid w:val="0058625F"/>
    <w:rsid w:val="00586338"/>
    <w:rsid w:val="005863D4"/>
    <w:rsid w:val="0058644E"/>
    <w:rsid w:val="005864AE"/>
    <w:rsid w:val="0058655F"/>
    <w:rsid w:val="005865D6"/>
    <w:rsid w:val="00586705"/>
    <w:rsid w:val="00586708"/>
    <w:rsid w:val="00586A11"/>
    <w:rsid w:val="00586A3C"/>
    <w:rsid w:val="00586ADE"/>
    <w:rsid w:val="00586B0B"/>
    <w:rsid w:val="00586B75"/>
    <w:rsid w:val="00586F0A"/>
    <w:rsid w:val="00587030"/>
    <w:rsid w:val="005872D7"/>
    <w:rsid w:val="0058733F"/>
    <w:rsid w:val="0058735F"/>
    <w:rsid w:val="0058736B"/>
    <w:rsid w:val="00587378"/>
    <w:rsid w:val="005878D3"/>
    <w:rsid w:val="00587A63"/>
    <w:rsid w:val="00587BCE"/>
    <w:rsid w:val="00587F7F"/>
    <w:rsid w:val="00590154"/>
    <w:rsid w:val="00590173"/>
    <w:rsid w:val="005903E1"/>
    <w:rsid w:val="0059046E"/>
    <w:rsid w:val="00590692"/>
    <w:rsid w:val="0059072E"/>
    <w:rsid w:val="00590757"/>
    <w:rsid w:val="005909FB"/>
    <w:rsid w:val="00590C0E"/>
    <w:rsid w:val="00590E0A"/>
    <w:rsid w:val="00590E75"/>
    <w:rsid w:val="00590F49"/>
    <w:rsid w:val="005911E2"/>
    <w:rsid w:val="00591386"/>
    <w:rsid w:val="005913DD"/>
    <w:rsid w:val="00591550"/>
    <w:rsid w:val="00591601"/>
    <w:rsid w:val="00591623"/>
    <w:rsid w:val="0059168C"/>
    <w:rsid w:val="005919F5"/>
    <w:rsid w:val="00591CEA"/>
    <w:rsid w:val="00591D94"/>
    <w:rsid w:val="00591DE6"/>
    <w:rsid w:val="00591DEC"/>
    <w:rsid w:val="00591E9C"/>
    <w:rsid w:val="00591ED6"/>
    <w:rsid w:val="00592152"/>
    <w:rsid w:val="0059219D"/>
    <w:rsid w:val="0059248E"/>
    <w:rsid w:val="00592739"/>
    <w:rsid w:val="005927BF"/>
    <w:rsid w:val="00592831"/>
    <w:rsid w:val="00592915"/>
    <w:rsid w:val="005929E0"/>
    <w:rsid w:val="00592B12"/>
    <w:rsid w:val="00592B7A"/>
    <w:rsid w:val="00592F50"/>
    <w:rsid w:val="00592F7F"/>
    <w:rsid w:val="00592FBF"/>
    <w:rsid w:val="005931BB"/>
    <w:rsid w:val="00593220"/>
    <w:rsid w:val="00593289"/>
    <w:rsid w:val="005932FC"/>
    <w:rsid w:val="005933BF"/>
    <w:rsid w:val="0059342B"/>
    <w:rsid w:val="005934D3"/>
    <w:rsid w:val="00593665"/>
    <w:rsid w:val="005937A9"/>
    <w:rsid w:val="005938A6"/>
    <w:rsid w:val="005939D8"/>
    <w:rsid w:val="00593B3B"/>
    <w:rsid w:val="00593C48"/>
    <w:rsid w:val="00593CAC"/>
    <w:rsid w:val="00593D7A"/>
    <w:rsid w:val="00593DB2"/>
    <w:rsid w:val="00593E3B"/>
    <w:rsid w:val="005940B2"/>
    <w:rsid w:val="0059415E"/>
    <w:rsid w:val="005941EC"/>
    <w:rsid w:val="005942EA"/>
    <w:rsid w:val="005943B2"/>
    <w:rsid w:val="00594479"/>
    <w:rsid w:val="00594589"/>
    <w:rsid w:val="005945C6"/>
    <w:rsid w:val="0059468A"/>
    <w:rsid w:val="005948DD"/>
    <w:rsid w:val="00594938"/>
    <w:rsid w:val="00594B21"/>
    <w:rsid w:val="00594B9E"/>
    <w:rsid w:val="00594C12"/>
    <w:rsid w:val="00594DB6"/>
    <w:rsid w:val="00594E66"/>
    <w:rsid w:val="00594F40"/>
    <w:rsid w:val="00594F91"/>
    <w:rsid w:val="005950B5"/>
    <w:rsid w:val="005950DD"/>
    <w:rsid w:val="005950EC"/>
    <w:rsid w:val="00595194"/>
    <w:rsid w:val="00595266"/>
    <w:rsid w:val="00595329"/>
    <w:rsid w:val="0059533F"/>
    <w:rsid w:val="00595498"/>
    <w:rsid w:val="00595501"/>
    <w:rsid w:val="00595669"/>
    <w:rsid w:val="00595776"/>
    <w:rsid w:val="0059582C"/>
    <w:rsid w:val="00595851"/>
    <w:rsid w:val="005958A0"/>
    <w:rsid w:val="005958B5"/>
    <w:rsid w:val="005958F4"/>
    <w:rsid w:val="0059594D"/>
    <w:rsid w:val="00595AD5"/>
    <w:rsid w:val="00595B79"/>
    <w:rsid w:val="00595D0C"/>
    <w:rsid w:val="00595D57"/>
    <w:rsid w:val="0059607F"/>
    <w:rsid w:val="00596282"/>
    <w:rsid w:val="00596320"/>
    <w:rsid w:val="00596323"/>
    <w:rsid w:val="005963E7"/>
    <w:rsid w:val="00596547"/>
    <w:rsid w:val="00596581"/>
    <w:rsid w:val="00596584"/>
    <w:rsid w:val="00596635"/>
    <w:rsid w:val="005967C6"/>
    <w:rsid w:val="00596C65"/>
    <w:rsid w:val="00596C6B"/>
    <w:rsid w:val="00596D51"/>
    <w:rsid w:val="00596EC6"/>
    <w:rsid w:val="00596F63"/>
    <w:rsid w:val="00596F96"/>
    <w:rsid w:val="00596FC7"/>
    <w:rsid w:val="005970CF"/>
    <w:rsid w:val="005972BC"/>
    <w:rsid w:val="0059743F"/>
    <w:rsid w:val="005974B4"/>
    <w:rsid w:val="005975F3"/>
    <w:rsid w:val="00597630"/>
    <w:rsid w:val="005976C1"/>
    <w:rsid w:val="005976D8"/>
    <w:rsid w:val="00597745"/>
    <w:rsid w:val="005977C9"/>
    <w:rsid w:val="005979D9"/>
    <w:rsid w:val="00597AAA"/>
    <w:rsid w:val="00597AFD"/>
    <w:rsid w:val="00597BE1"/>
    <w:rsid w:val="00597BF8"/>
    <w:rsid w:val="00597DC5"/>
    <w:rsid w:val="005A0087"/>
    <w:rsid w:val="005A0376"/>
    <w:rsid w:val="005A0391"/>
    <w:rsid w:val="005A040A"/>
    <w:rsid w:val="005A0453"/>
    <w:rsid w:val="005A0497"/>
    <w:rsid w:val="005A06C2"/>
    <w:rsid w:val="005A08EC"/>
    <w:rsid w:val="005A098E"/>
    <w:rsid w:val="005A09F2"/>
    <w:rsid w:val="005A0A8C"/>
    <w:rsid w:val="005A0C5C"/>
    <w:rsid w:val="005A0C87"/>
    <w:rsid w:val="005A0D28"/>
    <w:rsid w:val="005A0E22"/>
    <w:rsid w:val="005A0E54"/>
    <w:rsid w:val="005A0EE0"/>
    <w:rsid w:val="005A0FE3"/>
    <w:rsid w:val="005A1078"/>
    <w:rsid w:val="005A1244"/>
    <w:rsid w:val="005A15C3"/>
    <w:rsid w:val="005A16F8"/>
    <w:rsid w:val="005A177F"/>
    <w:rsid w:val="005A17CB"/>
    <w:rsid w:val="005A1896"/>
    <w:rsid w:val="005A18B1"/>
    <w:rsid w:val="005A197B"/>
    <w:rsid w:val="005A1A63"/>
    <w:rsid w:val="005A1AF1"/>
    <w:rsid w:val="005A1B86"/>
    <w:rsid w:val="005A1DA3"/>
    <w:rsid w:val="005A1EFB"/>
    <w:rsid w:val="005A2029"/>
    <w:rsid w:val="005A20C4"/>
    <w:rsid w:val="005A2156"/>
    <w:rsid w:val="005A242B"/>
    <w:rsid w:val="005A2682"/>
    <w:rsid w:val="005A26FF"/>
    <w:rsid w:val="005A279A"/>
    <w:rsid w:val="005A28B0"/>
    <w:rsid w:val="005A28E8"/>
    <w:rsid w:val="005A298F"/>
    <w:rsid w:val="005A299F"/>
    <w:rsid w:val="005A2B7C"/>
    <w:rsid w:val="005A2D21"/>
    <w:rsid w:val="005A2D6B"/>
    <w:rsid w:val="005A2EEF"/>
    <w:rsid w:val="005A2FC8"/>
    <w:rsid w:val="005A2FF8"/>
    <w:rsid w:val="005A30B1"/>
    <w:rsid w:val="005A324B"/>
    <w:rsid w:val="005A3279"/>
    <w:rsid w:val="005A33A7"/>
    <w:rsid w:val="005A344B"/>
    <w:rsid w:val="005A37B0"/>
    <w:rsid w:val="005A3C38"/>
    <w:rsid w:val="005A3DC0"/>
    <w:rsid w:val="005A3ED5"/>
    <w:rsid w:val="005A3F2C"/>
    <w:rsid w:val="005A42E7"/>
    <w:rsid w:val="005A4449"/>
    <w:rsid w:val="005A4485"/>
    <w:rsid w:val="005A472F"/>
    <w:rsid w:val="005A4917"/>
    <w:rsid w:val="005A4970"/>
    <w:rsid w:val="005A4CF7"/>
    <w:rsid w:val="005A4D48"/>
    <w:rsid w:val="005A4EDD"/>
    <w:rsid w:val="005A5048"/>
    <w:rsid w:val="005A53E2"/>
    <w:rsid w:val="005A54DB"/>
    <w:rsid w:val="005A56F0"/>
    <w:rsid w:val="005A585E"/>
    <w:rsid w:val="005A5935"/>
    <w:rsid w:val="005A59D4"/>
    <w:rsid w:val="005A5B18"/>
    <w:rsid w:val="005A5DA3"/>
    <w:rsid w:val="005A5E1A"/>
    <w:rsid w:val="005A5F3F"/>
    <w:rsid w:val="005A5F7E"/>
    <w:rsid w:val="005A6063"/>
    <w:rsid w:val="005A6071"/>
    <w:rsid w:val="005A6112"/>
    <w:rsid w:val="005A62D9"/>
    <w:rsid w:val="005A631A"/>
    <w:rsid w:val="005A643F"/>
    <w:rsid w:val="005A66AB"/>
    <w:rsid w:val="005A676C"/>
    <w:rsid w:val="005A680C"/>
    <w:rsid w:val="005A689B"/>
    <w:rsid w:val="005A69C9"/>
    <w:rsid w:val="005A6A21"/>
    <w:rsid w:val="005A6AA5"/>
    <w:rsid w:val="005A6B1E"/>
    <w:rsid w:val="005A6C66"/>
    <w:rsid w:val="005A7131"/>
    <w:rsid w:val="005A75AC"/>
    <w:rsid w:val="005A7622"/>
    <w:rsid w:val="005A76B5"/>
    <w:rsid w:val="005A77D5"/>
    <w:rsid w:val="005A788B"/>
    <w:rsid w:val="005A7AC7"/>
    <w:rsid w:val="005A7C46"/>
    <w:rsid w:val="005A7C48"/>
    <w:rsid w:val="005A7CDE"/>
    <w:rsid w:val="005A7D00"/>
    <w:rsid w:val="005A7E17"/>
    <w:rsid w:val="005A7F0C"/>
    <w:rsid w:val="005A93AD"/>
    <w:rsid w:val="005A966D"/>
    <w:rsid w:val="005B0119"/>
    <w:rsid w:val="005B011F"/>
    <w:rsid w:val="005B03C1"/>
    <w:rsid w:val="005B0477"/>
    <w:rsid w:val="005B051F"/>
    <w:rsid w:val="005B0656"/>
    <w:rsid w:val="005B0783"/>
    <w:rsid w:val="005B091C"/>
    <w:rsid w:val="005B0AB1"/>
    <w:rsid w:val="005B0B98"/>
    <w:rsid w:val="005B0D8D"/>
    <w:rsid w:val="005B0F58"/>
    <w:rsid w:val="005B1172"/>
    <w:rsid w:val="005B11A2"/>
    <w:rsid w:val="005B1231"/>
    <w:rsid w:val="005B128C"/>
    <w:rsid w:val="005B1424"/>
    <w:rsid w:val="005B1455"/>
    <w:rsid w:val="005B159E"/>
    <w:rsid w:val="005B1695"/>
    <w:rsid w:val="005B16E1"/>
    <w:rsid w:val="005B1A31"/>
    <w:rsid w:val="005B1A75"/>
    <w:rsid w:val="005B1B12"/>
    <w:rsid w:val="005B1C08"/>
    <w:rsid w:val="005B1C0E"/>
    <w:rsid w:val="005B1C47"/>
    <w:rsid w:val="005B1CE0"/>
    <w:rsid w:val="005B1E7D"/>
    <w:rsid w:val="005B1E8D"/>
    <w:rsid w:val="005B1F5B"/>
    <w:rsid w:val="005B20CB"/>
    <w:rsid w:val="005B2151"/>
    <w:rsid w:val="005B225A"/>
    <w:rsid w:val="005B22A1"/>
    <w:rsid w:val="005B23D1"/>
    <w:rsid w:val="005B24C4"/>
    <w:rsid w:val="005B265B"/>
    <w:rsid w:val="005B2749"/>
    <w:rsid w:val="005B27E9"/>
    <w:rsid w:val="005B29C0"/>
    <w:rsid w:val="005B2FDF"/>
    <w:rsid w:val="005B330D"/>
    <w:rsid w:val="005B3523"/>
    <w:rsid w:val="005B3547"/>
    <w:rsid w:val="005B3602"/>
    <w:rsid w:val="005B3710"/>
    <w:rsid w:val="005B3A51"/>
    <w:rsid w:val="005B3BEA"/>
    <w:rsid w:val="005B3BFE"/>
    <w:rsid w:val="005B3C9E"/>
    <w:rsid w:val="005B3CDC"/>
    <w:rsid w:val="005B3CEC"/>
    <w:rsid w:val="005B3CF1"/>
    <w:rsid w:val="005B3DCD"/>
    <w:rsid w:val="005B4063"/>
    <w:rsid w:val="005B4075"/>
    <w:rsid w:val="005B40AF"/>
    <w:rsid w:val="005B410F"/>
    <w:rsid w:val="005B417A"/>
    <w:rsid w:val="005B4293"/>
    <w:rsid w:val="005B4493"/>
    <w:rsid w:val="005B45DE"/>
    <w:rsid w:val="005B4631"/>
    <w:rsid w:val="005B49F2"/>
    <w:rsid w:val="005B4B75"/>
    <w:rsid w:val="005B4D80"/>
    <w:rsid w:val="005B4E27"/>
    <w:rsid w:val="005B5061"/>
    <w:rsid w:val="005B50A1"/>
    <w:rsid w:val="005B5141"/>
    <w:rsid w:val="005B51DA"/>
    <w:rsid w:val="005B528D"/>
    <w:rsid w:val="005B5440"/>
    <w:rsid w:val="005B5621"/>
    <w:rsid w:val="005B5666"/>
    <w:rsid w:val="005B5674"/>
    <w:rsid w:val="005B58AA"/>
    <w:rsid w:val="005B58E0"/>
    <w:rsid w:val="005B59E8"/>
    <w:rsid w:val="005B5A9B"/>
    <w:rsid w:val="005B5B13"/>
    <w:rsid w:val="005B5CF1"/>
    <w:rsid w:val="005B5D12"/>
    <w:rsid w:val="005B5E30"/>
    <w:rsid w:val="005B5E90"/>
    <w:rsid w:val="005B6058"/>
    <w:rsid w:val="005B61A6"/>
    <w:rsid w:val="005B627E"/>
    <w:rsid w:val="005B62A2"/>
    <w:rsid w:val="005B64A6"/>
    <w:rsid w:val="005B6556"/>
    <w:rsid w:val="005B6607"/>
    <w:rsid w:val="005B6637"/>
    <w:rsid w:val="005B666D"/>
    <w:rsid w:val="005B692F"/>
    <w:rsid w:val="005B6A4B"/>
    <w:rsid w:val="005B6B12"/>
    <w:rsid w:val="005B6B33"/>
    <w:rsid w:val="005B6E22"/>
    <w:rsid w:val="005B6E8D"/>
    <w:rsid w:val="005B6F3F"/>
    <w:rsid w:val="005B70A3"/>
    <w:rsid w:val="005B7128"/>
    <w:rsid w:val="005B7175"/>
    <w:rsid w:val="005B7206"/>
    <w:rsid w:val="005B73BC"/>
    <w:rsid w:val="005B7729"/>
    <w:rsid w:val="005B7804"/>
    <w:rsid w:val="005B7980"/>
    <w:rsid w:val="005B79B6"/>
    <w:rsid w:val="005B79C9"/>
    <w:rsid w:val="005B7A57"/>
    <w:rsid w:val="005B7B5C"/>
    <w:rsid w:val="005B7C16"/>
    <w:rsid w:val="005B7DC4"/>
    <w:rsid w:val="005B7DC7"/>
    <w:rsid w:val="005B7E97"/>
    <w:rsid w:val="005B7F97"/>
    <w:rsid w:val="005B7FBA"/>
    <w:rsid w:val="005C0076"/>
    <w:rsid w:val="005C0145"/>
    <w:rsid w:val="005C0158"/>
    <w:rsid w:val="005C01AB"/>
    <w:rsid w:val="005C036A"/>
    <w:rsid w:val="005C0460"/>
    <w:rsid w:val="005C0551"/>
    <w:rsid w:val="005C0602"/>
    <w:rsid w:val="005C067C"/>
    <w:rsid w:val="005C06A0"/>
    <w:rsid w:val="005C08BC"/>
    <w:rsid w:val="005C094D"/>
    <w:rsid w:val="005C0B31"/>
    <w:rsid w:val="005C0B57"/>
    <w:rsid w:val="005C0CB0"/>
    <w:rsid w:val="005C0D96"/>
    <w:rsid w:val="005C10BB"/>
    <w:rsid w:val="005C12E4"/>
    <w:rsid w:val="005C131B"/>
    <w:rsid w:val="005C13D6"/>
    <w:rsid w:val="005C13EF"/>
    <w:rsid w:val="005C13F8"/>
    <w:rsid w:val="005C15A2"/>
    <w:rsid w:val="005C180C"/>
    <w:rsid w:val="005C189F"/>
    <w:rsid w:val="005C18A5"/>
    <w:rsid w:val="005C1ABE"/>
    <w:rsid w:val="005C1C6A"/>
    <w:rsid w:val="005C1D82"/>
    <w:rsid w:val="005C1DE0"/>
    <w:rsid w:val="005C1F6D"/>
    <w:rsid w:val="005C1F72"/>
    <w:rsid w:val="005C2069"/>
    <w:rsid w:val="005C22E0"/>
    <w:rsid w:val="005C2321"/>
    <w:rsid w:val="005C2422"/>
    <w:rsid w:val="005C257A"/>
    <w:rsid w:val="005C29D0"/>
    <w:rsid w:val="005C2EE3"/>
    <w:rsid w:val="005C306F"/>
    <w:rsid w:val="005C308F"/>
    <w:rsid w:val="005C3105"/>
    <w:rsid w:val="005C31B4"/>
    <w:rsid w:val="005C3352"/>
    <w:rsid w:val="005C34CB"/>
    <w:rsid w:val="005C35F8"/>
    <w:rsid w:val="005C36D8"/>
    <w:rsid w:val="005C37EF"/>
    <w:rsid w:val="005C3833"/>
    <w:rsid w:val="005C3984"/>
    <w:rsid w:val="005C39B5"/>
    <w:rsid w:val="005C3A4F"/>
    <w:rsid w:val="005C3BEF"/>
    <w:rsid w:val="005C3F45"/>
    <w:rsid w:val="005C4097"/>
    <w:rsid w:val="005C41D5"/>
    <w:rsid w:val="005C4462"/>
    <w:rsid w:val="005C44FC"/>
    <w:rsid w:val="005C45D0"/>
    <w:rsid w:val="005C46F4"/>
    <w:rsid w:val="005C487B"/>
    <w:rsid w:val="005C4947"/>
    <w:rsid w:val="005C4C91"/>
    <w:rsid w:val="005C4E53"/>
    <w:rsid w:val="005C52F5"/>
    <w:rsid w:val="005C5471"/>
    <w:rsid w:val="005C59E3"/>
    <w:rsid w:val="005C5B55"/>
    <w:rsid w:val="005C5B6E"/>
    <w:rsid w:val="005C5E82"/>
    <w:rsid w:val="005C6072"/>
    <w:rsid w:val="005C6335"/>
    <w:rsid w:val="005C642E"/>
    <w:rsid w:val="005C6442"/>
    <w:rsid w:val="005C6453"/>
    <w:rsid w:val="005C65AC"/>
    <w:rsid w:val="005C65B4"/>
    <w:rsid w:val="005C67A8"/>
    <w:rsid w:val="005C686D"/>
    <w:rsid w:val="005C686F"/>
    <w:rsid w:val="005C6877"/>
    <w:rsid w:val="005C68D0"/>
    <w:rsid w:val="005C694B"/>
    <w:rsid w:val="005C69BD"/>
    <w:rsid w:val="005C6A73"/>
    <w:rsid w:val="005C7066"/>
    <w:rsid w:val="005C74B3"/>
    <w:rsid w:val="005C74E6"/>
    <w:rsid w:val="005C75C3"/>
    <w:rsid w:val="005C7820"/>
    <w:rsid w:val="005C7BBE"/>
    <w:rsid w:val="005C7BD2"/>
    <w:rsid w:val="005C7CA1"/>
    <w:rsid w:val="005C7DF9"/>
    <w:rsid w:val="005C7EF3"/>
    <w:rsid w:val="005D0029"/>
    <w:rsid w:val="005D002D"/>
    <w:rsid w:val="005D014B"/>
    <w:rsid w:val="005D01B9"/>
    <w:rsid w:val="005D02BA"/>
    <w:rsid w:val="005D0428"/>
    <w:rsid w:val="005D073E"/>
    <w:rsid w:val="005D0840"/>
    <w:rsid w:val="005D0957"/>
    <w:rsid w:val="005D09A5"/>
    <w:rsid w:val="005D0DCD"/>
    <w:rsid w:val="005D0EB1"/>
    <w:rsid w:val="005D0F18"/>
    <w:rsid w:val="005D11F1"/>
    <w:rsid w:val="005D14F7"/>
    <w:rsid w:val="005D153F"/>
    <w:rsid w:val="005D183C"/>
    <w:rsid w:val="005D1995"/>
    <w:rsid w:val="005D1BCB"/>
    <w:rsid w:val="005D1BD3"/>
    <w:rsid w:val="005D1C19"/>
    <w:rsid w:val="005D1C22"/>
    <w:rsid w:val="005D1D42"/>
    <w:rsid w:val="005D1FA8"/>
    <w:rsid w:val="005D2030"/>
    <w:rsid w:val="005D2085"/>
    <w:rsid w:val="005D20DD"/>
    <w:rsid w:val="005D226A"/>
    <w:rsid w:val="005D22CA"/>
    <w:rsid w:val="005D2622"/>
    <w:rsid w:val="005D2875"/>
    <w:rsid w:val="005D2884"/>
    <w:rsid w:val="005D296A"/>
    <w:rsid w:val="005D2CA7"/>
    <w:rsid w:val="005D2E1A"/>
    <w:rsid w:val="005D2F0B"/>
    <w:rsid w:val="005D3118"/>
    <w:rsid w:val="005D3195"/>
    <w:rsid w:val="005D32F4"/>
    <w:rsid w:val="005D33F1"/>
    <w:rsid w:val="005D3534"/>
    <w:rsid w:val="005D3877"/>
    <w:rsid w:val="005D38A5"/>
    <w:rsid w:val="005D3C68"/>
    <w:rsid w:val="005D3CDC"/>
    <w:rsid w:val="005D3E47"/>
    <w:rsid w:val="005D3F92"/>
    <w:rsid w:val="005D43BC"/>
    <w:rsid w:val="005D44A4"/>
    <w:rsid w:val="005D45B0"/>
    <w:rsid w:val="005D4638"/>
    <w:rsid w:val="005D4937"/>
    <w:rsid w:val="005D4B6F"/>
    <w:rsid w:val="005D4D6C"/>
    <w:rsid w:val="005D4EAE"/>
    <w:rsid w:val="005D4F68"/>
    <w:rsid w:val="005D4F90"/>
    <w:rsid w:val="005D4FC3"/>
    <w:rsid w:val="005D4FE5"/>
    <w:rsid w:val="005D50AE"/>
    <w:rsid w:val="005D5231"/>
    <w:rsid w:val="005D52EA"/>
    <w:rsid w:val="005D53C3"/>
    <w:rsid w:val="005D54C5"/>
    <w:rsid w:val="005D5587"/>
    <w:rsid w:val="005D558E"/>
    <w:rsid w:val="005D569B"/>
    <w:rsid w:val="005D5711"/>
    <w:rsid w:val="005D57AB"/>
    <w:rsid w:val="005D57D9"/>
    <w:rsid w:val="005D586F"/>
    <w:rsid w:val="005D593F"/>
    <w:rsid w:val="005D5A51"/>
    <w:rsid w:val="005D5A68"/>
    <w:rsid w:val="005D5A91"/>
    <w:rsid w:val="005D5B90"/>
    <w:rsid w:val="005D5E13"/>
    <w:rsid w:val="005D5E96"/>
    <w:rsid w:val="005D5F36"/>
    <w:rsid w:val="005D5F4A"/>
    <w:rsid w:val="005D5F52"/>
    <w:rsid w:val="005D5FD4"/>
    <w:rsid w:val="005D5FF5"/>
    <w:rsid w:val="005D62D8"/>
    <w:rsid w:val="005D6450"/>
    <w:rsid w:val="005D64CC"/>
    <w:rsid w:val="005D661D"/>
    <w:rsid w:val="005D663C"/>
    <w:rsid w:val="005D67B6"/>
    <w:rsid w:val="005D68D5"/>
    <w:rsid w:val="005D6AE4"/>
    <w:rsid w:val="005D6C24"/>
    <w:rsid w:val="005D6C5E"/>
    <w:rsid w:val="005D6CD3"/>
    <w:rsid w:val="005D6E45"/>
    <w:rsid w:val="005D6F7D"/>
    <w:rsid w:val="005D701F"/>
    <w:rsid w:val="005D7183"/>
    <w:rsid w:val="005D72EB"/>
    <w:rsid w:val="005D737F"/>
    <w:rsid w:val="005D7402"/>
    <w:rsid w:val="005D747C"/>
    <w:rsid w:val="005D7647"/>
    <w:rsid w:val="005D76BD"/>
    <w:rsid w:val="005D77CD"/>
    <w:rsid w:val="005D790A"/>
    <w:rsid w:val="005D7C0E"/>
    <w:rsid w:val="005D7CD3"/>
    <w:rsid w:val="005D7D3F"/>
    <w:rsid w:val="005D7F18"/>
    <w:rsid w:val="005E0057"/>
    <w:rsid w:val="005E0210"/>
    <w:rsid w:val="005E05AF"/>
    <w:rsid w:val="005E068C"/>
    <w:rsid w:val="005E0706"/>
    <w:rsid w:val="005E0B15"/>
    <w:rsid w:val="005E0CBB"/>
    <w:rsid w:val="005E0CE2"/>
    <w:rsid w:val="005E0DAE"/>
    <w:rsid w:val="005E0E37"/>
    <w:rsid w:val="005E128A"/>
    <w:rsid w:val="005E132A"/>
    <w:rsid w:val="005E137F"/>
    <w:rsid w:val="005E13A4"/>
    <w:rsid w:val="005E13AC"/>
    <w:rsid w:val="005E1436"/>
    <w:rsid w:val="005E14FB"/>
    <w:rsid w:val="005E1573"/>
    <w:rsid w:val="005E1583"/>
    <w:rsid w:val="005E19F1"/>
    <w:rsid w:val="005E1AD5"/>
    <w:rsid w:val="005E1C45"/>
    <w:rsid w:val="005E1C47"/>
    <w:rsid w:val="005E1CBD"/>
    <w:rsid w:val="005E1CC5"/>
    <w:rsid w:val="005E1D19"/>
    <w:rsid w:val="005E1D1B"/>
    <w:rsid w:val="005E1DED"/>
    <w:rsid w:val="005E1FE9"/>
    <w:rsid w:val="005E21A1"/>
    <w:rsid w:val="005E24C2"/>
    <w:rsid w:val="005E2532"/>
    <w:rsid w:val="005E268E"/>
    <w:rsid w:val="005E27F8"/>
    <w:rsid w:val="005E292D"/>
    <w:rsid w:val="005E2A28"/>
    <w:rsid w:val="005E2A79"/>
    <w:rsid w:val="005E2BE9"/>
    <w:rsid w:val="005E2DC0"/>
    <w:rsid w:val="005E2F04"/>
    <w:rsid w:val="005E2F3D"/>
    <w:rsid w:val="005E2FA5"/>
    <w:rsid w:val="005E309A"/>
    <w:rsid w:val="005E3428"/>
    <w:rsid w:val="005E3438"/>
    <w:rsid w:val="005E34B7"/>
    <w:rsid w:val="005E350B"/>
    <w:rsid w:val="005E361F"/>
    <w:rsid w:val="005E3714"/>
    <w:rsid w:val="005E37C3"/>
    <w:rsid w:val="005E37DD"/>
    <w:rsid w:val="005E3838"/>
    <w:rsid w:val="005E395A"/>
    <w:rsid w:val="005E39D4"/>
    <w:rsid w:val="005E3C51"/>
    <w:rsid w:val="005E3CF9"/>
    <w:rsid w:val="005E3E7B"/>
    <w:rsid w:val="005E3EBA"/>
    <w:rsid w:val="005E3FD9"/>
    <w:rsid w:val="005E4008"/>
    <w:rsid w:val="005E402A"/>
    <w:rsid w:val="005E45AA"/>
    <w:rsid w:val="005E45FB"/>
    <w:rsid w:val="005E491D"/>
    <w:rsid w:val="005E4B40"/>
    <w:rsid w:val="005E4B4E"/>
    <w:rsid w:val="005E4C4A"/>
    <w:rsid w:val="005E4CD8"/>
    <w:rsid w:val="005E4D4F"/>
    <w:rsid w:val="005E50C5"/>
    <w:rsid w:val="005E516D"/>
    <w:rsid w:val="005E55BE"/>
    <w:rsid w:val="005E56A7"/>
    <w:rsid w:val="005E56B2"/>
    <w:rsid w:val="005E5763"/>
    <w:rsid w:val="005E57C2"/>
    <w:rsid w:val="005E587B"/>
    <w:rsid w:val="005E5C05"/>
    <w:rsid w:val="005E5CAA"/>
    <w:rsid w:val="005E5DAD"/>
    <w:rsid w:val="005E5EF1"/>
    <w:rsid w:val="005E5F6A"/>
    <w:rsid w:val="005E604C"/>
    <w:rsid w:val="005E6134"/>
    <w:rsid w:val="005E61E1"/>
    <w:rsid w:val="005E625E"/>
    <w:rsid w:val="005E636B"/>
    <w:rsid w:val="005E6394"/>
    <w:rsid w:val="005E6458"/>
    <w:rsid w:val="005E6556"/>
    <w:rsid w:val="005E65B4"/>
    <w:rsid w:val="005E67AF"/>
    <w:rsid w:val="005E6885"/>
    <w:rsid w:val="005E6A9E"/>
    <w:rsid w:val="005E6BE5"/>
    <w:rsid w:val="005E6F54"/>
    <w:rsid w:val="005E7031"/>
    <w:rsid w:val="005E710D"/>
    <w:rsid w:val="005E71DF"/>
    <w:rsid w:val="005E722F"/>
    <w:rsid w:val="005E743E"/>
    <w:rsid w:val="005E775F"/>
    <w:rsid w:val="005E77B6"/>
    <w:rsid w:val="005E7A97"/>
    <w:rsid w:val="005E7AAE"/>
    <w:rsid w:val="005E7B5D"/>
    <w:rsid w:val="005E7BC3"/>
    <w:rsid w:val="005E7D62"/>
    <w:rsid w:val="005E7E4D"/>
    <w:rsid w:val="005E7E5E"/>
    <w:rsid w:val="005E7F0D"/>
    <w:rsid w:val="005F00CE"/>
    <w:rsid w:val="005F0226"/>
    <w:rsid w:val="005F024D"/>
    <w:rsid w:val="005F03E1"/>
    <w:rsid w:val="005F03F6"/>
    <w:rsid w:val="005F0509"/>
    <w:rsid w:val="005F06FD"/>
    <w:rsid w:val="005F085B"/>
    <w:rsid w:val="005F090B"/>
    <w:rsid w:val="005F09F6"/>
    <w:rsid w:val="005F0B44"/>
    <w:rsid w:val="005F0B49"/>
    <w:rsid w:val="005F0D22"/>
    <w:rsid w:val="005F0D3F"/>
    <w:rsid w:val="005F0EDD"/>
    <w:rsid w:val="005F1217"/>
    <w:rsid w:val="005F1348"/>
    <w:rsid w:val="005F142D"/>
    <w:rsid w:val="005F159F"/>
    <w:rsid w:val="005F1678"/>
    <w:rsid w:val="005F16B5"/>
    <w:rsid w:val="005F185B"/>
    <w:rsid w:val="005F18C7"/>
    <w:rsid w:val="005F1D0D"/>
    <w:rsid w:val="005F1D12"/>
    <w:rsid w:val="005F1DF7"/>
    <w:rsid w:val="005F1E3B"/>
    <w:rsid w:val="005F1E88"/>
    <w:rsid w:val="005F1FA5"/>
    <w:rsid w:val="005F1FFB"/>
    <w:rsid w:val="005F200E"/>
    <w:rsid w:val="005F20BD"/>
    <w:rsid w:val="005F239F"/>
    <w:rsid w:val="005F256B"/>
    <w:rsid w:val="005F25AC"/>
    <w:rsid w:val="005F2652"/>
    <w:rsid w:val="005F26E5"/>
    <w:rsid w:val="005F296A"/>
    <w:rsid w:val="005F29A1"/>
    <w:rsid w:val="005F29EF"/>
    <w:rsid w:val="005F2A98"/>
    <w:rsid w:val="005F2BDB"/>
    <w:rsid w:val="005F2C3B"/>
    <w:rsid w:val="005F2D1F"/>
    <w:rsid w:val="005F2DDF"/>
    <w:rsid w:val="005F2ED0"/>
    <w:rsid w:val="005F323F"/>
    <w:rsid w:val="005F3351"/>
    <w:rsid w:val="005F3361"/>
    <w:rsid w:val="005F34CD"/>
    <w:rsid w:val="005F3574"/>
    <w:rsid w:val="005F378F"/>
    <w:rsid w:val="005F37D5"/>
    <w:rsid w:val="005F382C"/>
    <w:rsid w:val="005F3884"/>
    <w:rsid w:val="005F3A5C"/>
    <w:rsid w:val="005F3AD4"/>
    <w:rsid w:val="005F3BC4"/>
    <w:rsid w:val="005F3D30"/>
    <w:rsid w:val="005F3DBC"/>
    <w:rsid w:val="005F3DF9"/>
    <w:rsid w:val="005F3F2D"/>
    <w:rsid w:val="005F3F79"/>
    <w:rsid w:val="005F3F95"/>
    <w:rsid w:val="005F3FCF"/>
    <w:rsid w:val="005F3FEE"/>
    <w:rsid w:val="005F407A"/>
    <w:rsid w:val="005F4244"/>
    <w:rsid w:val="005F42CB"/>
    <w:rsid w:val="005F42D0"/>
    <w:rsid w:val="005F45A9"/>
    <w:rsid w:val="005F460D"/>
    <w:rsid w:val="005F4620"/>
    <w:rsid w:val="005F465C"/>
    <w:rsid w:val="005F46F3"/>
    <w:rsid w:val="005F47EC"/>
    <w:rsid w:val="005F4881"/>
    <w:rsid w:val="005F4A4B"/>
    <w:rsid w:val="005F4A6F"/>
    <w:rsid w:val="005F4A97"/>
    <w:rsid w:val="005F4AD9"/>
    <w:rsid w:val="005F4B01"/>
    <w:rsid w:val="005F4BC9"/>
    <w:rsid w:val="005F4BFD"/>
    <w:rsid w:val="005F4D42"/>
    <w:rsid w:val="005F4D45"/>
    <w:rsid w:val="005F4D64"/>
    <w:rsid w:val="005F4D6F"/>
    <w:rsid w:val="005F4E9D"/>
    <w:rsid w:val="005F512D"/>
    <w:rsid w:val="005F5137"/>
    <w:rsid w:val="005F5139"/>
    <w:rsid w:val="005F538A"/>
    <w:rsid w:val="005F53FE"/>
    <w:rsid w:val="005F5501"/>
    <w:rsid w:val="005F551F"/>
    <w:rsid w:val="005F5550"/>
    <w:rsid w:val="005F5563"/>
    <w:rsid w:val="005F5580"/>
    <w:rsid w:val="005F562A"/>
    <w:rsid w:val="005F5646"/>
    <w:rsid w:val="005F57C5"/>
    <w:rsid w:val="005F58DE"/>
    <w:rsid w:val="005F592B"/>
    <w:rsid w:val="005F5B19"/>
    <w:rsid w:val="005F5D1D"/>
    <w:rsid w:val="005F602C"/>
    <w:rsid w:val="005F605C"/>
    <w:rsid w:val="005F6092"/>
    <w:rsid w:val="005F60CF"/>
    <w:rsid w:val="005F6139"/>
    <w:rsid w:val="005F6253"/>
    <w:rsid w:val="005F6334"/>
    <w:rsid w:val="005F6366"/>
    <w:rsid w:val="005F6372"/>
    <w:rsid w:val="005F6410"/>
    <w:rsid w:val="005F64BD"/>
    <w:rsid w:val="005F65EF"/>
    <w:rsid w:val="005F65F9"/>
    <w:rsid w:val="005F6632"/>
    <w:rsid w:val="005F6776"/>
    <w:rsid w:val="005F6A38"/>
    <w:rsid w:val="005F6C31"/>
    <w:rsid w:val="005F6CF2"/>
    <w:rsid w:val="005F6D34"/>
    <w:rsid w:val="005F70D5"/>
    <w:rsid w:val="005F7199"/>
    <w:rsid w:val="005F74ED"/>
    <w:rsid w:val="005F763E"/>
    <w:rsid w:val="005F7798"/>
    <w:rsid w:val="005F7827"/>
    <w:rsid w:val="005F783C"/>
    <w:rsid w:val="005F7955"/>
    <w:rsid w:val="005F795D"/>
    <w:rsid w:val="005F7968"/>
    <w:rsid w:val="005F799E"/>
    <w:rsid w:val="005F7B80"/>
    <w:rsid w:val="005F7C16"/>
    <w:rsid w:val="005F7F2A"/>
    <w:rsid w:val="005F7F3E"/>
    <w:rsid w:val="005F7FFA"/>
    <w:rsid w:val="00600113"/>
    <w:rsid w:val="0060011D"/>
    <w:rsid w:val="006001A0"/>
    <w:rsid w:val="00600200"/>
    <w:rsid w:val="006002A7"/>
    <w:rsid w:val="00600881"/>
    <w:rsid w:val="006008CF"/>
    <w:rsid w:val="0060092D"/>
    <w:rsid w:val="00600B2B"/>
    <w:rsid w:val="00600E32"/>
    <w:rsid w:val="00600F45"/>
    <w:rsid w:val="006012CD"/>
    <w:rsid w:val="00601302"/>
    <w:rsid w:val="006014B6"/>
    <w:rsid w:val="00601599"/>
    <w:rsid w:val="0060176D"/>
    <w:rsid w:val="00601997"/>
    <w:rsid w:val="00601C78"/>
    <w:rsid w:val="00601D8D"/>
    <w:rsid w:val="00601DEE"/>
    <w:rsid w:val="00601DFD"/>
    <w:rsid w:val="00601EC6"/>
    <w:rsid w:val="006021A4"/>
    <w:rsid w:val="0060260B"/>
    <w:rsid w:val="006028F1"/>
    <w:rsid w:val="006029D7"/>
    <w:rsid w:val="00602C0B"/>
    <w:rsid w:val="00602CA0"/>
    <w:rsid w:val="00602CA6"/>
    <w:rsid w:val="00602FBE"/>
    <w:rsid w:val="006033D3"/>
    <w:rsid w:val="006036E1"/>
    <w:rsid w:val="006036F9"/>
    <w:rsid w:val="0060378F"/>
    <w:rsid w:val="00603B68"/>
    <w:rsid w:val="00603B90"/>
    <w:rsid w:val="00603BC0"/>
    <w:rsid w:val="00603C42"/>
    <w:rsid w:val="00603C59"/>
    <w:rsid w:val="00603CDF"/>
    <w:rsid w:val="00603E97"/>
    <w:rsid w:val="00603F1E"/>
    <w:rsid w:val="00603F40"/>
    <w:rsid w:val="00603FF3"/>
    <w:rsid w:val="0060438E"/>
    <w:rsid w:val="006044E0"/>
    <w:rsid w:val="00604718"/>
    <w:rsid w:val="006048EF"/>
    <w:rsid w:val="00604C0A"/>
    <w:rsid w:val="00604D44"/>
    <w:rsid w:val="00604EDB"/>
    <w:rsid w:val="00604EF7"/>
    <w:rsid w:val="00605028"/>
    <w:rsid w:val="00605034"/>
    <w:rsid w:val="0060519C"/>
    <w:rsid w:val="006051D8"/>
    <w:rsid w:val="006052D8"/>
    <w:rsid w:val="006053C0"/>
    <w:rsid w:val="00605845"/>
    <w:rsid w:val="00605A0A"/>
    <w:rsid w:val="00605AA5"/>
    <w:rsid w:val="00605C11"/>
    <w:rsid w:val="00605D2C"/>
    <w:rsid w:val="00605ED7"/>
    <w:rsid w:val="00606066"/>
    <w:rsid w:val="006063A0"/>
    <w:rsid w:val="006064AA"/>
    <w:rsid w:val="0060650B"/>
    <w:rsid w:val="006066A6"/>
    <w:rsid w:val="00606901"/>
    <w:rsid w:val="00606920"/>
    <w:rsid w:val="0060692C"/>
    <w:rsid w:val="006069CA"/>
    <w:rsid w:val="00606A6F"/>
    <w:rsid w:val="00606B32"/>
    <w:rsid w:val="00606C36"/>
    <w:rsid w:val="00606D5C"/>
    <w:rsid w:val="00606D77"/>
    <w:rsid w:val="00606E5D"/>
    <w:rsid w:val="00606E62"/>
    <w:rsid w:val="00606E8B"/>
    <w:rsid w:val="006071F4"/>
    <w:rsid w:val="00607398"/>
    <w:rsid w:val="0060742D"/>
    <w:rsid w:val="006074A8"/>
    <w:rsid w:val="006076E6"/>
    <w:rsid w:val="0060796D"/>
    <w:rsid w:val="00607AF7"/>
    <w:rsid w:val="00607B43"/>
    <w:rsid w:val="00607C32"/>
    <w:rsid w:val="00607F59"/>
    <w:rsid w:val="00607FAF"/>
    <w:rsid w:val="00610110"/>
    <w:rsid w:val="006101B1"/>
    <w:rsid w:val="006103F5"/>
    <w:rsid w:val="00610418"/>
    <w:rsid w:val="00610920"/>
    <w:rsid w:val="006109A8"/>
    <w:rsid w:val="00610A0A"/>
    <w:rsid w:val="00610A6F"/>
    <w:rsid w:val="00610B64"/>
    <w:rsid w:val="00610BAA"/>
    <w:rsid w:val="00610C3C"/>
    <w:rsid w:val="00610C57"/>
    <w:rsid w:val="00610F4A"/>
    <w:rsid w:val="00611035"/>
    <w:rsid w:val="0061109E"/>
    <w:rsid w:val="006110C6"/>
    <w:rsid w:val="00611242"/>
    <w:rsid w:val="0061126A"/>
    <w:rsid w:val="00611340"/>
    <w:rsid w:val="00611765"/>
    <w:rsid w:val="006117ED"/>
    <w:rsid w:val="00611A20"/>
    <w:rsid w:val="00611D5B"/>
    <w:rsid w:val="00611F82"/>
    <w:rsid w:val="00612045"/>
    <w:rsid w:val="00612072"/>
    <w:rsid w:val="006121C3"/>
    <w:rsid w:val="006121C9"/>
    <w:rsid w:val="00612251"/>
    <w:rsid w:val="006123CE"/>
    <w:rsid w:val="00612411"/>
    <w:rsid w:val="006124B2"/>
    <w:rsid w:val="00612B5A"/>
    <w:rsid w:val="00612C40"/>
    <w:rsid w:val="00612CE7"/>
    <w:rsid w:val="006130BC"/>
    <w:rsid w:val="006133AD"/>
    <w:rsid w:val="00613426"/>
    <w:rsid w:val="00613626"/>
    <w:rsid w:val="0061372C"/>
    <w:rsid w:val="0061378D"/>
    <w:rsid w:val="0061385F"/>
    <w:rsid w:val="00613953"/>
    <w:rsid w:val="00613A56"/>
    <w:rsid w:val="00613AB2"/>
    <w:rsid w:val="00613B76"/>
    <w:rsid w:val="00613B7C"/>
    <w:rsid w:val="00613C3D"/>
    <w:rsid w:val="00613E0A"/>
    <w:rsid w:val="00613E22"/>
    <w:rsid w:val="00614243"/>
    <w:rsid w:val="00614269"/>
    <w:rsid w:val="006142D3"/>
    <w:rsid w:val="0061432F"/>
    <w:rsid w:val="0061443C"/>
    <w:rsid w:val="0061450B"/>
    <w:rsid w:val="0061455B"/>
    <w:rsid w:val="0061464D"/>
    <w:rsid w:val="00614667"/>
    <w:rsid w:val="0061472D"/>
    <w:rsid w:val="0061479C"/>
    <w:rsid w:val="00614967"/>
    <w:rsid w:val="00614A58"/>
    <w:rsid w:val="00614AF0"/>
    <w:rsid w:val="00614AF9"/>
    <w:rsid w:val="00614B52"/>
    <w:rsid w:val="00614C32"/>
    <w:rsid w:val="00614C79"/>
    <w:rsid w:val="00614E57"/>
    <w:rsid w:val="00614E68"/>
    <w:rsid w:val="00615012"/>
    <w:rsid w:val="00615080"/>
    <w:rsid w:val="0061521C"/>
    <w:rsid w:val="00615497"/>
    <w:rsid w:val="0061557A"/>
    <w:rsid w:val="006155E2"/>
    <w:rsid w:val="00615660"/>
    <w:rsid w:val="0061567E"/>
    <w:rsid w:val="006156F4"/>
    <w:rsid w:val="006157DF"/>
    <w:rsid w:val="006158AD"/>
    <w:rsid w:val="006159C2"/>
    <w:rsid w:val="00615B97"/>
    <w:rsid w:val="00615C56"/>
    <w:rsid w:val="00615D61"/>
    <w:rsid w:val="00615E37"/>
    <w:rsid w:val="00615E71"/>
    <w:rsid w:val="00615F9D"/>
    <w:rsid w:val="0061605A"/>
    <w:rsid w:val="0061615D"/>
    <w:rsid w:val="006161CC"/>
    <w:rsid w:val="006161D5"/>
    <w:rsid w:val="006165B0"/>
    <w:rsid w:val="006166F1"/>
    <w:rsid w:val="00616744"/>
    <w:rsid w:val="0061683B"/>
    <w:rsid w:val="00617026"/>
    <w:rsid w:val="006170A1"/>
    <w:rsid w:val="0061710D"/>
    <w:rsid w:val="00617145"/>
    <w:rsid w:val="0061721B"/>
    <w:rsid w:val="00617243"/>
    <w:rsid w:val="006172DE"/>
    <w:rsid w:val="006172F4"/>
    <w:rsid w:val="006174E7"/>
    <w:rsid w:val="00617574"/>
    <w:rsid w:val="00617658"/>
    <w:rsid w:val="0061767A"/>
    <w:rsid w:val="00617938"/>
    <w:rsid w:val="00617B48"/>
    <w:rsid w:val="00617B95"/>
    <w:rsid w:val="00617FF8"/>
    <w:rsid w:val="0062006B"/>
    <w:rsid w:val="00620285"/>
    <w:rsid w:val="00620300"/>
    <w:rsid w:val="0062053D"/>
    <w:rsid w:val="00620572"/>
    <w:rsid w:val="0062062D"/>
    <w:rsid w:val="00620814"/>
    <w:rsid w:val="00620846"/>
    <w:rsid w:val="00620B66"/>
    <w:rsid w:val="00620D9E"/>
    <w:rsid w:val="00620E3A"/>
    <w:rsid w:val="00620EB9"/>
    <w:rsid w:val="00620F08"/>
    <w:rsid w:val="00620F27"/>
    <w:rsid w:val="00620F38"/>
    <w:rsid w:val="0062101F"/>
    <w:rsid w:val="0062106D"/>
    <w:rsid w:val="00621221"/>
    <w:rsid w:val="0062132C"/>
    <w:rsid w:val="00621420"/>
    <w:rsid w:val="0062166E"/>
    <w:rsid w:val="00621702"/>
    <w:rsid w:val="00621AFF"/>
    <w:rsid w:val="00621BDD"/>
    <w:rsid w:val="00621FA3"/>
    <w:rsid w:val="00621FD4"/>
    <w:rsid w:val="00622003"/>
    <w:rsid w:val="00622422"/>
    <w:rsid w:val="00622466"/>
    <w:rsid w:val="00622494"/>
    <w:rsid w:val="00622540"/>
    <w:rsid w:val="006226C8"/>
    <w:rsid w:val="00622790"/>
    <w:rsid w:val="0062279B"/>
    <w:rsid w:val="006229B6"/>
    <w:rsid w:val="00622A2E"/>
    <w:rsid w:val="00622A8D"/>
    <w:rsid w:val="00622C68"/>
    <w:rsid w:val="00622D15"/>
    <w:rsid w:val="00622FB9"/>
    <w:rsid w:val="00623250"/>
    <w:rsid w:val="006232D7"/>
    <w:rsid w:val="00623453"/>
    <w:rsid w:val="0062358F"/>
    <w:rsid w:val="006235B3"/>
    <w:rsid w:val="00623616"/>
    <w:rsid w:val="00623766"/>
    <w:rsid w:val="006239E5"/>
    <w:rsid w:val="006239F2"/>
    <w:rsid w:val="00623C41"/>
    <w:rsid w:val="00623CB5"/>
    <w:rsid w:val="00623D40"/>
    <w:rsid w:val="00623E75"/>
    <w:rsid w:val="00623EBE"/>
    <w:rsid w:val="00624268"/>
    <w:rsid w:val="0062437B"/>
    <w:rsid w:val="00624429"/>
    <w:rsid w:val="0062448E"/>
    <w:rsid w:val="00624771"/>
    <w:rsid w:val="0062477F"/>
    <w:rsid w:val="00624830"/>
    <w:rsid w:val="00624850"/>
    <w:rsid w:val="00624B69"/>
    <w:rsid w:val="00624BD7"/>
    <w:rsid w:val="00624BEA"/>
    <w:rsid w:val="00625030"/>
    <w:rsid w:val="0062505F"/>
    <w:rsid w:val="0062522B"/>
    <w:rsid w:val="006254C9"/>
    <w:rsid w:val="0062560F"/>
    <w:rsid w:val="006256B4"/>
    <w:rsid w:val="0062570A"/>
    <w:rsid w:val="00625735"/>
    <w:rsid w:val="006257B7"/>
    <w:rsid w:val="006257DF"/>
    <w:rsid w:val="0062581B"/>
    <w:rsid w:val="006259F2"/>
    <w:rsid w:val="006259F4"/>
    <w:rsid w:val="00625BE7"/>
    <w:rsid w:val="00625CA1"/>
    <w:rsid w:val="00625EAD"/>
    <w:rsid w:val="00625EDD"/>
    <w:rsid w:val="00625FD0"/>
    <w:rsid w:val="00626360"/>
    <w:rsid w:val="0062655C"/>
    <w:rsid w:val="00626675"/>
    <w:rsid w:val="006268BE"/>
    <w:rsid w:val="006268CE"/>
    <w:rsid w:val="006268D3"/>
    <w:rsid w:val="00626A01"/>
    <w:rsid w:val="00626B22"/>
    <w:rsid w:val="00626B3B"/>
    <w:rsid w:val="00626C07"/>
    <w:rsid w:val="00626C98"/>
    <w:rsid w:val="00626CE2"/>
    <w:rsid w:val="00626E4C"/>
    <w:rsid w:val="00626E94"/>
    <w:rsid w:val="00626ECC"/>
    <w:rsid w:val="00626EE3"/>
    <w:rsid w:val="00627125"/>
    <w:rsid w:val="00627237"/>
    <w:rsid w:val="00627283"/>
    <w:rsid w:val="00627472"/>
    <w:rsid w:val="00627569"/>
    <w:rsid w:val="00627732"/>
    <w:rsid w:val="00627746"/>
    <w:rsid w:val="0062787E"/>
    <w:rsid w:val="00627BA5"/>
    <w:rsid w:val="00627BF6"/>
    <w:rsid w:val="00627CC3"/>
    <w:rsid w:val="00627E03"/>
    <w:rsid w:val="00627F5E"/>
    <w:rsid w:val="00630174"/>
    <w:rsid w:val="006305E5"/>
    <w:rsid w:val="006306AB"/>
    <w:rsid w:val="00630804"/>
    <w:rsid w:val="00630962"/>
    <w:rsid w:val="00630A9F"/>
    <w:rsid w:val="00630B66"/>
    <w:rsid w:val="00630B86"/>
    <w:rsid w:val="00630BFC"/>
    <w:rsid w:val="00630C37"/>
    <w:rsid w:val="00630C6E"/>
    <w:rsid w:val="00630E64"/>
    <w:rsid w:val="00630F14"/>
    <w:rsid w:val="00630F5D"/>
    <w:rsid w:val="0063100F"/>
    <w:rsid w:val="006311FA"/>
    <w:rsid w:val="0063133E"/>
    <w:rsid w:val="006315AA"/>
    <w:rsid w:val="00631670"/>
    <w:rsid w:val="00631914"/>
    <w:rsid w:val="00631C6F"/>
    <w:rsid w:val="00631E56"/>
    <w:rsid w:val="0063215D"/>
    <w:rsid w:val="0063217A"/>
    <w:rsid w:val="00632183"/>
    <w:rsid w:val="00632246"/>
    <w:rsid w:val="006322A9"/>
    <w:rsid w:val="00632360"/>
    <w:rsid w:val="006323AF"/>
    <w:rsid w:val="00632419"/>
    <w:rsid w:val="006325AD"/>
    <w:rsid w:val="006326C6"/>
    <w:rsid w:val="00632762"/>
    <w:rsid w:val="00632805"/>
    <w:rsid w:val="00632A88"/>
    <w:rsid w:val="00632C0A"/>
    <w:rsid w:val="00632C1E"/>
    <w:rsid w:val="00632C2B"/>
    <w:rsid w:val="00632E1C"/>
    <w:rsid w:val="00632E50"/>
    <w:rsid w:val="00632E98"/>
    <w:rsid w:val="00632EF1"/>
    <w:rsid w:val="00633051"/>
    <w:rsid w:val="006330C4"/>
    <w:rsid w:val="00633232"/>
    <w:rsid w:val="0063327C"/>
    <w:rsid w:val="006332A5"/>
    <w:rsid w:val="0063359C"/>
    <w:rsid w:val="0063362E"/>
    <w:rsid w:val="006336BC"/>
    <w:rsid w:val="0063375C"/>
    <w:rsid w:val="00633771"/>
    <w:rsid w:val="0063395B"/>
    <w:rsid w:val="00633C80"/>
    <w:rsid w:val="00633CF1"/>
    <w:rsid w:val="00633D77"/>
    <w:rsid w:val="00633DF8"/>
    <w:rsid w:val="00634087"/>
    <w:rsid w:val="006340BB"/>
    <w:rsid w:val="006340CB"/>
    <w:rsid w:val="006341AB"/>
    <w:rsid w:val="006341B6"/>
    <w:rsid w:val="006343EF"/>
    <w:rsid w:val="006344BA"/>
    <w:rsid w:val="00634573"/>
    <w:rsid w:val="00634642"/>
    <w:rsid w:val="0063478C"/>
    <w:rsid w:val="006347E0"/>
    <w:rsid w:val="00634908"/>
    <w:rsid w:val="0063492A"/>
    <w:rsid w:val="00634A20"/>
    <w:rsid w:val="00634B20"/>
    <w:rsid w:val="00634C8F"/>
    <w:rsid w:val="00634CF9"/>
    <w:rsid w:val="00634DCA"/>
    <w:rsid w:val="00634E91"/>
    <w:rsid w:val="00634FB8"/>
    <w:rsid w:val="00634FC1"/>
    <w:rsid w:val="0063526A"/>
    <w:rsid w:val="006352B3"/>
    <w:rsid w:val="006352EB"/>
    <w:rsid w:val="0063539B"/>
    <w:rsid w:val="006353B4"/>
    <w:rsid w:val="006353E9"/>
    <w:rsid w:val="0063541D"/>
    <w:rsid w:val="00635506"/>
    <w:rsid w:val="00635571"/>
    <w:rsid w:val="0063565D"/>
    <w:rsid w:val="006356CD"/>
    <w:rsid w:val="00635700"/>
    <w:rsid w:val="00635A49"/>
    <w:rsid w:val="00635B34"/>
    <w:rsid w:val="00635BC8"/>
    <w:rsid w:val="00635EF1"/>
    <w:rsid w:val="00635F1C"/>
    <w:rsid w:val="0063618E"/>
    <w:rsid w:val="00636308"/>
    <w:rsid w:val="0063639C"/>
    <w:rsid w:val="00636500"/>
    <w:rsid w:val="0063650F"/>
    <w:rsid w:val="006367C4"/>
    <w:rsid w:val="0063692E"/>
    <w:rsid w:val="00636AA6"/>
    <w:rsid w:val="00636AA9"/>
    <w:rsid w:val="00636AB5"/>
    <w:rsid w:val="00636B2C"/>
    <w:rsid w:val="00636CB1"/>
    <w:rsid w:val="00636EB9"/>
    <w:rsid w:val="00636EC9"/>
    <w:rsid w:val="00636F37"/>
    <w:rsid w:val="006370A2"/>
    <w:rsid w:val="0063711E"/>
    <w:rsid w:val="0063716D"/>
    <w:rsid w:val="00637303"/>
    <w:rsid w:val="006373DE"/>
    <w:rsid w:val="006374E4"/>
    <w:rsid w:val="00637610"/>
    <w:rsid w:val="00637727"/>
    <w:rsid w:val="0063787E"/>
    <w:rsid w:val="00637A38"/>
    <w:rsid w:val="00637AEB"/>
    <w:rsid w:val="00637B9D"/>
    <w:rsid w:val="00637FA1"/>
    <w:rsid w:val="00637FCF"/>
    <w:rsid w:val="00640009"/>
    <w:rsid w:val="006401ED"/>
    <w:rsid w:val="006402A7"/>
    <w:rsid w:val="006402E3"/>
    <w:rsid w:val="006402E5"/>
    <w:rsid w:val="006403CB"/>
    <w:rsid w:val="006404FE"/>
    <w:rsid w:val="0064051C"/>
    <w:rsid w:val="0064053D"/>
    <w:rsid w:val="006406D4"/>
    <w:rsid w:val="006406EF"/>
    <w:rsid w:val="006407A4"/>
    <w:rsid w:val="00640AD3"/>
    <w:rsid w:val="00640BBC"/>
    <w:rsid w:val="00640BEE"/>
    <w:rsid w:val="00640D7D"/>
    <w:rsid w:val="00640EA9"/>
    <w:rsid w:val="00640ECA"/>
    <w:rsid w:val="00640FF2"/>
    <w:rsid w:val="0064100A"/>
    <w:rsid w:val="006410A4"/>
    <w:rsid w:val="006415AC"/>
    <w:rsid w:val="00641701"/>
    <w:rsid w:val="00641718"/>
    <w:rsid w:val="006417A5"/>
    <w:rsid w:val="00641938"/>
    <w:rsid w:val="006419DD"/>
    <w:rsid w:val="00641AF0"/>
    <w:rsid w:val="00641D28"/>
    <w:rsid w:val="00641DCC"/>
    <w:rsid w:val="00641F13"/>
    <w:rsid w:val="00641F6B"/>
    <w:rsid w:val="00642005"/>
    <w:rsid w:val="0064205D"/>
    <w:rsid w:val="00642241"/>
    <w:rsid w:val="0064225C"/>
    <w:rsid w:val="006422BE"/>
    <w:rsid w:val="006423E8"/>
    <w:rsid w:val="006423F9"/>
    <w:rsid w:val="006423FC"/>
    <w:rsid w:val="00642481"/>
    <w:rsid w:val="00642491"/>
    <w:rsid w:val="0064267A"/>
    <w:rsid w:val="00642775"/>
    <w:rsid w:val="00642801"/>
    <w:rsid w:val="00642895"/>
    <w:rsid w:val="00642AA8"/>
    <w:rsid w:val="00642BE0"/>
    <w:rsid w:val="00643112"/>
    <w:rsid w:val="00643178"/>
    <w:rsid w:val="00643245"/>
    <w:rsid w:val="00643270"/>
    <w:rsid w:val="00643314"/>
    <w:rsid w:val="0064362E"/>
    <w:rsid w:val="0064376B"/>
    <w:rsid w:val="0064391F"/>
    <w:rsid w:val="006439C3"/>
    <w:rsid w:val="00643B27"/>
    <w:rsid w:val="00643B38"/>
    <w:rsid w:val="00643B53"/>
    <w:rsid w:val="00643E98"/>
    <w:rsid w:val="00643ECE"/>
    <w:rsid w:val="00643EE1"/>
    <w:rsid w:val="006440D2"/>
    <w:rsid w:val="00644135"/>
    <w:rsid w:val="00644340"/>
    <w:rsid w:val="00644434"/>
    <w:rsid w:val="006444B4"/>
    <w:rsid w:val="006444F1"/>
    <w:rsid w:val="0064486F"/>
    <w:rsid w:val="0064489C"/>
    <w:rsid w:val="006449E4"/>
    <w:rsid w:val="00644B31"/>
    <w:rsid w:val="00644B32"/>
    <w:rsid w:val="00644B4C"/>
    <w:rsid w:val="00644D4D"/>
    <w:rsid w:val="00644EF2"/>
    <w:rsid w:val="00644F80"/>
    <w:rsid w:val="00644FBD"/>
    <w:rsid w:val="00645055"/>
    <w:rsid w:val="00645179"/>
    <w:rsid w:val="006452A5"/>
    <w:rsid w:val="0064553D"/>
    <w:rsid w:val="006455B3"/>
    <w:rsid w:val="0064562F"/>
    <w:rsid w:val="006459A0"/>
    <w:rsid w:val="00645A6B"/>
    <w:rsid w:val="00645CA9"/>
    <w:rsid w:val="00645DAE"/>
    <w:rsid w:val="00645DFB"/>
    <w:rsid w:val="0064616B"/>
    <w:rsid w:val="00646178"/>
    <w:rsid w:val="006461A4"/>
    <w:rsid w:val="00646264"/>
    <w:rsid w:val="00646445"/>
    <w:rsid w:val="006467C6"/>
    <w:rsid w:val="006468B5"/>
    <w:rsid w:val="00646AA7"/>
    <w:rsid w:val="00646BC4"/>
    <w:rsid w:val="00646C8E"/>
    <w:rsid w:val="00646D68"/>
    <w:rsid w:val="00646EC3"/>
    <w:rsid w:val="00646F7A"/>
    <w:rsid w:val="00646FE1"/>
    <w:rsid w:val="00647041"/>
    <w:rsid w:val="006471EE"/>
    <w:rsid w:val="00647219"/>
    <w:rsid w:val="006472F2"/>
    <w:rsid w:val="00647574"/>
    <w:rsid w:val="00647598"/>
    <w:rsid w:val="00647681"/>
    <w:rsid w:val="00647693"/>
    <w:rsid w:val="006476C5"/>
    <w:rsid w:val="00647A60"/>
    <w:rsid w:val="00647C32"/>
    <w:rsid w:val="00647CAB"/>
    <w:rsid w:val="00647DC4"/>
    <w:rsid w:val="006500AD"/>
    <w:rsid w:val="006501D1"/>
    <w:rsid w:val="006502F3"/>
    <w:rsid w:val="00650462"/>
    <w:rsid w:val="00650482"/>
    <w:rsid w:val="00650852"/>
    <w:rsid w:val="0065086A"/>
    <w:rsid w:val="00650905"/>
    <w:rsid w:val="00650AED"/>
    <w:rsid w:val="00650B41"/>
    <w:rsid w:val="00650D26"/>
    <w:rsid w:val="00650E46"/>
    <w:rsid w:val="00651235"/>
    <w:rsid w:val="00651313"/>
    <w:rsid w:val="006513D8"/>
    <w:rsid w:val="00651455"/>
    <w:rsid w:val="0065147B"/>
    <w:rsid w:val="006514D9"/>
    <w:rsid w:val="006516D3"/>
    <w:rsid w:val="00651716"/>
    <w:rsid w:val="0065174C"/>
    <w:rsid w:val="006517C2"/>
    <w:rsid w:val="00651851"/>
    <w:rsid w:val="00651860"/>
    <w:rsid w:val="006518DB"/>
    <w:rsid w:val="006518E1"/>
    <w:rsid w:val="00651A99"/>
    <w:rsid w:val="00651AC8"/>
    <w:rsid w:val="00652084"/>
    <w:rsid w:val="006520C6"/>
    <w:rsid w:val="006523C7"/>
    <w:rsid w:val="00652635"/>
    <w:rsid w:val="006526C0"/>
    <w:rsid w:val="006526C6"/>
    <w:rsid w:val="006526CB"/>
    <w:rsid w:val="006528F0"/>
    <w:rsid w:val="00652A92"/>
    <w:rsid w:val="00652B44"/>
    <w:rsid w:val="00652F0C"/>
    <w:rsid w:val="006531A3"/>
    <w:rsid w:val="00653579"/>
    <w:rsid w:val="00653588"/>
    <w:rsid w:val="0065358E"/>
    <w:rsid w:val="0065366C"/>
    <w:rsid w:val="00653784"/>
    <w:rsid w:val="00653809"/>
    <w:rsid w:val="006538C7"/>
    <w:rsid w:val="0065391B"/>
    <w:rsid w:val="006539B8"/>
    <w:rsid w:val="00653ADF"/>
    <w:rsid w:val="00653D6C"/>
    <w:rsid w:val="00653D7C"/>
    <w:rsid w:val="00653EC9"/>
    <w:rsid w:val="00653F07"/>
    <w:rsid w:val="00653F8E"/>
    <w:rsid w:val="006540C5"/>
    <w:rsid w:val="006540DF"/>
    <w:rsid w:val="006542E9"/>
    <w:rsid w:val="00654371"/>
    <w:rsid w:val="006543C9"/>
    <w:rsid w:val="00654503"/>
    <w:rsid w:val="00654538"/>
    <w:rsid w:val="00654664"/>
    <w:rsid w:val="00654690"/>
    <w:rsid w:val="0065490C"/>
    <w:rsid w:val="0065494E"/>
    <w:rsid w:val="00654954"/>
    <w:rsid w:val="00654A27"/>
    <w:rsid w:val="00654AA9"/>
    <w:rsid w:val="00654B1B"/>
    <w:rsid w:val="00654EC2"/>
    <w:rsid w:val="00654F2F"/>
    <w:rsid w:val="0065507E"/>
    <w:rsid w:val="006550D8"/>
    <w:rsid w:val="006553F1"/>
    <w:rsid w:val="0065559E"/>
    <w:rsid w:val="00655619"/>
    <w:rsid w:val="00655737"/>
    <w:rsid w:val="006557DD"/>
    <w:rsid w:val="006558EB"/>
    <w:rsid w:val="00655B1C"/>
    <w:rsid w:val="00655B31"/>
    <w:rsid w:val="00655B37"/>
    <w:rsid w:val="00655C10"/>
    <w:rsid w:val="00655D92"/>
    <w:rsid w:val="00655DAB"/>
    <w:rsid w:val="00655ED5"/>
    <w:rsid w:val="00655F19"/>
    <w:rsid w:val="0065619B"/>
    <w:rsid w:val="00656238"/>
    <w:rsid w:val="006562D3"/>
    <w:rsid w:val="006563C8"/>
    <w:rsid w:val="0065656C"/>
    <w:rsid w:val="006565A1"/>
    <w:rsid w:val="00656663"/>
    <w:rsid w:val="006567E3"/>
    <w:rsid w:val="006568C7"/>
    <w:rsid w:val="00656A60"/>
    <w:rsid w:val="006570A0"/>
    <w:rsid w:val="006570BD"/>
    <w:rsid w:val="006571AA"/>
    <w:rsid w:val="00657200"/>
    <w:rsid w:val="00657211"/>
    <w:rsid w:val="0065731A"/>
    <w:rsid w:val="00657614"/>
    <w:rsid w:val="00657678"/>
    <w:rsid w:val="0065786A"/>
    <w:rsid w:val="006579BA"/>
    <w:rsid w:val="00657C86"/>
    <w:rsid w:val="00657DC7"/>
    <w:rsid w:val="00657FCB"/>
    <w:rsid w:val="0066013C"/>
    <w:rsid w:val="00660302"/>
    <w:rsid w:val="0066034B"/>
    <w:rsid w:val="0066046C"/>
    <w:rsid w:val="00660544"/>
    <w:rsid w:val="006605CD"/>
    <w:rsid w:val="006607D5"/>
    <w:rsid w:val="00660881"/>
    <w:rsid w:val="00660909"/>
    <w:rsid w:val="0066092C"/>
    <w:rsid w:val="00660A5D"/>
    <w:rsid w:val="00660C5F"/>
    <w:rsid w:val="00660F17"/>
    <w:rsid w:val="00661012"/>
    <w:rsid w:val="00661107"/>
    <w:rsid w:val="00661446"/>
    <w:rsid w:val="00661701"/>
    <w:rsid w:val="00661759"/>
    <w:rsid w:val="00661814"/>
    <w:rsid w:val="00661CC5"/>
    <w:rsid w:val="00661FA5"/>
    <w:rsid w:val="00662297"/>
    <w:rsid w:val="00662361"/>
    <w:rsid w:val="00662498"/>
    <w:rsid w:val="00662762"/>
    <w:rsid w:val="00662810"/>
    <w:rsid w:val="00662863"/>
    <w:rsid w:val="00662AEA"/>
    <w:rsid w:val="00662BE0"/>
    <w:rsid w:val="00662BE7"/>
    <w:rsid w:val="00662C41"/>
    <w:rsid w:val="00662CF1"/>
    <w:rsid w:val="00662CFD"/>
    <w:rsid w:val="00662E5A"/>
    <w:rsid w:val="00662F78"/>
    <w:rsid w:val="00663033"/>
    <w:rsid w:val="006630B5"/>
    <w:rsid w:val="0066313A"/>
    <w:rsid w:val="006632EB"/>
    <w:rsid w:val="00663437"/>
    <w:rsid w:val="00663582"/>
    <w:rsid w:val="006635CB"/>
    <w:rsid w:val="0066365C"/>
    <w:rsid w:val="006636AB"/>
    <w:rsid w:val="00663A38"/>
    <w:rsid w:val="00663B7B"/>
    <w:rsid w:val="00663B99"/>
    <w:rsid w:val="00663C19"/>
    <w:rsid w:val="00663EF7"/>
    <w:rsid w:val="00663F30"/>
    <w:rsid w:val="0066418D"/>
    <w:rsid w:val="00664271"/>
    <w:rsid w:val="006642FE"/>
    <w:rsid w:val="006644E0"/>
    <w:rsid w:val="00664512"/>
    <w:rsid w:val="00664553"/>
    <w:rsid w:val="006645BE"/>
    <w:rsid w:val="006646D0"/>
    <w:rsid w:val="006646EF"/>
    <w:rsid w:val="00664797"/>
    <w:rsid w:val="00664B48"/>
    <w:rsid w:val="00664DFF"/>
    <w:rsid w:val="00665015"/>
    <w:rsid w:val="00665059"/>
    <w:rsid w:val="006650AA"/>
    <w:rsid w:val="006652B3"/>
    <w:rsid w:val="0066538B"/>
    <w:rsid w:val="00665554"/>
    <w:rsid w:val="0066558D"/>
    <w:rsid w:val="006655B5"/>
    <w:rsid w:val="006656BA"/>
    <w:rsid w:val="00665983"/>
    <w:rsid w:val="00665A31"/>
    <w:rsid w:val="00665D25"/>
    <w:rsid w:val="00665F99"/>
    <w:rsid w:val="0066602A"/>
    <w:rsid w:val="00666043"/>
    <w:rsid w:val="006661D3"/>
    <w:rsid w:val="006661D7"/>
    <w:rsid w:val="0066644D"/>
    <w:rsid w:val="00666476"/>
    <w:rsid w:val="0066674B"/>
    <w:rsid w:val="006667AD"/>
    <w:rsid w:val="00666880"/>
    <w:rsid w:val="006669A8"/>
    <w:rsid w:val="00666EA3"/>
    <w:rsid w:val="00666F0B"/>
    <w:rsid w:val="00666F94"/>
    <w:rsid w:val="0066700A"/>
    <w:rsid w:val="00667040"/>
    <w:rsid w:val="00667063"/>
    <w:rsid w:val="0066721B"/>
    <w:rsid w:val="00667296"/>
    <w:rsid w:val="00667400"/>
    <w:rsid w:val="006675FD"/>
    <w:rsid w:val="0066761F"/>
    <w:rsid w:val="00667720"/>
    <w:rsid w:val="006678D7"/>
    <w:rsid w:val="006678DC"/>
    <w:rsid w:val="00667B86"/>
    <w:rsid w:val="00667C52"/>
    <w:rsid w:val="00667D39"/>
    <w:rsid w:val="00667DBB"/>
    <w:rsid w:val="00667E2A"/>
    <w:rsid w:val="00667E39"/>
    <w:rsid w:val="00670011"/>
    <w:rsid w:val="00670023"/>
    <w:rsid w:val="006701CB"/>
    <w:rsid w:val="0067021C"/>
    <w:rsid w:val="00670337"/>
    <w:rsid w:val="0067037D"/>
    <w:rsid w:val="00670498"/>
    <w:rsid w:val="0067062C"/>
    <w:rsid w:val="006708F6"/>
    <w:rsid w:val="00670B9B"/>
    <w:rsid w:val="00670BFA"/>
    <w:rsid w:val="00670D9C"/>
    <w:rsid w:val="00670E59"/>
    <w:rsid w:val="00670F21"/>
    <w:rsid w:val="00670F8D"/>
    <w:rsid w:val="0067115A"/>
    <w:rsid w:val="0067120A"/>
    <w:rsid w:val="00671565"/>
    <w:rsid w:val="006715AC"/>
    <w:rsid w:val="00671776"/>
    <w:rsid w:val="0067177D"/>
    <w:rsid w:val="006717F3"/>
    <w:rsid w:val="00671C22"/>
    <w:rsid w:val="00671E47"/>
    <w:rsid w:val="00671E4B"/>
    <w:rsid w:val="00672010"/>
    <w:rsid w:val="00672049"/>
    <w:rsid w:val="006720E4"/>
    <w:rsid w:val="00672168"/>
    <w:rsid w:val="0067219B"/>
    <w:rsid w:val="006721AA"/>
    <w:rsid w:val="0067279B"/>
    <w:rsid w:val="00672987"/>
    <w:rsid w:val="00672DC2"/>
    <w:rsid w:val="00672F50"/>
    <w:rsid w:val="00673047"/>
    <w:rsid w:val="00673146"/>
    <w:rsid w:val="00673188"/>
    <w:rsid w:val="0067359B"/>
    <w:rsid w:val="0067363F"/>
    <w:rsid w:val="0067364C"/>
    <w:rsid w:val="00673662"/>
    <w:rsid w:val="00673908"/>
    <w:rsid w:val="00673C28"/>
    <w:rsid w:val="00673C72"/>
    <w:rsid w:val="00673CC0"/>
    <w:rsid w:val="00673DA7"/>
    <w:rsid w:val="006743DF"/>
    <w:rsid w:val="006743EE"/>
    <w:rsid w:val="00674442"/>
    <w:rsid w:val="006744D7"/>
    <w:rsid w:val="00674585"/>
    <w:rsid w:val="006746D1"/>
    <w:rsid w:val="00674840"/>
    <w:rsid w:val="00674891"/>
    <w:rsid w:val="006749C8"/>
    <w:rsid w:val="00674BEF"/>
    <w:rsid w:val="00674C9E"/>
    <w:rsid w:val="00674DAD"/>
    <w:rsid w:val="00674F00"/>
    <w:rsid w:val="00674FA9"/>
    <w:rsid w:val="0067526A"/>
    <w:rsid w:val="00675342"/>
    <w:rsid w:val="006753C9"/>
    <w:rsid w:val="006753CB"/>
    <w:rsid w:val="00675427"/>
    <w:rsid w:val="0067548B"/>
    <w:rsid w:val="006754C3"/>
    <w:rsid w:val="00675541"/>
    <w:rsid w:val="006756F4"/>
    <w:rsid w:val="0067572D"/>
    <w:rsid w:val="00675798"/>
    <w:rsid w:val="00675847"/>
    <w:rsid w:val="006758FF"/>
    <w:rsid w:val="00675B6D"/>
    <w:rsid w:val="00675B83"/>
    <w:rsid w:val="00675BF5"/>
    <w:rsid w:val="00675F0B"/>
    <w:rsid w:val="00676068"/>
    <w:rsid w:val="0067613D"/>
    <w:rsid w:val="006761D4"/>
    <w:rsid w:val="00676227"/>
    <w:rsid w:val="006763A6"/>
    <w:rsid w:val="00676659"/>
    <w:rsid w:val="006769B3"/>
    <w:rsid w:val="006769F8"/>
    <w:rsid w:val="00676AD7"/>
    <w:rsid w:val="00676B38"/>
    <w:rsid w:val="00676B52"/>
    <w:rsid w:val="00676D08"/>
    <w:rsid w:val="00676D2F"/>
    <w:rsid w:val="00676D7B"/>
    <w:rsid w:val="00676DFC"/>
    <w:rsid w:val="00676F0A"/>
    <w:rsid w:val="00676F84"/>
    <w:rsid w:val="00677049"/>
    <w:rsid w:val="0067711F"/>
    <w:rsid w:val="00677141"/>
    <w:rsid w:val="00677277"/>
    <w:rsid w:val="006773B3"/>
    <w:rsid w:val="0067797A"/>
    <w:rsid w:val="00677A44"/>
    <w:rsid w:val="00677C0E"/>
    <w:rsid w:val="00677C46"/>
    <w:rsid w:val="00677CBC"/>
    <w:rsid w:val="00677D06"/>
    <w:rsid w:val="00680186"/>
    <w:rsid w:val="0068020D"/>
    <w:rsid w:val="006803AC"/>
    <w:rsid w:val="006804CA"/>
    <w:rsid w:val="006804CD"/>
    <w:rsid w:val="00680851"/>
    <w:rsid w:val="00680884"/>
    <w:rsid w:val="00680B2E"/>
    <w:rsid w:val="00680CC4"/>
    <w:rsid w:val="00680CC9"/>
    <w:rsid w:val="00680E92"/>
    <w:rsid w:val="0068109E"/>
    <w:rsid w:val="00681179"/>
    <w:rsid w:val="006812D6"/>
    <w:rsid w:val="00681317"/>
    <w:rsid w:val="006813C4"/>
    <w:rsid w:val="0068149F"/>
    <w:rsid w:val="00681586"/>
    <w:rsid w:val="006816BE"/>
    <w:rsid w:val="006817C2"/>
    <w:rsid w:val="00681800"/>
    <w:rsid w:val="00681832"/>
    <w:rsid w:val="0068198D"/>
    <w:rsid w:val="00681A7C"/>
    <w:rsid w:val="00681B49"/>
    <w:rsid w:val="00681C45"/>
    <w:rsid w:val="00681D16"/>
    <w:rsid w:val="0068202C"/>
    <w:rsid w:val="00682075"/>
    <w:rsid w:val="00682094"/>
    <w:rsid w:val="00682138"/>
    <w:rsid w:val="0068214C"/>
    <w:rsid w:val="006821EE"/>
    <w:rsid w:val="0068226E"/>
    <w:rsid w:val="00682276"/>
    <w:rsid w:val="00682507"/>
    <w:rsid w:val="0068253D"/>
    <w:rsid w:val="00682831"/>
    <w:rsid w:val="0068284E"/>
    <w:rsid w:val="00682C5A"/>
    <w:rsid w:val="00682CA7"/>
    <w:rsid w:val="00682CFB"/>
    <w:rsid w:val="00682DC0"/>
    <w:rsid w:val="00683054"/>
    <w:rsid w:val="0068316B"/>
    <w:rsid w:val="00683330"/>
    <w:rsid w:val="006833AA"/>
    <w:rsid w:val="00683471"/>
    <w:rsid w:val="00683574"/>
    <w:rsid w:val="00683589"/>
    <w:rsid w:val="00683A82"/>
    <w:rsid w:val="00683AE6"/>
    <w:rsid w:val="00683AF9"/>
    <w:rsid w:val="00683BAA"/>
    <w:rsid w:val="00683CE2"/>
    <w:rsid w:val="00683CEC"/>
    <w:rsid w:val="00683D69"/>
    <w:rsid w:val="00684142"/>
    <w:rsid w:val="00684183"/>
    <w:rsid w:val="00684200"/>
    <w:rsid w:val="00684237"/>
    <w:rsid w:val="006844E4"/>
    <w:rsid w:val="006846A5"/>
    <w:rsid w:val="00684A33"/>
    <w:rsid w:val="00684CC2"/>
    <w:rsid w:val="00684DCE"/>
    <w:rsid w:val="00684E25"/>
    <w:rsid w:val="00684E57"/>
    <w:rsid w:val="00684F37"/>
    <w:rsid w:val="00684FBA"/>
    <w:rsid w:val="00684FF8"/>
    <w:rsid w:val="00685100"/>
    <w:rsid w:val="00685232"/>
    <w:rsid w:val="00685269"/>
    <w:rsid w:val="00685308"/>
    <w:rsid w:val="0068536B"/>
    <w:rsid w:val="006853BF"/>
    <w:rsid w:val="00685435"/>
    <w:rsid w:val="00685571"/>
    <w:rsid w:val="00685667"/>
    <w:rsid w:val="00685754"/>
    <w:rsid w:val="006858A9"/>
    <w:rsid w:val="006858B0"/>
    <w:rsid w:val="006858DE"/>
    <w:rsid w:val="00685955"/>
    <w:rsid w:val="00685CEE"/>
    <w:rsid w:val="00685D42"/>
    <w:rsid w:val="00685D94"/>
    <w:rsid w:val="00685EBC"/>
    <w:rsid w:val="00685FEA"/>
    <w:rsid w:val="006860CB"/>
    <w:rsid w:val="00686132"/>
    <w:rsid w:val="006862E3"/>
    <w:rsid w:val="006864E4"/>
    <w:rsid w:val="00686734"/>
    <w:rsid w:val="006867AF"/>
    <w:rsid w:val="00686810"/>
    <w:rsid w:val="00686979"/>
    <w:rsid w:val="0068697C"/>
    <w:rsid w:val="00686BE9"/>
    <w:rsid w:val="00686FEA"/>
    <w:rsid w:val="00687235"/>
    <w:rsid w:val="006875A1"/>
    <w:rsid w:val="006876C1"/>
    <w:rsid w:val="006878A7"/>
    <w:rsid w:val="006878DB"/>
    <w:rsid w:val="00687912"/>
    <w:rsid w:val="00687A14"/>
    <w:rsid w:val="00687B5B"/>
    <w:rsid w:val="00687C1D"/>
    <w:rsid w:val="00687C20"/>
    <w:rsid w:val="00687D15"/>
    <w:rsid w:val="00687D83"/>
    <w:rsid w:val="00687EAB"/>
    <w:rsid w:val="0069001C"/>
    <w:rsid w:val="006900D3"/>
    <w:rsid w:val="00690180"/>
    <w:rsid w:val="006901F1"/>
    <w:rsid w:val="00690294"/>
    <w:rsid w:val="00690446"/>
    <w:rsid w:val="00690457"/>
    <w:rsid w:val="006906BC"/>
    <w:rsid w:val="00690745"/>
    <w:rsid w:val="006909B3"/>
    <w:rsid w:val="00690AB4"/>
    <w:rsid w:val="00690B30"/>
    <w:rsid w:val="00690B35"/>
    <w:rsid w:val="00690D44"/>
    <w:rsid w:val="00690D9A"/>
    <w:rsid w:val="00690F95"/>
    <w:rsid w:val="00691477"/>
    <w:rsid w:val="006914D4"/>
    <w:rsid w:val="006914EA"/>
    <w:rsid w:val="0069153F"/>
    <w:rsid w:val="00691580"/>
    <w:rsid w:val="006915AE"/>
    <w:rsid w:val="00691600"/>
    <w:rsid w:val="0069164D"/>
    <w:rsid w:val="006917EA"/>
    <w:rsid w:val="00691891"/>
    <w:rsid w:val="00691B98"/>
    <w:rsid w:val="00691C99"/>
    <w:rsid w:val="00691F1C"/>
    <w:rsid w:val="00691F6F"/>
    <w:rsid w:val="00692282"/>
    <w:rsid w:val="00692300"/>
    <w:rsid w:val="006924C7"/>
    <w:rsid w:val="0069255E"/>
    <w:rsid w:val="0069258C"/>
    <w:rsid w:val="00692595"/>
    <w:rsid w:val="006925EB"/>
    <w:rsid w:val="00692753"/>
    <w:rsid w:val="006927C7"/>
    <w:rsid w:val="00692A8D"/>
    <w:rsid w:val="00692B90"/>
    <w:rsid w:val="00692BA0"/>
    <w:rsid w:val="00692BC8"/>
    <w:rsid w:val="00692C96"/>
    <w:rsid w:val="00692F04"/>
    <w:rsid w:val="00692F49"/>
    <w:rsid w:val="00692FA4"/>
    <w:rsid w:val="006930E2"/>
    <w:rsid w:val="006931A2"/>
    <w:rsid w:val="00693333"/>
    <w:rsid w:val="00693380"/>
    <w:rsid w:val="006935A4"/>
    <w:rsid w:val="00693830"/>
    <w:rsid w:val="00693841"/>
    <w:rsid w:val="00693980"/>
    <w:rsid w:val="00693C3D"/>
    <w:rsid w:val="00693D57"/>
    <w:rsid w:val="00693F86"/>
    <w:rsid w:val="0069422F"/>
    <w:rsid w:val="006945FF"/>
    <w:rsid w:val="006946B8"/>
    <w:rsid w:val="006946BF"/>
    <w:rsid w:val="00694893"/>
    <w:rsid w:val="006948D5"/>
    <w:rsid w:val="00694959"/>
    <w:rsid w:val="00694ADE"/>
    <w:rsid w:val="00694C1E"/>
    <w:rsid w:val="00694C5D"/>
    <w:rsid w:val="00694C6F"/>
    <w:rsid w:val="00694D8D"/>
    <w:rsid w:val="00694E01"/>
    <w:rsid w:val="0069518B"/>
    <w:rsid w:val="006951E0"/>
    <w:rsid w:val="00695308"/>
    <w:rsid w:val="00695332"/>
    <w:rsid w:val="0069557A"/>
    <w:rsid w:val="0069562D"/>
    <w:rsid w:val="00695630"/>
    <w:rsid w:val="00695687"/>
    <w:rsid w:val="00695895"/>
    <w:rsid w:val="00695A0C"/>
    <w:rsid w:val="00695A51"/>
    <w:rsid w:val="00695B00"/>
    <w:rsid w:val="00695C11"/>
    <w:rsid w:val="00695FED"/>
    <w:rsid w:val="0069601C"/>
    <w:rsid w:val="00696061"/>
    <w:rsid w:val="00696206"/>
    <w:rsid w:val="00696311"/>
    <w:rsid w:val="0069645D"/>
    <w:rsid w:val="006964FD"/>
    <w:rsid w:val="006965F4"/>
    <w:rsid w:val="00696752"/>
    <w:rsid w:val="006967DD"/>
    <w:rsid w:val="006968B4"/>
    <w:rsid w:val="006969B8"/>
    <w:rsid w:val="00696A33"/>
    <w:rsid w:val="00696ADF"/>
    <w:rsid w:val="00696B3E"/>
    <w:rsid w:val="00696BD4"/>
    <w:rsid w:val="00696DA8"/>
    <w:rsid w:val="00696EC9"/>
    <w:rsid w:val="006970BE"/>
    <w:rsid w:val="006970EC"/>
    <w:rsid w:val="00697153"/>
    <w:rsid w:val="006971AA"/>
    <w:rsid w:val="006971B8"/>
    <w:rsid w:val="006971C4"/>
    <w:rsid w:val="0069729B"/>
    <w:rsid w:val="0069733E"/>
    <w:rsid w:val="0069782A"/>
    <w:rsid w:val="00697860"/>
    <w:rsid w:val="00697937"/>
    <w:rsid w:val="00697A6B"/>
    <w:rsid w:val="00697B57"/>
    <w:rsid w:val="00697BAA"/>
    <w:rsid w:val="00697E13"/>
    <w:rsid w:val="00697E4D"/>
    <w:rsid w:val="006A0070"/>
    <w:rsid w:val="006A00E0"/>
    <w:rsid w:val="006A01B1"/>
    <w:rsid w:val="006A03E9"/>
    <w:rsid w:val="006A03ED"/>
    <w:rsid w:val="006A05A0"/>
    <w:rsid w:val="006A06BF"/>
    <w:rsid w:val="006A073C"/>
    <w:rsid w:val="006A0770"/>
    <w:rsid w:val="006A0780"/>
    <w:rsid w:val="006A07AA"/>
    <w:rsid w:val="006A0956"/>
    <w:rsid w:val="006A09FD"/>
    <w:rsid w:val="006A0AD0"/>
    <w:rsid w:val="006A0AFE"/>
    <w:rsid w:val="006A0B46"/>
    <w:rsid w:val="006A0D08"/>
    <w:rsid w:val="006A0EB0"/>
    <w:rsid w:val="006A108E"/>
    <w:rsid w:val="006A109E"/>
    <w:rsid w:val="006A119A"/>
    <w:rsid w:val="006A11D8"/>
    <w:rsid w:val="006A11FC"/>
    <w:rsid w:val="006A1317"/>
    <w:rsid w:val="006A1460"/>
    <w:rsid w:val="006A15B3"/>
    <w:rsid w:val="006A160F"/>
    <w:rsid w:val="006A162D"/>
    <w:rsid w:val="006A1739"/>
    <w:rsid w:val="006A1782"/>
    <w:rsid w:val="006A17F4"/>
    <w:rsid w:val="006A1870"/>
    <w:rsid w:val="006A18D8"/>
    <w:rsid w:val="006A18E7"/>
    <w:rsid w:val="006A190A"/>
    <w:rsid w:val="006A1ACB"/>
    <w:rsid w:val="006A1B93"/>
    <w:rsid w:val="006A1BBD"/>
    <w:rsid w:val="006A1BE6"/>
    <w:rsid w:val="006A1BFF"/>
    <w:rsid w:val="006A1FE1"/>
    <w:rsid w:val="006A20AC"/>
    <w:rsid w:val="006A21BB"/>
    <w:rsid w:val="006A22FC"/>
    <w:rsid w:val="006A2326"/>
    <w:rsid w:val="006A238A"/>
    <w:rsid w:val="006A2406"/>
    <w:rsid w:val="006A2430"/>
    <w:rsid w:val="006A27D8"/>
    <w:rsid w:val="006A2885"/>
    <w:rsid w:val="006A29F0"/>
    <w:rsid w:val="006A2D29"/>
    <w:rsid w:val="006A2DCE"/>
    <w:rsid w:val="006A300F"/>
    <w:rsid w:val="006A31C7"/>
    <w:rsid w:val="006A331F"/>
    <w:rsid w:val="006A3506"/>
    <w:rsid w:val="006A3524"/>
    <w:rsid w:val="006A3620"/>
    <w:rsid w:val="006A36F5"/>
    <w:rsid w:val="006A3AD7"/>
    <w:rsid w:val="006A3D9D"/>
    <w:rsid w:val="006A3ED8"/>
    <w:rsid w:val="006A40BA"/>
    <w:rsid w:val="006A421C"/>
    <w:rsid w:val="006A4354"/>
    <w:rsid w:val="006A4522"/>
    <w:rsid w:val="006A46E7"/>
    <w:rsid w:val="006A4899"/>
    <w:rsid w:val="006A4A3B"/>
    <w:rsid w:val="006A4AEC"/>
    <w:rsid w:val="006A4B56"/>
    <w:rsid w:val="006A4B8C"/>
    <w:rsid w:val="006A4B94"/>
    <w:rsid w:val="006A4C10"/>
    <w:rsid w:val="006A4C6F"/>
    <w:rsid w:val="006A4D88"/>
    <w:rsid w:val="006A4F8D"/>
    <w:rsid w:val="006A512D"/>
    <w:rsid w:val="006A5624"/>
    <w:rsid w:val="006A5645"/>
    <w:rsid w:val="006A5738"/>
    <w:rsid w:val="006A5988"/>
    <w:rsid w:val="006A59E2"/>
    <w:rsid w:val="006A5AAB"/>
    <w:rsid w:val="006A5BB2"/>
    <w:rsid w:val="006A5E6D"/>
    <w:rsid w:val="006A5E99"/>
    <w:rsid w:val="006A5ED8"/>
    <w:rsid w:val="006A6053"/>
    <w:rsid w:val="006A60EB"/>
    <w:rsid w:val="006A6584"/>
    <w:rsid w:val="006A65A8"/>
    <w:rsid w:val="006A6602"/>
    <w:rsid w:val="006A6666"/>
    <w:rsid w:val="006A6810"/>
    <w:rsid w:val="006A685E"/>
    <w:rsid w:val="006A6956"/>
    <w:rsid w:val="006A6AAA"/>
    <w:rsid w:val="006A6BF8"/>
    <w:rsid w:val="006A6CBF"/>
    <w:rsid w:val="006A6DDE"/>
    <w:rsid w:val="006A6E71"/>
    <w:rsid w:val="006A6ED9"/>
    <w:rsid w:val="006A73D5"/>
    <w:rsid w:val="006A74FA"/>
    <w:rsid w:val="006A75EF"/>
    <w:rsid w:val="006A761B"/>
    <w:rsid w:val="006A7773"/>
    <w:rsid w:val="006A7BB9"/>
    <w:rsid w:val="006A7C1E"/>
    <w:rsid w:val="006A7F5F"/>
    <w:rsid w:val="006A7F9F"/>
    <w:rsid w:val="006A7FAF"/>
    <w:rsid w:val="006B017B"/>
    <w:rsid w:val="006B03FC"/>
    <w:rsid w:val="006B0410"/>
    <w:rsid w:val="006B043B"/>
    <w:rsid w:val="006B04F7"/>
    <w:rsid w:val="006B0522"/>
    <w:rsid w:val="006B0633"/>
    <w:rsid w:val="006B0634"/>
    <w:rsid w:val="006B0661"/>
    <w:rsid w:val="006B0664"/>
    <w:rsid w:val="006B0668"/>
    <w:rsid w:val="006B0690"/>
    <w:rsid w:val="006B08DC"/>
    <w:rsid w:val="006B0951"/>
    <w:rsid w:val="006B0C67"/>
    <w:rsid w:val="006B0D3C"/>
    <w:rsid w:val="006B0D99"/>
    <w:rsid w:val="006B0DF4"/>
    <w:rsid w:val="006B0E08"/>
    <w:rsid w:val="006B108D"/>
    <w:rsid w:val="006B1090"/>
    <w:rsid w:val="006B113D"/>
    <w:rsid w:val="006B11CF"/>
    <w:rsid w:val="006B1255"/>
    <w:rsid w:val="006B160F"/>
    <w:rsid w:val="006B189B"/>
    <w:rsid w:val="006B199D"/>
    <w:rsid w:val="006B1B14"/>
    <w:rsid w:val="006B1E77"/>
    <w:rsid w:val="006B1EC5"/>
    <w:rsid w:val="006B20E1"/>
    <w:rsid w:val="006B2126"/>
    <w:rsid w:val="006B213C"/>
    <w:rsid w:val="006B214C"/>
    <w:rsid w:val="006B216C"/>
    <w:rsid w:val="006B22C4"/>
    <w:rsid w:val="006B254B"/>
    <w:rsid w:val="006B26E1"/>
    <w:rsid w:val="006B2807"/>
    <w:rsid w:val="006B2B6A"/>
    <w:rsid w:val="006B2BEA"/>
    <w:rsid w:val="006B2C3D"/>
    <w:rsid w:val="006B2D23"/>
    <w:rsid w:val="006B2D5C"/>
    <w:rsid w:val="006B2E24"/>
    <w:rsid w:val="006B31E0"/>
    <w:rsid w:val="006B33DC"/>
    <w:rsid w:val="006B3428"/>
    <w:rsid w:val="006B353F"/>
    <w:rsid w:val="006B358D"/>
    <w:rsid w:val="006B3732"/>
    <w:rsid w:val="006B3764"/>
    <w:rsid w:val="006B3796"/>
    <w:rsid w:val="006B3A68"/>
    <w:rsid w:val="006B3A73"/>
    <w:rsid w:val="006B3C7C"/>
    <w:rsid w:val="006B3E9C"/>
    <w:rsid w:val="006B3FDD"/>
    <w:rsid w:val="006B41B3"/>
    <w:rsid w:val="006B440F"/>
    <w:rsid w:val="006B4471"/>
    <w:rsid w:val="006B4740"/>
    <w:rsid w:val="006B4801"/>
    <w:rsid w:val="006B4804"/>
    <w:rsid w:val="006B4ACA"/>
    <w:rsid w:val="006B4D48"/>
    <w:rsid w:val="006B4DDD"/>
    <w:rsid w:val="006B500D"/>
    <w:rsid w:val="006B5160"/>
    <w:rsid w:val="006B52AB"/>
    <w:rsid w:val="006B55A7"/>
    <w:rsid w:val="006B561C"/>
    <w:rsid w:val="006B5A69"/>
    <w:rsid w:val="006B5A8D"/>
    <w:rsid w:val="006B5B9C"/>
    <w:rsid w:val="006B5CC1"/>
    <w:rsid w:val="006B5CE2"/>
    <w:rsid w:val="006B5CED"/>
    <w:rsid w:val="006B5DB1"/>
    <w:rsid w:val="006B5DE1"/>
    <w:rsid w:val="006B5F43"/>
    <w:rsid w:val="006B619B"/>
    <w:rsid w:val="006B63C0"/>
    <w:rsid w:val="006B644C"/>
    <w:rsid w:val="006B64ED"/>
    <w:rsid w:val="006B6889"/>
    <w:rsid w:val="006B6926"/>
    <w:rsid w:val="006B6B5C"/>
    <w:rsid w:val="006B6B61"/>
    <w:rsid w:val="006B6B8D"/>
    <w:rsid w:val="006B6BEE"/>
    <w:rsid w:val="006B6C6B"/>
    <w:rsid w:val="006B7513"/>
    <w:rsid w:val="006B755C"/>
    <w:rsid w:val="006B75A3"/>
    <w:rsid w:val="006B762A"/>
    <w:rsid w:val="006B7BE5"/>
    <w:rsid w:val="006B7C6E"/>
    <w:rsid w:val="006B7E86"/>
    <w:rsid w:val="006B7EBD"/>
    <w:rsid w:val="006C00C4"/>
    <w:rsid w:val="006C0180"/>
    <w:rsid w:val="006C0188"/>
    <w:rsid w:val="006C0219"/>
    <w:rsid w:val="006C03B0"/>
    <w:rsid w:val="006C03F8"/>
    <w:rsid w:val="006C074C"/>
    <w:rsid w:val="006C07AA"/>
    <w:rsid w:val="006C07B6"/>
    <w:rsid w:val="006C07C3"/>
    <w:rsid w:val="006C09DC"/>
    <w:rsid w:val="006C0B6C"/>
    <w:rsid w:val="006C0B9F"/>
    <w:rsid w:val="006C0C31"/>
    <w:rsid w:val="006C0CE4"/>
    <w:rsid w:val="006C0DE5"/>
    <w:rsid w:val="006C0E2F"/>
    <w:rsid w:val="006C0EE5"/>
    <w:rsid w:val="006C10F2"/>
    <w:rsid w:val="006C119D"/>
    <w:rsid w:val="006C17AA"/>
    <w:rsid w:val="006C17BF"/>
    <w:rsid w:val="006C18C1"/>
    <w:rsid w:val="006C1B06"/>
    <w:rsid w:val="006C1B65"/>
    <w:rsid w:val="006C1BAF"/>
    <w:rsid w:val="006C20F6"/>
    <w:rsid w:val="006C216E"/>
    <w:rsid w:val="006C2287"/>
    <w:rsid w:val="006C230D"/>
    <w:rsid w:val="006C23A6"/>
    <w:rsid w:val="006C2442"/>
    <w:rsid w:val="006C25B1"/>
    <w:rsid w:val="006C25C1"/>
    <w:rsid w:val="006C2739"/>
    <w:rsid w:val="006C2A03"/>
    <w:rsid w:val="006C2A9C"/>
    <w:rsid w:val="006C2B76"/>
    <w:rsid w:val="006C2CA7"/>
    <w:rsid w:val="006C2EE8"/>
    <w:rsid w:val="006C2F23"/>
    <w:rsid w:val="006C3115"/>
    <w:rsid w:val="006C3274"/>
    <w:rsid w:val="006C327F"/>
    <w:rsid w:val="006C33B4"/>
    <w:rsid w:val="006C34C0"/>
    <w:rsid w:val="006C34F7"/>
    <w:rsid w:val="006C34F9"/>
    <w:rsid w:val="006C3597"/>
    <w:rsid w:val="006C35CC"/>
    <w:rsid w:val="006C3619"/>
    <w:rsid w:val="006C372C"/>
    <w:rsid w:val="006C37D8"/>
    <w:rsid w:val="006C3826"/>
    <w:rsid w:val="006C3874"/>
    <w:rsid w:val="006C3900"/>
    <w:rsid w:val="006C390B"/>
    <w:rsid w:val="006C3A61"/>
    <w:rsid w:val="006C3AD6"/>
    <w:rsid w:val="006C3B1E"/>
    <w:rsid w:val="006C3B7C"/>
    <w:rsid w:val="006C3C1F"/>
    <w:rsid w:val="006C3CCF"/>
    <w:rsid w:val="006C3F87"/>
    <w:rsid w:val="006C402B"/>
    <w:rsid w:val="006C42CD"/>
    <w:rsid w:val="006C4382"/>
    <w:rsid w:val="006C43BA"/>
    <w:rsid w:val="006C4587"/>
    <w:rsid w:val="006C45E8"/>
    <w:rsid w:val="006C495B"/>
    <w:rsid w:val="006C4A39"/>
    <w:rsid w:val="006C4A75"/>
    <w:rsid w:val="006C4C2A"/>
    <w:rsid w:val="006C4D18"/>
    <w:rsid w:val="006C4D39"/>
    <w:rsid w:val="006C4F47"/>
    <w:rsid w:val="006C4FBC"/>
    <w:rsid w:val="006C4FEC"/>
    <w:rsid w:val="006C5083"/>
    <w:rsid w:val="006C5132"/>
    <w:rsid w:val="006C5136"/>
    <w:rsid w:val="006C5204"/>
    <w:rsid w:val="006C5241"/>
    <w:rsid w:val="006C53AD"/>
    <w:rsid w:val="006C53E4"/>
    <w:rsid w:val="006C5613"/>
    <w:rsid w:val="006C563D"/>
    <w:rsid w:val="006C5A0A"/>
    <w:rsid w:val="006C5A76"/>
    <w:rsid w:val="006C5B6A"/>
    <w:rsid w:val="006C5C38"/>
    <w:rsid w:val="006C5CDF"/>
    <w:rsid w:val="006C5E07"/>
    <w:rsid w:val="006C5F15"/>
    <w:rsid w:val="006C6189"/>
    <w:rsid w:val="006C62A6"/>
    <w:rsid w:val="006C6428"/>
    <w:rsid w:val="006C6649"/>
    <w:rsid w:val="006C66C0"/>
    <w:rsid w:val="006C6926"/>
    <w:rsid w:val="006C69D2"/>
    <w:rsid w:val="006C6A69"/>
    <w:rsid w:val="006C6A6E"/>
    <w:rsid w:val="006C6AE9"/>
    <w:rsid w:val="006C6E8D"/>
    <w:rsid w:val="006C6FE1"/>
    <w:rsid w:val="006C71B9"/>
    <w:rsid w:val="006C72D1"/>
    <w:rsid w:val="006C7353"/>
    <w:rsid w:val="006C7418"/>
    <w:rsid w:val="006C7476"/>
    <w:rsid w:val="006C74AF"/>
    <w:rsid w:val="006C74BE"/>
    <w:rsid w:val="006C79CB"/>
    <w:rsid w:val="006C79FD"/>
    <w:rsid w:val="006C7AE4"/>
    <w:rsid w:val="006C7D55"/>
    <w:rsid w:val="006C7D66"/>
    <w:rsid w:val="006C7E3B"/>
    <w:rsid w:val="006C7EB1"/>
    <w:rsid w:val="006C7F03"/>
    <w:rsid w:val="006C7FCE"/>
    <w:rsid w:val="006D0013"/>
    <w:rsid w:val="006D0074"/>
    <w:rsid w:val="006D0090"/>
    <w:rsid w:val="006D0322"/>
    <w:rsid w:val="006D08E1"/>
    <w:rsid w:val="006D09C6"/>
    <w:rsid w:val="006D0D7B"/>
    <w:rsid w:val="006D0D81"/>
    <w:rsid w:val="006D0E78"/>
    <w:rsid w:val="006D0F35"/>
    <w:rsid w:val="006D0F44"/>
    <w:rsid w:val="006D100C"/>
    <w:rsid w:val="006D1332"/>
    <w:rsid w:val="006D13AF"/>
    <w:rsid w:val="006D13F0"/>
    <w:rsid w:val="006D1450"/>
    <w:rsid w:val="006D1694"/>
    <w:rsid w:val="006D1802"/>
    <w:rsid w:val="006D1837"/>
    <w:rsid w:val="006D18F0"/>
    <w:rsid w:val="006D19F1"/>
    <w:rsid w:val="006D1CF1"/>
    <w:rsid w:val="006D1E81"/>
    <w:rsid w:val="006D201C"/>
    <w:rsid w:val="006D209D"/>
    <w:rsid w:val="006D22C5"/>
    <w:rsid w:val="006D22D6"/>
    <w:rsid w:val="006D230C"/>
    <w:rsid w:val="006D234F"/>
    <w:rsid w:val="006D240C"/>
    <w:rsid w:val="006D2461"/>
    <w:rsid w:val="006D266F"/>
    <w:rsid w:val="006D2860"/>
    <w:rsid w:val="006D2B9E"/>
    <w:rsid w:val="006D2C57"/>
    <w:rsid w:val="006D2D11"/>
    <w:rsid w:val="006D33AF"/>
    <w:rsid w:val="006D345E"/>
    <w:rsid w:val="006D3460"/>
    <w:rsid w:val="006D35C2"/>
    <w:rsid w:val="006D3623"/>
    <w:rsid w:val="006D365C"/>
    <w:rsid w:val="006D367C"/>
    <w:rsid w:val="006D3885"/>
    <w:rsid w:val="006D38DB"/>
    <w:rsid w:val="006D395D"/>
    <w:rsid w:val="006D3B09"/>
    <w:rsid w:val="006D3DC8"/>
    <w:rsid w:val="006D3DE9"/>
    <w:rsid w:val="006D3E22"/>
    <w:rsid w:val="006D3EDC"/>
    <w:rsid w:val="006D430D"/>
    <w:rsid w:val="006D480A"/>
    <w:rsid w:val="006D487C"/>
    <w:rsid w:val="006D4974"/>
    <w:rsid w:val="006D4C88"/>
    <w:rsid w:val="006D4DD6"/>
    <w:rsid w:val="006D4EE2"/>
    <w:rsid w:val="006D4F39"/>
    <w:rsid w:val="006D516B"/>
    <w:rsid w:val="006D5333"/>
    <w:rsid w:val="006D55EB"/>
    <w:rsid w:val="006D5702"/>
    <w:rsid w:val="006D577D"/>
    <w:rsid w:val="006D5799"/>
    <w:rsid w:val="006D58CC"/>
    <w:rsid w:val="006D5923"/>
    <w:rsid w:val="006D5988"/>
    <w:rsid w:val="006D5A8C"/>
    <w:rsid w:val="006D5C04"/>
    <w:rsid w:val="006D5C7B"/>
    <w:rsid w:val="006D5C7E"/>
    <w:rsid w:val="006D5DEF"/>
    <w:rsid w:val="006D5F82"/>
    <w:rsid w:val="006D6060"/>
    <w:rsid w:val="006D6118"/>
    <w:rsid w:val="006D61BE"/>
    <w:rsid w:val="006D6243"/>
    <w:rsid w:val="006D6410"/>
    <w:rsid w:val="006D6454"/>
    <w:rsid w:val="006D64DC"/>
    <w:rsid w:val="006D6511"/>
    <w:rsid w:val="006D6646"/>
    <w:rsid w:val="006D6841"/>
    <w:rsid w:val="006D6B42"/>
    <w:rsid w:val="006D6C2E"/>
    <w:rsid w:val="006D6F94"/>
    <w:rsid w:val="006D7103"/>
    <w:rsid w:val="006D7234"/>
    <w:rsid w:val="006D729C"/>
    <w:rsid w:val="006D737D"/>
    <w:rsid w:val="006D741D"/>
    <w:rsid w:val="006D745C"/>
    <w:rsid w:val="006D7637"/>
    <w:rsid w:val="006D78CD"/>
    <w:rsid w:val="006D78D3"/>
    <w:rsid w:val="006D7A77"/>
    <w:rsid w:val="006D7A84"/>
    <w:rsid w:val="006D7A88"/>
    <w:rsid w:val="006D7B95"/>
    <w:rsid w:val="006D7E50"/>
    <w:rsid w:val="006D7E9A"/>
    <w:rsid w:val="006E0416"/>
    <w:rsid w:val="006E0511"/>
    <w:rsid w:val="006E0555"/>
    <w:rsid w:val="006E074B"/>
    <w:rsid w:val="006E07E6"/>
    <w:rsid w:val="006E0944"/>
    <w:rsid w:val="006E09B2"/>
    <w:rsid w:val="006E0ACD"/>
    <w:rsid w:val="006E0CE1"/>
    <w:rsid w:val="006E0FD0"/>
    <w:rsid w:val="006E1003"/>
    <w:rsid w:val="006E1054"/>
    <w:rsid w:val="006E121C"/>
    <w:rsid w:val="006E1264"/>
    <w:rsid w:val="006E145E"/>
    <w:rsid w:val="006E157A"/>
    <w:rsid w:val="006E180C"/>
    <w:rsid w:val="006E1A92"/>
    <w:rsid w:val="006E1C04"/>
    <w:rsid w:val="006E1D15"/>
    <w:rsid w:val="006E1E03"/>
    <w:rsid w:val="006E1E07"/>
    <w:rsid w:val="006E20EF"/>
    <w:rsid w:val="006E212E"/>
    <w:rsid w:val="006E2342"/>
    <w:rsid w:val="006E26ED"/>
    <w:rsid w:val="006E2764"/>
    <w:rsid w:val="006E284C"/>
    <w:rsid w:val="006E28AB"/>
    <w:rsid w:val="006E2D3A"/>
    <w:rsid w:val="006E2D64"/>
    <w:rsid w:val="006E31A2"/>
    <w:rsid w:val="006E3255"/>
    <w:rsid w:val="006E326C"/>
    <w:rsid w:val="006E391C"/>
    <w:rsid w:val="006E3A64"/>
    <w:rsid w:val="006E3A98"/>
    <w:rsid w:val="006E3B94"/>
    <w:rsid w:val="006E3C03"/>
    <w:rsid w:val="006E3C19"/>
    <w:rsid w:val="006E3E11"/>
    <w:rsid w:val="006E3F68"/>
    <w:rsid w:val="006E40F9"/>
    <w:rsid w:val="006E4208"/>
    <w:rsid w:val="006E4214"/>
    <w:rsid w:val="006E4365"/>
    <w:rsid w:val="006E4484"/>
    <w:rsid w:val="006E47E7"/>
    <w:rsid w:val="006E4A75"/>
    <w:rsid w:val="006E4C65"/>
    <w:rsid w:val="006E4C88"/>
    <w:rsid w:val="006E4E15"/>
    <w:rsid w:val="006E4E72"/>
    <w:rsid w:val="006E4F8E"/>
    <w:rsid w:val="006E5109"/>
    <w:rsid w:val="006E5130"/>
    <w:rsid w:val="006E5419"/>
    <w:rsid w:val="006E54CF"/>
    <w:rsid w:val="006E56A9"/>
    <w:rsid w:val="006E5940"/>
    <w:rsid w:val="006E59A4"/>
    <w:rsid w:val="006E5A64"/>
    <w:rsid w:val="006E5AB1"/>
    <w:rsid w:val="006E5AEB"/>
    <w:rsid w:val="006E5C92"/>
    <w:rsid w:val="006E5CCF"/>
    <w:rsid w:val="006E5E7C"/>
    <w:rsid w:val="006E5E80"/>
    <w:rsid w:val="006E5F72"/>
    <w:rsid w:val="006E618B"/>
    <w:rsid w:val="006E6197"/>
    <w:rsid w:val="006E62BB"/>
    <w:rsid w:val="006E64EC"/>
    <w:rsid w:val="006E6554"/>
    <w:rsid w:val="006E65E4"/>
    <w:rsid w:val="006E6788"/>
    <w:rsid w:val="006E6933"/>
    <w:rsid w:val="006E698E"/>
    <w:rsid w:val="006E69B7"/>
    <w:rsid w:val="006E6A52"/>
    <w:rsid w:val="006E6CCC"/>
    <w:rsid w:val="006E6E1D"/>
    <w:rsid w:val="006E6FA2"/>
    <w:rsid w:val="006E6FBA"/>
    <w:rsid w:val="006E7112"/>
    <w:rsid w:val="006E7298"/>
    <w:rsid w:val="006E73E6"/>
    <w:rsid w:val="006E78FD"/>
    <w:rsid w:val="006E796B"/>
    <w:rsid w:val="006E7A1E"/>
    <w:rsid w:val="006E7A83"/>
    <w:rsid w:val="006E7B60"/>
    <w:rsid w:val="006E7F3C"/>
    <w:rsid w:val="006E7FCB"/>
    <w:rsid w:val="006F00E6"/>
    <w:rsid w:val="006F01A7"/>
    <w:rsid w:val="006F0457"/>
    <w:rsid w:val="006F0646"/>
    <w:rsid w:val="006F070E"/>
    <w:rsid w:val="006F07EE"/>
    <w:rsid w:val="006F0835"/>
    <w:rsid w:val="006F08FE"/>
    <w:rsid w:val="006F0D41"/>
    <w:rsid w:val="006F0DC9"/>
    <w:rsid w:val="006F0E78"/>
    <w:rsid w:val="006F0EA7"/>
    <w:rsid w:val="006F0F7C"/>
    <w:rsid w:val="006F1002"/>
    <w:rsid w:val="006F1004"/>
    <w:rsid w:val="006F11D9"/>
    <w:rsid w:val="006F126A"/>
    <w:rsid w:val="006F134F"/>
    <w:rsid w:val="006F13B7"/>
    <w:rsid w:val="006F14F5"/>
    <w:rsid w:val="006F1694"/>
    <w:rsid w:val="006F16AF"/>
    <w:rsid w:val="006F16DD"/>
    <w:rsid w:val="006F16E5"/>
    <w:rsid w:val="006F1A80"/>
    <w:rsid w:val="006F1ADD"/>
    <w:rsid w:val="006F1B04"/>
    <w:rsid w:val="006F1B44"/>
    <w:rsid w:val="006F1D39"/>
    <w:rsid w:val="006F1D4C"/>
    <w:rsid w:val="006F22D7"/>
    <w:rsid w:val="006F25AF"/>
    <w:rsid w:val="006F2696"/>
    <w:rsid w:val="006F2775"/>
    <w:rsid w:val="006F2A68"/>
    <w:rsid w:val="006F2AB8"/>
    <w:rsid w:val="006F2ABB"/>
    <w:rsid w:val="006F2C3F"/>
    <w:rsid w:val="006F2CEE"/>
    <w:rsid w:val="006F2CFB"/>
    <w:rsid w:val="006F2FD9"/>
    <w:rsid w:val="006F3065"/>
    <w:rsid w:val="006F30FF"/>
    <w:rsid w:val="006F33C4"/>
    <w:rsid w:val="006F34F1"/>
    <w:rsid w:val="006F38F4"/>
    <w:rsid w:val="006F3A8E"/>
    <w:rsid w:val="006F3AC2"/>
    <w:rsid w:val="006F3AF5"/>
    <w:rsid w:val="006F3B6D"/>
    <w:rsid w:val="006F3E65"/>
    <w:rsid w:val="006F3EE2"/>
    <w:rsid w:val="006F3F53"/>
    <w:rsid w:val="006F3FA2"/>
    <w:rsid w:val="006F413D"/>
    <w:rsid w:val="006F4192"/>
    <w:rsid w:val="006F4308"/>
    <w:rsid w:val="006F43C4"/>
    <w:rsid w:val="006F43D2"/>
    <w:rsid w:val="006F4470"/>
    <w:rsid w:val="006F4704"/>
    <w:rsid w:val="006F47E8"/>
    <w:rsid w:val="006F4894"/>
    <w:rsid w:val="006F4929"/>
    <w:rsid w:val="006F496A"/>
    <w:rsid w:val="006F4A32"/>
    <w:rsid w:val="006F4B8C"/>
    <w:rsid w:val="006F4C06"/>
    <w:rsid w:val="006F4D4B"/>
    <w:rsid w:val="006F4E7A"/>
    <w:rsid w:val="006F4E85"/>
    <w:rsid w:val="006F51CF"/>
    <w:rsid w:val="006F5330"/>
    <w:rsid w:val="006F535F"/>
    <w:rsid w:val="006F5452"/>
    <w:rsid w:val="006F54F2"/>
    <w:rsid w:val="006F5603"/>
    <w:rsid w:val="006F5975"/>
    <w:rsid w:val="006F59BA"/>
    <w:rsid w:val="006F5A69"/>
    <w:rsid w:val="006F5B1A"/>
    <w:rsid w:val="006F5C91"/>
    <w:rsid w:val="006F5D07"/>
    <w:rsid w:val="006F5D38"/>
    <w:rsid w:val="006F5EAD"/>
    <w:rsid w:val="006F6307"/>
    <w:rsid w:val="006F63B2"/>
    <w:rsid w:val="006F65CB"/>
    <w:rsid w:val="006F6685"/>
    <w:rsid w:val="006F682F"/>
    <w:rsid w:val="006F6840"/>
    <w:rsid w:val="006F6A0D"/>
    <w:rsid w:val="006F6B07"/>
    <w:rsid w:val="006F6BDA"/>
    <w:rsid w:val="006F6C03"/>
    <w:rsid w:val="006F6C6A"/>
    <w:rsid w:val="006F6CDF"/>
    <w:rsid w:val="006F6E6E"/>
    <w:rsid w:val="006F6EC0"/>
    <w:rsid w:val="006F6FD7"/>
    <w:rsid w:val="006F7080"/>
    <w:rsid w:val="006F716D"/>
    <w:rsid w:val="006F71C2"/>
    <w:rsid w:val="006F7232"/>
    <w:rsid w:val="006F7250"/>
    <w:rsid w:val="006F73DB"/>
    <w:rsid w:val="006F73F5"/>
    <w:rsid w:val="006F74B9"/>
    <w:rsid w:val="006F74C2"/>
    <w:rsid w:val="006F75AB"/>
    <w:rsid w:val="006F75E2"/>
    <w:rsid w:val="006F7724"/>
    <w:rsid w:val="006F773A"/>
    <w:rsid w:val="006F7752"/>
    <w:rsid w:val="006F77DD"/>
    <w:rsid w:val="006F7988"/>
    <w:rsid w:val="006F7A6E"/>
    <w:rsid w:val="006F7ACF"/>
    <w:rsid w:val="006F7AF9"/>
    <w:rsid w:val="006F7E7C"/>
    <w:rsid w:val="006F7EFE"/>
    <w:rsid w:val="006F7FD0"/>
    <w:rsid w:val="00700126"/>
    <w:rsid w:val="007001A2"/>
    <w:rsid w:val="00700299"/>
    <w:rsid w:val="007002DB"/>
    <w:rsid w:val="007004C0"/>
    <w:rsid w:val="00700754"/>
    <w:rsid w:val="0070078C"/>
    <w:rsid w:val="007008F9"/>
    <w:rsid w:val="00700904"/>
    <w:rsid w:val="00700934"/>
    <w:rsid w:val="00700A0B"/>
    <w:rsid w:val="00700A4E"/>
    <w:rsid w:val="00700A4F"/>
    <w:rsid w:val="00700DA3"/>
    <w:rsid w:val="00700E37"/>
    <w:rsid w:val="00700E9A"/>
    <w:rsid w:val="00700EF2"/>
    <w:rsid w:val="00700F43"/>
    <w:rsid w:val="007011A2"/>
    <w:rsid w:val="0070124A"/>
    <w:rsid w:val="007012E7"/>
    <w:rsid w:val="007013E3"/>
    <w:rsid w:val="007014A1"/>
    <w:rsid w:val="00701517"/>
    <w:rsid w:val="00701866"/>
    <w:rsid w:val="00701867"/>
    <w:rsid w:val="00701A86"/>
    <w:rsid w:val="00701B1E"/>
    <w:rsid w:val="00701DEB"/>
    <w:rsid w:val="00701F11"/>
    <w:rsid w:val="007020BC"/>
    <w:rsid w:val="00702294"/>
    <w:rsid w:val="0070257B"/>
    <w:rsid w:val="007026A2"/>
    <w:rsid w:val="007027B9"/>
    <w:rsid w:val="0070295D"/>
    <w:rsid w:val="00702B67"/>
    <w:rsid w:val="00702EBE"/>
    <w:rsid w:val="00702F36"/>
    <w:rsid w:val="00703116"/>
    <w:rsid w:val="007031A1"/>
    <w:rsid w:val="0070336C"/>
    <w:rsid w:val="00703489"/>
    <w:rsid w:val="0070361E"/>
    <w:rsid w:val="007038C0"/>
    <w:rsid w:val="007039EC"/>
    <w:rsid w:val="00703ABE"/>
    <w:rsid w:val="00703B32"/>
    <w:rsid w:val="00703DC2"/>
    <w:rsid w:val="00703E25"/>
    <w:rsid w:val="00703E82"/>
    <w:rsid w:val="00703EB3"/>
    <w:rsid w:val="007040D6"/>
    <w:rsid w:val="007043B5"/>
    <w:rsid w:val="00704477"/>
    <w:rsid w:val="007044A1"/>
    <w:rsid w:val="00704554"/>
    <w:rsid w:val="00704647"/>
    <w:rsid w:val="007047B8"/>
    <w:rsid w:val="007047C1"/>
    <w:rsid w:val="007047D2"/>
    <w:rsid w:val="0070496E"/>
    <w:rsid w:val="00704A03"/>
    <w:rsid w:val="00704B1E"/>
    <w:rsid w:val="00704C02"/>
    <w:rsid w:val="00704C28"/>
    <w:rsid w:val="00704D71"/>
    <w:rsid w:val="00704E37"/>
    <w:rsid w:val="00704E81"/>
    <w:rsid w:val="00704F07"/>
    <w:rsid w:val="007050D2"/>
    <w:rsid w:val="007052DC"/>
    <w:rsid w:val="007052E8"/>
    <w:rsid w:val="007053DE"/>
    <w:rsid w:val="007053F4"/>
    <w:rsid w:val="007054E7"/>
    <w:rsid w:val="0070562E"/>
    <w:rsid w:val="00705633"/>
    <w:rsid w:val="00705668"/>
    <w:rsid w:val="007056B4"/>
    <w:rsid w:val="007056EB"/>
    <w:rsid w:val="00705798"/>
    <w:rsid w:val="007057AB"/>
    <w:rsid w:val="007057BF"/>
    <w:rsid w:val="007057C1"/>
    <w:rsid w:val="0070597D"/>
    <w:rsid w:val="00705A6C"/>
    <w:rsid w:val="00705B19"/>
    <w:rsid w:val="00705D5D"/>
    <w:rsid w:val="00705D6D"/>
    <w:rsid w:val="00705DAF"/>
    <w:rsid w:val="00705E44"/>
    <w:rsid w:val="00705EBC"/>
    <w:rsid w:val="00705F75"/>
    <w:rsid w:val="00706269"/>
    <w:rsid w:val="007063A5"/>
    <w:rsid w:val="007063EE"/>
    <w:rsid w:val="00706629"/>
    <w:rsid w:val="00706834"/>
    <w:rsid w:val="00706AA4"/>
    <w:rsid w:val="00706B4A"/>
    <w:rsid w:val="00706CFC"/>
    <w:rsid w:val="00706D30"/>
    <w:rsid w:val="00706E8F"/>
    <w:rsid w:val="007070D9"/>
    <w:rsid w:val="00707132"/>
    <w:rsid w:val="00707197"/>
    <w:rsid w:val="0070745D"/>
    <w:rsid w:val="00707530"/>
    <w:rsid w:val="00707648"/>
    <w:rsid w:val="0070780C"/>
    <w:rsid w:val="00707897"/>
    <w:rsid w:val="007079DA"/>
    <w:rsid w:val="00707A9E"/>
    <w:rsid w:val="00707AF9"/>
    <w:rsid w:val="00707AFE"/>
    <w:rsid w:val="00707B54"/>
    <w:rsid w:val="00707B69"/>
    <w:rsid w:val="00707B76"/>
    <w:rsid w:val="00707CA3"/>
    <w:rsid w:val="00707DB7"/>
    <w:rsid w:val="00707E51"/>
    <w:rsid w:val="00707F3B"/>
    <w:rsid w:val="00707F6D"/>
    <w:rsid w:val="007102D8"/>
    <w:rsid w:val="0071057C"/>
    <w:rsid w:val="007105BE"/>
    <w:rsid w:val="007105F4"/>
    <w:rsid w:val="007105FF"/>
    <w:rsid w:val="00710770"/>
    <w:rsid w:val="0071079E"/>
    <w:rsid w:val="007107B3"/>
    <w:rsid w:val="007107E3"/>
    <w:rsid w:val="007108F2"/>
    <w:rsid w:val="0071096F"/>
    <w:rsid w:val="007109F7"/>
    <w:rsid w:val="00710C45"/>
    <w:rsid w:val="00710D01"/>
    <w:rsid w:val="00710D6E"/>
    <w:rsid w:val="00710D92"/>
    <w:rsid w:val="00710E05"/>
    <w:rsid w:val="00710E7E"/>
    <w:rsid w:val="00711032"/>
    <w:rsid w:val="0071116B"/>
    <w:rsid w:val="00711473"/>
    <w:rsid w:val="007114D3"/>
    <w:rsid w:val="00711B01"/>
    <w:rsid w:val="00711B94"/>
    <w:rsid w:val="00711B9A"/>
    <w:rsid w:val="00711C0F"/>
    <w:rsid w:val="00711C1C"/>
    <w:rsid w:val="00711D03"/>
    <w:rsid w:val="00711D73"/>
    <w:rsid w:val="007120F5"/>
    <w:rsid w:val="0071223C"/>
    <w:rsid w:val="00712287"/>
    <w:rsid w:val="00712409"/>
    <w:rsid w:val="0071274A"/>
    <w:rsid w:val="007127DF"/>
    <w:rsid w:val="00712873"/>
    <w:rsid w:val="00712A98"/>
    <w:rsid w:val="00712B0F"/>
    <w:rsid w:val="00712B69"/>
    <w:rsid w:val="00712D21"/>
    <w:rsid w:val="00712E17"/>
    <w:rsid w:val="00712EDB"/>
    <w:rsid w:val="00712F89"/>
    <w:rsid w:val="007130A6"/>
    <w:rsid w:val="007130F7"/>
    <w:rsid w:val="007131E3"/>
    <w:rsid w:val="007132C8"/>
    <w:rsid w:val="007134B2"/>
    <w:rsid w:val="007135D2"/>
    <w:rsid w:val="00713608"/>
    <w:rsid w:val="007136C0"/>
    <w:rsid w:val="0071377E"/>
    <w:rsid w:val="007138B0"/>
    <w:rsid w:val="00713955"/>
    <w:rsid w:val="00713A02"/>
    <w:rsid w:val="00713BF8"/>
    <w:rsid w:val="00713C44"/>
    <w:rsid w:val="00713E4C"/>
    <w:rsid w:val="00713EC2"/>
    <w:rsid w:val="007141BD"/>
    <w:rsid w:val="00714476"/>
    <w:rsid w:val="007144C2"/>
    <w:rsid w:val="00714517"/>
    <w:rsid w:val="00714585"/>
    <w:rsid w:val="007145E9"/>
    <w:rsid w:val="007147BF"/>
    <w:rsid w:val="007149F5"/>
    <w:rsid w:val="00714A88"/>
    <w:rsid w:val="00714BE5"/>
    <w:rsid w:val="00714C2A"/>
    <w:rsid w:val="00714D00"/>
    <w:rsid w:val="00714D1E"/>
    <w:rsid w:val="00714FA7"/>
    <w:rsid w:val="00715236"/>
    <w:rsid w:val="00715257"/>
    <w:rsid w:val="007152A4"/>
    <w:rsid w:val="00715526"/>
    <w:rsid w:val="00715543"/>
    <w:rsid w:val="0071562B"/>
    <w:rsid w:val="0071591F"/>
    <w:rsid w:val="00715AA4"/>
    <w:rsid w:val="00715BEB"/>
    <w:rsid w:val="00716006"/>
    <w:rsid w:val="00716061"/>
    <w:rsid w:val="00716316"/>
    <w:rsid w:val="00716340"/>
    <w:rsid w:val="00716516"/>
    <w:rsid w:val="007168EC"/>
    <w:rsid w:val="00716998"/>
    <w:rsid w:val="00716ABA"/>
    <w:rsid w:val="00716AC7"/>
    <w:rsid w:val="00716B83"/>
    <w:rsid w:val="00716C9E"/>
    <w:rsid w:val="00716CB4"/>
    <w:rsid w:val="00716E56"/>
    <w:rsid w:val="00716F0C"/>
    <w:rsid w:val="00716F55"/>
    <w:rsid w:val="0071703A"/>
    <w:rsid w:val="007171CB"/>
    <w:rsid w:val="007171D1"/>
    <w:rsid w:val="0071721D"/>
    <w:rsid w:val="007173A9"/>
    <w:rsid w:val="0071758B"/>
    <w:rsid w:val="007176AB"/>
    <w:rsid w:val="00717828"/>
    <w:rsid w:val="00717830"/>
    <w:rsid w:val="007179FD"/>
    <w:rsid w:val="00717A22"/>
    <w:rsid w:val="00717A34"/>
    <w:rsid w:val="00717A87"/>
    <w:rsid w:val="00717AAE"/>
    <w:rsid w:val="00717AC9"/>
    <w:rsid w:val="00717B6A"/>
    <w:rsid w:val="00717B9D"/>
    <w:rsid w:val="00717C20"/>
    <w:rsid w:val="00717C94"/>
    <w:rsid w:val="00717EDD"/>
    <w:rsid w:val="00720175"/>
    <w:rsid w:val="0072025E"/>
    <w:rsid w:val="007203E5"/>
    <w:rsid w:val="0072054E"/>
    <w:rsid w:val="007205A0"/>
    <w:rsid w:val="007205AE"/>
    <w:rsid w:val="00720650"/>
    <w:rsid w:val="00720707"/>
    <w:rsid w:val="0072079A"/>
    <w:rsid w:val="007209F2"/>
    <w:rsid w:val="00720AE2"/>
    <w:rsid w:val="00720AE6"/>
    <w:rsid w:val="00720C6F"/>
    <w:rsid w:val="00720CBF"/>
    <w:rsid w:val="00720DD6"/>
    <w:rsid w:val="00720E6A"/>
    <w:rsid w:val="00720EC8"/>
    <w:rsid w:val="0072106A"/>
    <w:rsid w:val="007210FA"/>
    <w:rsid w:val="0072120D"/>
    <w:rsid w:val="0072126B"/>
    <w:rsid w:val="00721323"/>
    <w:rsid w:val="0072133F"/>
    <w:rsid w:val="00721475"/>
    <w:rsid w:val="007215A2"/>
    <w:rsid w:val="007215AB"/>
    <w:rsid w:val="0072193F"/>
    <w:rsid w:val="007219DD"/>
    <w:rsid w:val="007219FE"/>
    <w:rsid w:val="00721BA4"/>
    <w:rsid w:val="00721BBC"/>
    <w:rsid w:val="00721D3C"/>
    <w:rsid w:val="00721EFD"/>
    <w:rsid w:val="007220F1"/>
    <w:rsid w:val="0072212A"/>
    <w:rsid w:val="0072251F"/>
    <w:rsid w:val="00722643"/>
    <w:rsid w:val="0072282E"/>
    <w:rsid w:val="007228BC"/>
    <w:rsid w:val="00722BC7"/>
    <w:rsid w:val="00722C1D"/>
    <w:rsid w:val="00722C68"/>
    <w:rsid w:val="00722CEC"/>
    <w:rsid w:val="00722E07"/>
    <w:rsid w:val="00722E51"/>
    <w:rsid w:val="00722ED9"/>
    <w:rsid w:val="00722FD9"/>
    <w:rsid w:val="007230CC"/>
    <w:rsid w:val="007230EC"/>
    <w:rsid w:val="0072316D"/>
    <w:rsid w:val="007231C3"/>
    <w:rsid w:val="007232A1"/>
    <w:rsid w:val="0072333D"/>
    <w:rsid w:val="007233A8"/>
    <w:rsid w:val="007234A4"/>
    <w:rsid w:val="007234F4"/>
    <w:rsid w:val="00723535"/>
    <w:rsid w:val="0072354B"/>
    <w:rsid w:val="0072360B"/>
    <w:rsid w:val="007236DA"/>
    <w:rsid w:val="007237F5"/>
    <w:rsid w:val="00723A17"/>
    <w:rsid w:val="00723B72"/>
    <w:rsid w:val="00723B93"/>
    <w:rsid w:val="00723C59"/>
    <w:rsid w:val="00723D3C"/>
    <w:rsid w:val="00723E05"/>
    <w:rsid w:val="00723E3F"/>
    <w:rsid w:val="00723E83"/>
    <w:rsid w:val="00723F00"/>
    <w:rsid w:val="00723F4C"/>
    <w:rsid w:val="007241AD"/>
    <w:rsid w:val="0072468B"/>
    <w:rsid w:val="00724743"/>
    <w:rsid w:val="0072489C"/>
    <w:rsid w:val="00724943"/>
    <w:rsid w:val="007249BB"/>
    <w:rsid w:val="00724BC0"/>
    <w:rsid w:val="00724C5C"/>
    <w:rsid w:val="00724C8A"/>
    <w:rsid w:val="00724CB5"/>
    <w:rsid w:val="00724EFE"/>
    <w:rsid w:val="00724FB7"/>
    <w:rsid w:val="00725321"/>
    <w:rsid w:val="0072542D"/>
    <w:rsid w:val="00725479"/>
    <w:rsid w:val="0072557A"/>
    <w:rsid w:val="007257B2"/>
    <w:rsid w:val="00725822"/>
    <w:rsid w:val="00725853"/>
    <w:rsid w:val="00725860"/>
    <w:rsid w:val="00725A51"/>
    <w:rsid w:val="00725A54"/>
    <w:rsid w:val="00725AD7"/>
    <w:rsid w:val="00725AFB"/>
    <w:rsid w:val="00725C8A"/>
    <w:rsid w:val="00725FBD"/>
    <w:rsid w:val="00726030"/>
    <w:rsid w:val="0072607A"/>
    <w:rsid w:val="007260C8"/>
    <w:rsid w:val="007261AE"/>
    <w:rsid w:val="007261B2"/>
    <w:rsid w:val="0072639B"/>
    <w:rsid w:val="0072650D"/>
    <w:rsid w:val="007265F8"/>
    <w:rsid w:val="0072661F"/>
    <w:rsid w:val="007267BF"/>
    <w:rsid w:val="007268AA"/>
    <w:rsid w:val="007269A7"/>
    <w:rsid w:val="00726A38"/>
    <w:rsid w:val="00726ACB"/>
    <w:rsid w:val="00726B56"/>
    <w:rsid w:val="00726D09"/>
    <w:rsid w:val="00726D21"/>
    <w:rsid w:val="00726E99"/>
    <w:rsid w:val="00727062"/>
    <w:rsid w:val="007270BE"/>
    <w:rsid w:val="00727197"/>
    <w:rsid w:val="00727301"/>
    <w:rsid w:val="0072730B"/>
    <w:rsid w:val="00727336"/>
    <w:rsid w:val="0072736D"/>
    <w:rsid w:val="007275B4"/>
    <w:rsid w:val="00727616"/>
    <w:rsid w:val="007276BB"/>
    <w:rsid w:val="007276E3"/>
    <w:rsid w:val="00727BA9"/>
    <w:rsid w:val="00727C44"/>
    <w:rsid w:val="00727DD2"/>
    <w:rsid w:val="00727DD3"/>
    <w:rsid w:val="00727DE2"/>
    <w:rsid w:val="00727E1B"/>
    <w:rsid w:val="007300DC"/>
    <w:rsid w:val="0073026F"/>
    <w:rsid w:val="00730492"/>
    <w:rsid w:val="007304A6"/>
    <w:rsid w:val="0073056A"/>
    <w:rsid w:val="007306FD"/>
    <w:rsid w:val="00730755"/>
    <w:rsid w:val="00730878"/>
    <w:rsid w:val="00730C12"/>
    <w:rsid w:val="00730C70"/>
    <w:rsid w:val="00730E5E"/>
    <w:rsid w:val="00731440"/>
    <w:rsid w:val="0073149F"/>
    <w:rsid w:val="0073162A"/>
    <w:rsid w:val="00731837"/>
    <w:rsid w:val="00731895"/>
    <w:rsid w:val="00731984"/>
    <w:rsid w:val="00731C4D"/>
    <w:rsid w:val="00731D56"/>
    <w:rsid w:val="00731DD1"/>
    <w:rsid w:val="00731EF6"/>
    <w:rsid w:val="007321B9"/>
    <w:rsid w:val="0073228B"/>
    <w:rsid w:val="007322F2"/>
    <w:rsid w:val="00732375"/>
    <w:rsid w:val="0073237E"/>
    <w:rsid w:val="007324B6"/>
    <w:rsid w:val="00732B73"/>
    <w:rsid w:val="00732C05"/>
    <w:rsid w:val="007331CC"/>
    <w:rsid w:val="00733254"/>
    <w:rsid w:val="0073346E"/>
    <w:rsid w:val="0073347A"/>
    <w:rsid w:val="00733515"/>
    <w:rsid w:val="007335A1"/>
    <w:rsid w:val="007335B3"/>
    <w:rsid w:val="0073360A"/>
    <w:rsid w:val="00733758"/>
    <w:rsid w:val="00733817"/>
    <w:rsid w:val="007338CE"/>
    <w:rsid w:val="00733911"/>
    <w:rsid w:val="00733A4B"/>
    <w:rsid w:val="00733A80"/>
    <w:rsid w:val="00733CD9"/>
    <w:rsid w:val="00733EF7"/>
    <w:rsid w:val="00733FE3"/>
    <w:rsid w:val="0073415E"/>
    <w:rsid w:val="00734303"/>
    <w:rsid w:val="0073432F"/>
    <w:rsid w:val="0073433E"/>
    <w:rsid w:val="0073461F"/>
    <w:rsid w:val="00734684"/>
    <w:rsid w:val="00734B1D"/>
    <w:rsid w:val="00734B20"/>
    <w:rsid w:val="00734B80"/>
    <w:rsid w:val="00734BF4"/>
    <w:rsid w:val="00734C4D"/>
    <w:rsid w:val="00734EDB"/>
    <w:rsid w:val="00734F45"/>
    <w:rsid w:val="007352D3"/>
    <w:rsid w:val="00735371"/>
    <w:rsid w:val="007353DE"/>
    <w:rsid w:val="00735605"/>
    <w:rsid w:val="007357CD"/>
    <w:rsid w:val="00735A20"/>
    <w:rsid w:val="00735A6E"/>
    <w:rsid w:val="00735C96"/>
    <w:rsid w:val="00735CEF"/>
    <w:rsid w:val="00735DC4"/>
    <w:rsid w:val="00735E28"/>
    <w:rsid w:val="00735E71"/>
    <w:rsid w:val="00735F84"/>
    <w:rsid w:val="00735FAD"/>
    <w:rsid w:val="00736019"/>
    <w:rsid w:val="0073604F"/>
    <w:rsid w:val="007361F1"/>
    <w:rsid w:val="0073624A"/>
    <w:rsid w:val="007362E6"/>
    <w:rsid w:val="007364CC"/>
    <w:rsid w:val="0073664A"/>
    <w:rsid w:val="00736817"/>
    <w:rsid w:val="00736930"/>
    <w:rsid w:val="00736987"/>
    <w:rsid w:val="00736AD4"/>
    <w:rsid w:val="00736E72"/>
    <w:rsid w:val="00736ECA"/>
    <w:rsid w:val="00736F21"/>
    <w:rsid w:val="0073703D"/>
    <w:rsid w:val="0073717F"/>
    <w:rsid w:val="007371E8"/>
    <w:rsid w:val="00737281"/>
    <w:rsid w:val="00737491"/>
    <w:rsid w:val="007376E0"/>
    <w:rsid w:val="00737765"/>
    <w:rsid w:val="00737926"/>
    <w:rsid w:val="00737935"/>
    <w:rsid w:val="00737B35"/>
    <w:rsid w:val="00737CA6"/>
    <w:rsid w:val="00737F64"/>
    <w:rsid w:val="00740115"/>
    <w:rsid w:val="0074029D"/>
    <w:rsid w:val="007404DE"/>
    <w:rsid w:val="0074050F"/>
    <w:rsid w:val="00740623"/>
    <w:rsid w:val="007406A0"/>
    <w:rsid w:val="0074075F"/>
    <w:rsid w:val="0074084C"/>
    <w:rsid w:val="00740959"/>
    <w:rsid w:val="00740B1B"/>
    <w:rsid w:val="00740DC3"/>
    <w:rsid w:val="00740E65"/>
    <w:rsid w:val="0074103B"/>
    <w:rsid w:val="00741211"/>
    <w:rsid w:val="0074125E"/>
    <w:rsid w:val="00741436"/>
    <w:rsid w:val="00741586"/>
    <w:rsid w:val="007415E2"/>
    <w:rsid w:val="007416A6"/>
    <w:rsid w:val="007416AD"/>
    <w:rsid w:val="007419B0"/>
    <w:rsid w:val="00741BB7"/>
    <w:rsid w:val="00741BD6"/>
    <w:rsid w:val="00741E35"/>
    <w:rsid w:val="00741F66"/>
    <w:rsid w:val="00741FE6"/>
    <w:rsid w:val="0074219C"/>
    <w:rsid w:val="007423A0"/>
    <w:rsid w:val="007423FA"/>
    <w:rsid w:val="00742475"/>
    <w:rsid w:val="0074274A"/>
    <w:rsid w:val="00742758"/>
    <w:rsid w:val="00742A90"/>
    <w:rsid w:val="00742D30"/>
    <w:rsid w:val="00742D72"/>
    <w:rsid w:val="00742E42"/>
    <w:rsid w:val="00742EC5"/>
    <w:rsid w:val="007433E6"/>
    <w:rsid w:val="00743440"/>
    <w:rsid w:val="00743498"/>
    <w:rsid w:val="00743521"/>
    <w:rsid w:val="0074379A"/>
    <w:rsid w:val="007437A6"/>
    <w:rsid w:val="007437FB"/>
    <w:rsid w:val="0074392B"/>
    <w:rsid w:val="00743939"/>
    <w:rsid w:val="007439E3"/>
    <w:rsid w:val="00743ADD"/>
    <w:rsid w:val="00743B6B"/>
    <w:rsid w:val="00743DC4"/>
    <w:rsid w:val="00743DD3"/>
    <w:rsid w:val="00743DF8"/>
    <w:rsid w:val="007440B7"/>
    <w:rsid w:val="007442ED"/>
    <w:rsid w:val="007443E6"/>
    <w:rsid w:val="007444E8"/>
    <w:rsid w:val="0074475A"/>
    <w:rsid w:val="0074479C"/>
    <w:rsid w:val="0074490D"/>
    <w:rsid w:val="00744A5F"/>
    <w:rsid w:val="00744CC9"/>
    <w:rsid w:val="00744CF3"/>
    <w:rsid w:val="00744DA0"/>
    <w:rsid w:val="00744DA2"/>
    <w:rsid w:val="00744DB5"/>
    <w:rsid w:val="00744DE9"/>
    <w:rsid w:val="00744E18"/>
    <w:rsid w:val="00744F08"/>
    <w:rsid w:val="00744F23"/>
    <w:rsid w:val="00744F2E"/>
    <w:rsid w:val="00745133"/>
    <w:rsid w:val="00745139"/>
    <w:rsid w:val="00745359"/>
    <w:rsid w:val="007453CB"/>
    <w:rsid w:val="00745612"/>
    <w:rsid w:val="007456A3"/>
    <w:rsid w:val="0074595B"/>
    <w:rsid w:val="0074598C"/>
    <w:rsid w:val="007459B5"/>
    <w:rsid w:val="00745A02"/>
    <w:rsid w:val="00745BE5"/>
    <w:rsid w:val="00745E92"/>
    <w:rsid w:val="007460B4"/>
    <w:rsid w:val="007460C6"/>
    <w:rsid w:val="00746114"/>
    <w:rsid w:val="00746121"/>
    <w:rsid w:val="00746183"/>
    <w:rsid w:val="007463B2"/>
    <w:rsid w:val="007463E0"/>
    <w:rsid w:val="007463ED"/>
    <w:rsid w:val="00746504"/>
    <w:rsid w:val="00746720"/>
    <w:rsid w:val="007467E8"/>
    <w:rsid w:val="00746918"/>
    <w:rsid w:val="00746A23"/>
    <w:rsid w:val="00746ABC"/>
    <w:rsid w:val="00746BCA"/>
    <w:rsid w:val="00746BD4"/>
    <w:rsid w:val="00746DDC"/>
    <w:rsid w:val="00746DF6"/>
    <w:rsid w:val="00747045"/>
    <w:rsid w:val="007470EF"/>
    <w:rsid w:val="00747135"/>
    <w:rsid w:val="0074720C"/>
    <w:rsid w:val="007472D6"/>
    <w:rsid w:val="0074734E"/>
    <w:rsid w:val="007473B4"/>
    <w:rsid w:val="007475E4"/>
    <w:rsid w:val="00747633"/>
    <w:rsid w:val="00747816"/>
    <w:rsid w:val="00747896"/>
    <w:rsid w:val="00747A58"/>
    <w:rsid w:val="00747B1F"/>
    <w:rsid w:val="00747C3B"/>
    <w:rsid w:val="00747CAE"/>
    <w:rsid w:val="00747FA6"/>
    <w:rsid w:val="0075009B"/>
    <w:rsid w:val="007503AA"/>
    <w:rsid w:val="007505FF"/>
    <w:rsid w:val="0075060D"/>
    <w:rsid w:val="007506B5"/>
    <w:rsid w:val="00750A64"/>
    <w:rsid w:val="00750AE3"/>
    <w:rsid w:val="00750B13"/>
    <w:rsid w:val="00750BC8"/>
    <w:rsid w:val="00750BF5"/>
    <w:rsid w:val="00750CAB"/>
    <w:rsid w:val="00750DA6"/>
    <w:rsid w:val="00750DAE"/>
    <w:rsid w:val="0075157B"/>
    <w:rsid w:val="00751687"/>
    <w:rsid w:val="00751807"/>
    <w:rsid w:val="00751A62"/>
    <w:rsid w:val="00751AD2"/>
    <w:rsid w:val="00751B02"/>
    <w:rsid w:val="00751B7F"/>
    <w:rsid w:val="00751CFA"/>
    <w:rsid w:val="00751E58"/>
    <w:rsid w:val="00751E82"/>
    <w:rsid w:val="00751F2F"/>
    <w:rsid w:val="00751FB1"/>
    <w:rsid w:val="007520FB"/>
    <w:rsid w:val="00752217"/>
    <w:rsid w:val="007523C6"/>
    <w:rsid w:val="007523D8"/>
    <w:rsid w:val="0075243C"/>
    <w:rsid w:val="007524A4"/>
    <w:rsid w:val="007524F0"/>
    <w:rsid w:val="00752534"/>
    <w:rsid w:val="00752614"/>
    <w:rsid w:val="0075266F"/>
    <w:rsid w:val="00752943"/>
    <w:rsid w:val="007529BD"/>
    <w:rsid w:val="007529C1"/>
    <w:rsid w:val="00752AE2"/>
    <w:rsid w:val="00752BC8"/>
    <w:rsid w:val="00752D67"/>
    <w:rsid w:val="00752DB1"/>
    <w:rsid w:val="00752F2A"/>
    <w:rsid w:val="00752FE4"/>
    <w:rsid w:val="00752FE7"/>
    <w:rsid w:val="0075305C"/>
    <w:rsid w:val="0075306A"/>
    <w:rsid w:val="0075313E"/>
    <w:rsid w:val="007533F6"/>
    <w:rsid w:val="0075349E"/>
    <w:rsid w:val="00753664"/>
    <w:rsid w:val="0075366E"/>
    <w:rsid w:val="0075374F"/>
    <w:rsid w:val="00753951"/>
    <w:rsid w:val="007539F8"/>
    <w:rsid w:val="00753A5E"/>
    <w:rsid w:val="00753BD3"/>
    <w:rsid w:val="00753C5D"/>
    <w:rsid w:val="00753D6E"/>
    <w:rsid w:val="00753ED7"/>
    <w:rsid w:val="00753EDD"/>
    <w:rsid w:val="00753FA6"/>
    <w:rsid w:val="0075418E"/>
    <w:rsid w:val="007541C9"/>
    <w:rsid w:val="007541F2"/>
    <w:rsid w:val="007543E7"/>
    <w:rsid w:val="00754582"/>
    <w:rsid w:val="00754841"/>
    <w:rsid w:val="00754F62"/>
    <w:rsid w:val="00755131"/>
    <w:rsid w:val="00755183"/>
    <w:rsid w:val="00755216"/>
    <w:rsid w:val="007552F8"/>
    <w:rsid w:val="0075551E"/>
    <w:rsid w:val="0075553A"/>
    <w:rsid w:val="007558D2"/>
    <w:rsid w:val="00755AD7"/>
    <w:rsid w:val="00755C44"/>
    <w:rsid w:val="00755C5D"/>
    <w:rsid w:val="00755D31"/>
    <w:rsid w:val="00755D8F"/>
    <w:rsid w:val="00755DC0"/>
    <w:rsid w:val="00755EA2"/>
    <w:rsid w:val="00755FD3"/>
    <w:rsid w:val="00756002"/>
    <w:rsid w:val="00756118"/>
    <w:rsid w:val="00756142"/>
    <w:rsid w:val="00756515"/>
    <w:rsid w:val="0075658D"/>
    <w:rsid w:val="00756653"/>
    <w:rsid w:val="0075677F"/>
    <w:rsid w:val="0075682F"/>
    <w:rsid w:val="0075686F"/>
    <w:rsid w:val="007568A5"/>
    <w:rsid w:val="0075691F"/>
    <w:rsid w:val="00756A5E"/>
    <w:rsid w:val="00756BC8"/>
    <w:rsid w:val="00756FA4"/>
    <w:rsid w:val="0075715D"/>
    <w:rsid w:val="007571D3"/>
    <w:rsid w:val="00757266"/>
    <w:rsid w:val="00757367"/>
    <w:rsid w:val="0075736E"/>
    <w:rsid w:val="0075739D"/>
    <w:rsid w:val="0075766C"/>
    <w:rsid w:val="00757760"/>
    <w:rsid w:val="00757799"/>
    <w:rsid w:val="007577C1"/>
    <w:rsid w:val="007579F8"/>
    <w:rsid w:val="00757A53"/>
    <w:rsid w:val="00757B98"/>
    <w:rsid w:val="00757D55"/>
    <w:rsid w:val="00757D62"/>
    <w:rsid w:val="0076012F"/>
    <w:rsid w:val="007602AD"/>
    <w:rsid w:val="007603D4"/>
    <w:rsid w:val="0076049E"/>
    <w:rsid w:val="007604AB"/>
    <w:rsid w:val="0076056C"/>
    <w:rsid w:val="00760668"/>
    <w:rsid w:val="00760831"/>
    <w:rsid w:val="0076096E"/>
    <w:rsid w:val="007609E8"/>
    <w:rsid w:val="00760B04"/>
    <w:rsid w:val="00760B53"/>
    <w:rsid w:val="00760DFC"/>
    <w:rsid w:val="00760F6D"/>
    <w:rsid w:val="007610A1"/>
    <w:rsid w:val="0076129F"/>
    <w:rsid w:val="00761461"/>
    <w:rsid w:val="007614B2"/>
    <w:rsid w:val="007616A0"/>
    <w:rsid w:val="00761898"/>
    <w:rsid w:val="007618BE"/>
    <w:rsid w:val="0076193C"/>
    <w:rsid w:val="00761C3D"/>
    <w:rsid w:val="00761C77"/>
    <w:rsid w:val="00761D38"/>
    <w:rsid w:val="00761FE5"/>
    <w:rsid w:val="00762255"/>
    <w:rsid w:val="007622BD"/>
    <w:rsid w:val="007622EF"/>
    <w:rsid w:val="0076235C"/>
    <w:rsid w:val="0076237F"/>
    <w:rsid w:val="007626E2"/>
    <w:rsid w:val="00762DCC"/>
    <w:rsid w:val="00762E81"/>
    <w:rsid w:val="00762E94"/>
    <w:rsid w:val="00762F40"/>
    <w:rsid w:val="00762FD5"/>
    <w:rsid w:val="00762FEC"/>
    <w:rsid w:val="0076302A"/>
    <w:rsid w:val="00763089"/>
    <w:rsid w:val="007630FC"/>
    <w:rsid w:val="007631C0"/>
    <w:rsid w:val="00763364"/>
    <w:rsid w:val="00763410"/>
    <w:rsid w:val="00763454"/>
    <w:rsid w:val="0076348B"/>
    <w:rsid w:val="0076351C"/>
    <w:rsid w:val="00763576"/>
    <w:rsid w:val="0076375F"/>
    <w:rsid w:val="0076382D"/>
    <w:rsid w:val="007638CA"/>
    <w:rsid w:val="00763968"/>
    <w:rsid w:val="007639D0"/>
    <w:rsid w:val="007639D7"/>
    <w:rsid w:val="00763B87"/>
    <w:rsid w:val="00763C0B"/>
    <w:rsid w:val="00763CCD"/>
    <w:rsid w:val="00763D71"/>
    <w:rsid w:val="00764206"/>
    <w:rsid w:val="0076424A"/>
    <w:rsid w:val="0076436D"/>
    <w:rsid w:val="00764542"/>
    <w:rsid w:val="00764549"/>
    <w:rsid w:val="007646F4"/>
    <w:rsid w:val="007648C1"/>
    <w:rsid w:val="00764991"/>
    <w:rsid w:val="00764B3D"/>
    <w:rsid w:val="00764BFD"/>
    <w:rsid w:val="00764F16"/>
    <w:rsid w:val="0076505C"/>
    <w:rsid w:val="0076506F"/>
    <w:rsid w:val="007651DC"/>
    <w:rsid w:val="00765288"/>
    <w:rsid w:val="0076546D"/>
    <w:rsid w:val="00765A1A"/>
    <w:rsid w:val="00765B26"/>
    <w:rsid w:val="00765C85"/>
    <w:rsid w:val="00765CD8"/>
    <w:rsid w:val="00765D1A"/>
    <w:rsid w:val="00765DBC"/>
    <w:rsid w:val="00766110"/>
    <w:rsid w:val="00766221"/>
    <w:rsid w:val="0076624C"/>
    <w:rsid w:val="007662DF"/>
    <w:rsid w:val="007663CD"/>
    <w:rsid w:val="007664CB"/>
    <w:rsid w:val="0076669F"/>
    <w:rsid w:val="00766785"/>
    <w:rsid w:val="00766820"/>
    <w:rsid w:val="00766928"/>
    <w:rsid w:val="007669A4"/>
    <w:rsid w:val="00766CA9"/>
    <w:rsid w:val="00766E2C"/>
    <w:rsid w:val="00766E3E"/>
    <w:rsid w:val="00766FA7"/>
    <w:rsid w:val="00766FB9"/>
    <w:rsid w:val="007671A7"/>
    <w:rsid w:val="007671AF"/>
    <w:rsid w:val="00767233"/>
    <w:rsid w:val="0076725B"/>
    <w:rsid w:val="007672D4"/>
    <w:rsid w:val="007674A9"/>
    <w:rsid w:val="00767553"/>
    <w:rsid w:val="007676E3"/>
    <w:rsid w:val="007677A8"/>
    <w:rsid w:val="00767B19"/>
    <w:rsid w:val="00767B8D"/>
    <w:rsid w:val="00767BB6"/>
    <w:rsid w:val="00767BBA"/>
    <w:rsid w:val="00767BC6"/>
    <w:rsid w:val="00767F64"/>
    <w:rsid w:val="00767F85"/>
    <w:rsid w:val="0077007F"/>
    <w:rsid w:val="00770144"/>
    <w:rsid w:val="00770192"/>
    <w:rsid w:val="00770203"/>
    <w:rsid w:val="007702FC"/>
    <w:rsid w:val="007704C7"/>
    <w:rsid w:val="0077053C"/>
    <w:rsid w:val="0077066B"/>
    <w:rsid w:val="007706AC"/>
    <w:rsid w:val="00770707"/>
    <w:rsid w:val="0077074C"/>
    <w:rsid w:val="00770873"/>
    <w:rsid w:val="0077096C"/>
    <w:rsid w:val="007709D8"/>
    <w:rsid w:val="00770AB8"/>
    <w:rsid w:val="00770B3F"/>
    <w:rsid w:val="00770BBE"/>
    <w:rsid w:val="00770F62"/>
    <w:rsid w:val="00770FD6"/>
    <w:rsid w:val="007710D7"/>
    <w:rsid w:val="0077119A"/>
    <w:rsid w:val="00771359"/>
    <w:rsid w:val="007714B1"/>
    <w:rsid w:val="007715F4"/>
    <w:rsid w:val="007715FA"/>
    <w:rsid w:val="00771723"/>
    <w:rsid w:val="007718D3"/>
    <w:rsid w:val="00771A4B"/>
    <w:rsid w:val="00771D29"/>
    <w:rsid w:val="00771F25"/>
    <w:rsid w:val="00771FC6"/>
    <w:rsid w:val="007721FB"/>
    <w:rsid w:val="00772539"/>
    <w:rsid w:val="0077260C"/>
    <w:rsid w:val="007729D6"/>
    <w:rsid w:val="00772B04"/>
    <w:rsid w:val="00772B7A"/>
    <w:rsid w:val="00772C20"/>
    <w:rsid w:val="00772C73"/>
    <w:rsid w:val="00772D83"/>
    <w:rsid w:val="00772E58"/>
    <w:rsid w:val="00772EA9"/>
    <w:rsid w:val="00772F41"/>
    <w:rsid w:val="00772F98"/>
    <w:rsid w:val="00773113"/>
    <w:rsid w:val="00773150"/>
    <w:rsid w:val="007737BA"/>
    <w:rsid w:val="007739AC"/>
    <w:rsid w:val="00773A50"/>
    <w:rsid w:val="00773CCB"/>
    <w:rsid w:val="00773D30"/>
    <w:rsid w:val="00773E8E"/>
    <w:rsid w:val="00773EB7"/>
    <w:rsid w:val="00774147"/>
    <w:rsid w:val="0077451C"/>
    <w:rsid w:val="007746BD"/>
    <w:rsid w:val="007746D6"/>
    <w:rsid w:val="007746F4"/>
    <w:rsid w:val="0077495A"/>
    <w:rsid w:val="00774B27"/>
    <w:rsid w:val="00774C69"/>
    <w:rsid w:val="00774DB3"/>
    <w:rsid w:val="00774F5D"/>
    <w:rsid w:val="00775039"/>
    <w:rsid w:val="0077504D"/>
    <w:rsid w:val="0077549E"/>
    <w:rsid w:val="007754FC"/>
    <w:rsid w:val="0077592F"/>
    <w:rsid w:val="00775C9C"/>
    <w:rsid w:val="00775DA8"/>
    <w:rsid w:val="00775DC5"/>
    <w:rsid w:val="00775EBB"/>
    <w:rsid w:val="00775ED5"/>
    <w:rsid w:val="007760DD"/>
    <w:rsid w:val="007762CB"/>
    <w:rsid w:val="0077632E"/>
    <w:rsid w:val="00776378"/>
    <w:rsid w:val="0077650B"/>
    <w:rsid w:val="007765A5"/>
    <w:rsid w:val="007765ED"/>
    <w:rsid w:val="00776754"/>
    <w:rsid w:val="00776766"/>
    <w:rsid w:val="00776771"/>
    <w:rsid w:val="00776AEA"/>
    <w:rsid w:val="00776BC8"/>
    <w:rsid w:val="00776C95"/>
    <w:rsid w:val="00776E1D"/>
    <w:rsid w:val="00776F16"/>
    <w:rsid w:val="00776F3C"/>
    <w:rsid w:val="00776F9B"/>
    <w:rsid w:val="00777038"/>
    <w:rsid w:val="007770FB"/>
    <w:rsid w:val="00777266"/>
    <w:rsid w:val="007772D8"/>
    <w:rsid w:val="00777367"/>
    <w:rsid w:val="00777700"/>
    <w:rsid w:val="007777CD"/>
    <w:rsid w:val="00777B4D"/>
    <w:rsid w:val="00780081"/>
    <w:rsid w:val="007803A7"/>
    <w:rsid w:val="007805D4"/>
    <w:rsid w:val="0078066F"/>
    <w:rsid w:val="00780866"/>
    <w:rsid w:val="0078088B"/>
    <w:rsid w:val="0078089F"/>
    <w:rsid w:val="007809C2"/>
    <w:rsid w:val="007809EB"/>
    <w:rsid w:val="00780B03"/>
    <w:rsid w:val="00780C76"/>
    <w:rsid w:val="00780C9C"/>
    <w:rsid w:val="00780F20"/>
    <w:rsid w:val="00780F2E"/>
    <w:rsid w:val="007810EE"/>
    <w:rsid w:val="00781142"/>
    <w:rsid w:val="007811E2"/>
    <w:rsid w:val="007812D2"/>
    <w:rsid w:val="007813C8"/>
    <w:rsid w:val="00781549"/>
    <w:rsid w:val="007815D2"/>
    <w:rsid w:val="007817A6"/>
    <w:rsid w:val="00781834"/>
    <w:rsid w:val="007818CA"/>
    <w:rsid w:val="00781992"/>
    <w:rsid w:val="00781CF8"/>
    <w:rsid w:val="00781F20"/>
    <w:rsid w:val="00781F93"/>
    <w:rsid w:val="0078200B"/>
    <w:rsid w:val="00782032"/>
    <w:rsid w:val="007821EB"/>
    <w:rsid w:val="007823E1"/>
    <w:rsid w:val="00782755"/>
    <w:rsid w:val="007828C7"/>
    <w:rsid w:val="00782C2B"/>
    <w:rsid w:val="00782D29"/>
    <w:rsid w:val="00782E27"/>
    <w:rsid w:val="0078323F"/>
    <w:rsid w:val="00783266"/>
    <w:rsid w:val="00783379"/>
    <w:rsid w:val="0078365C"/>
    <w:rsid w:val="00783665"/>
    <w:rsid w:val="007837C9"/>
    <w:rsid w:val="007838FE"/>
    <w:rsid w:val="00783A6B"/>
    <w:rsid w:val="00783BAB"/>
    <w:rsid w:val="00783C59"/>
    <w:rsid w:val="00783DC9"/>
    <w:rsid w:val="00783E8B"/>
    <w:rsid w:val="0078405F"/>
    <w:rsid w:val="007840DA"/>
    <w:rsid w:val="00784267"/>
    <w:rsid w:val="00784351"/>
    <w:rsid w:val="00784362"/>
    <w:rsid w:val="007843C7"/>
    <w:rsid w:val="007843FE"/>
    <w:rsid w:val="007846B6"/>
    <w:rsid w:val="0078470A"/>
    <w:rsid w:val="00784881"/>
    <w:rsid w:val="00784A80"/>
    <w:rsid w:val="00784BF2"/>
    <w:rsid w:val="00784D6A"/>
    <w:rsid w:val="00784DB3"/>
    <w:rsid w:val="00784DFC"/>
    <w:rsid w:val="00784F5E"/>
    <w:rsid w:val="00784F78"/>
    <w:rsid w:val="00785003"/>
    <w:rsid w:val="0078519E"/>
    <w:rsid w:val="007851D5"/>
    <w:rsid w:val="007852EA"/>
    <w:rsid w:val="00785342"/>
    <w:rsid w:val="007855DB"/>
    <w:rsid w:val="007856C6"/>
    <w:rsid w:val="007857AC"/>
    <w:rsid w:val="00785950"/>
    <w:rsid w:val="0078595C"/>
    <w:rsid w:val="00785AA8"/>
    <w:rsid w:val="00785B89"/>
    <w:rsid w:val="00785BAD"/>
    <w:rsid w:val="00785D41"/>
    <w:rsid w:val="00785D68"/>
    <w:rsid w:val="00785F13"/>
    <w:rsid w:val="00785F2F"/>
    <w:rsid w:val="00785F81"/>
    <w:rsid w:val="00785FA2"/>
    <w:rsid w:val="00786062"/>
    <w:rsid w:val="00786203"/>
    <w:rsid w:val="0078631F"/>
    <w:rsid w:val="007866AC"/>
    <w:rsid w:val="00786BA3"/>
    <w:rsid w:val="00786C1C"/>
    <w:rsid w:val="00786EA5"/>
    <w:rsid w:val="00786EC3"/>
    <w:rsid w:val="00786FED"/>
    <w:rsid w:val="007870F1"/>
    <w:rsid w:val="0078712C"/>
    <w:rsid w:val="007871C0"/>
    <w:rsid w:val="00787270"/>
    <w:rsid w:val="0078729D"/>
    <w:rsid w:val="00787574"/>
    <w:rsid w:val="00790014"/>
    <w:rsid w:val="00790286"/>
    <w:rsid w:val="007903B7"/>
    <w:rsid w:val="007903E4"/>
    <w:rsid w:val="0079047C"/>
    <w:rsid w:val="0079065D"/>
    <w:rsid w:val="00790993"/>
    <w:rsid w:val="007909CC"/>
    <w:rsid w:val="007909F6"/>
    <w:rsid w:val="00790A8E"/>
    <w:rsid w:val="00790E1D"/>
    <w:rsid w:val="00790F02"/>
    <w:rsid w:val="00790F2C"/>
    <w:rsid w:val="00791101"/>
    <w:rsid w:val="0079115D"/>
    <w:rsid w:val="007911FA"/>
    <w:rsid w:val="00791229"/>
    <w:rsid w:val="00791348"/>
    <w:rsid w:val="0079139D"/>
    <w:rsid w:val="00791508"/>
    <w:rsid w:val="00791544"/>
    <w:rsid w:val="007916CB"/>
    <w:rsid w:val="00791778"/>
    <w:rsid w:val="007917A7"/>
    <w:rsid w:val="007917F7"/>
    <w:rsid w:val="0079185A"/>
    <w:rsid w:val="0079191D"/>
    <w:rsid w:val="0079199F"/>
    <w:rsid w:val="00791A32"/>
    <w:rsid w:val="00791C29"/>
    <w:rsid w:val="00791CF9"/>
    <w:rsid w:val="00791D7B"/>
    <w:rsid w:val="00791E90"/>
    <w:rsid w:val="0079207A"/>
    <w:rsid w:val="007921D4"/>
    <w:rsid w:val="007921F4"/>
    <w:rsid w:val="007922FE"/>
    <w:rsid w:val="007923AA"/>
    <w:rsid w:val="007923EF"/>
    <w:rsid w:val="00792561"/>
    <w:rsid w:val="0079256A"/>
    <w:rsid w:val="007927C0"/>
    <w:rsid w:val="007928D4"/>
    <w:rsid w:val="007928E6"/>
    <w:rsid w:val="00792A59"/>
    <w:rsid w:val="00792AC9"/>
    <w:rsid w:val="00792B1E"/>
    <w:rsid w:val="00792B3B"/>
    <w:rsid w:val="00792C69"/>
    <w:rsid w:val="00792D4D"/>
    <w:rsid w:val="00792E54"/>
    <w:rsid w:val="00792EC7"/>
    <w:rsid w:val="007932F9"/>
    <w:rsid w:val="007933C0"/>
    <w:rsid w:val="0079345F"/>
    <w:rsid w:val="00793484"/>
    <w:rsid w:val="0079348E"/>
    <w:rsid w:val="0079349B"/>
    <w:rsid w:val="00793540"/>
    <w:rsid w:val="00793610"/>
    <w:rsid w:val="00793663"/>
    <w:rsid w:val="00793868"/>
    <w:rsid w:val="00793951"/>
    <w:rsid w:val="00793A75"/>
    <w:rsid w:val="00793A77"/>
    <w:rsid w:val="00793AB0"/>
    <w:rsid w:val="00793AF4"/>
    <w:rsid w:val="00793BDD"/>
    <w:rsid w:val="00793CB8"/>
    <w:rsid w:val="00793D31"/>
    <w:rsid w:val="00793D89"/>
    <w:rsid w:val="00793F57"/>
    <w:rsid w:val="00794063"/>
    <w:rsid w:val="00794072"/>
    <w:rsid w:val="007941AD"/>
    <w:rsid w:val="007941BA"/>
    <w:rsid w:val="00794224"/>
    <w:rsid w:val="00794486"/>
    <w:rsid w:val="00794532"/>
    <w:rsid w:val="0079456F"/>
    <w:rsid w:val="00794626"/>
    <w:rsid w:val="007947AA"/>
    <w:rsid w:val="00794C0D"/>
    <w:rsid w:val="00794E3F"/>
    <w:rsid w:val="00794E84"/>
    <w:rsid w:val="00794EA4"/>
    <w:rsid w:val="00794FF6"/>
    <w:rsid w:val="00795020"/>
    <w:rsid w:val="00795099"/>
    <w:rsid w:val="007950A4"/>
    <w:rsid w:val="00795186"/>
    <w:rsid w:val="0079526B"/>
    <w:rsid w:val="0079526E"/>
    <w:rsid w:val="007953B8"/>
    <w:rsid w:val="007953E4"/>
    <w:rsid w:val="0079542B"/>
    <w:rsid w:val="007954A0"/>
    <w:rsid w:val="007954DF"/>
    <w:rsid w:val="0079565F"/>
    <w:rsid w:val="007958D4"/>
    <w:rsid w:val="00795D28"/>
    <w:rsid w:val="00795ECC"/>
    <w:rsid w:val="00795EDD"/>
    <w:rsid w:val="00795F8C"/>
    <w:rsid w:val="00795F90"/>
    <w:rsid w:val="007960E8"/>
    <w:rsid w:val="007961A6"/>
    <w:rsid w:val="007963EA"/>
    <w:rsid w:val="00796614"/>
    <w:rsid w:val="007966A2"/>
    <w:rsid w:val="007968B5"/>
    <w:rsid w:val="007968E1"/>
    <w:rsid w:val="007968E2"/>
    <w:rsid w:val="007969A7"/>
    <w:rsid w:val="00796B6E"/>
    <w:rsid w:val="00796D8B"/>
    <w:rsid w:val="00796FC5"/>
    <w:rsid w:val="00797061"/>
    <w:rsid w:val="007970E8"/>
    <w:rsid w:val="00797223"/>
    <w:rsid w:val="007972AD"/>
    <w:rsid w:val="007973A6"/>
    <w:rsid w:val="007973F6"/>
    <w:rsid w:val="00797533"/>
    <w:rsid w:val="0079755D"/>
    <w:rsid w:val="007975FB"/>
    <w:rsid w:val="007976ED"/>
    <w:rsid w:val="0079774B"/>
    <w:rsid w:val="00797766"/>
    <w:rsid w:val="00797A90"/>
    <w:rsid w:val="00797B28"/>
    <w:rsid w:val="00797B46"/>
    <w:rsid w:val="00797CE5"/>
    <w:rsid w:val="00797EFB"/>
    <w:rsid w:val="007A02C4"/>
    <w:rsid w:val="007A0360"/>
    <w:rsid w:val="007A037F"/>
    <w:rsid w:val="007A0535"/>
    <w:rsid w:val="007A0576"/>
    <w:rsid w:val="007A05F5"/>
    <w:rsid w:val="007A06E0"/>
    <w:rsid w:val="007A071C"/>
    <w:rsid w:val="007A073B"/>
    <w:rsid w:val="007A07A4"/>
    <w:rsid w:val="007A0904"/>
    <w:rsid w:val="007A0A79"/>
    <w:rsid w:val="007A0B4B"/>
    <w:rsid w:val="007A0BE7"/>
    <w:rsid w:val="007A0DA8"/>
    <w:rsid w:val="007A0EAC"/>
    <w:rsid w:val="007A0ECB"/>
    <w:rsid w:val="007A0FC7"/>
    <w:rsid w:val="007A1022"/>
    <w:rsid w:val="007A104A"/>
    <w:rsid w:val="007A1305"/>
    <w:rsid w:val="007A17C0"/>
    <w:rsid w:val="007A1B75"/>
    <w:rsid w:val="007A1BBC"/>
    <w:rsid w:val="007A1D42"/>
    <w:rsid w:val="007A1DB5"/>
    <w:rsid w:val="007A1DF3"/>
    <w:rsid w:val="007A1E54"/>
    <w:rsid w:val="007A20A2"/>
    <w:rsid w:val="007A2293"/>
    <w:rsid w:val="007A2653"/>
    <w:rsid w:val="007A2701"/>
    <w:rsid w:val="007A2907"/>
    <w:rsid w:val="007A2A7C"/>
    <w:rsid w:val="007A2D80"/>
    <w:rsid w:val="007A2DB8"/>
    <w:rsid w:val="007A2DF9"/>
    <w:rsid w:val="007A31CD"/>
    <w:rsid w:val="007A3282"/>
    <w:rsid w:val="007A329A"/>
    <w:rsid w:val="007A343C"/>
    <w:rsid w:val="007A34E7"/>
    <w:rsid w:val="007A36E0"/>
    <w:rsid w:val="007A36F9"/>
    <w:rsid w:val="007A3861"/>
    <w:rsid w:val="007A3997"/>
    <w:rsid w:val="007A3AC2"/>
    <w:rsid w:val="007A3B89"/>
    <w:rsid w:val="007A3BF7"/>
    <w:rsid w:val="007A3E84"/>
    <w:rsid w:val="007A3F2B"/>
    <w:rsid w:val="007A3F4D"/>
    <w:rsid w:val="007A3FB0"/>
    <w:rsid w:val="007A3FC3"/>
    <w:rsid w:val="007A3FE3"/>
    <w:rsid w:val="007A4016"/>
    <w:rsid w:val="007A4037"/>
    <w:rsid w:val="007A4085"/>
    <w:rsid w:val="007A4236"/>
    <w:rsid w:val="007A4593"/>
    <w:rsid w:val="007A4799"/>
    <w:rsid w:val="007A4A3C"/>
    <w:rsid w:val="007A4BF2"/>
    <w:rsid w:val="007A4C2E"/>
    <w:rsid w:val="007A4EC7"/>
    <w:rsid w:val="007A4F6C"/>
    <w:rsid w:val="007A4FEE"/>
    <w:rsid w:val="007A515A"/>
    <w:rsid w:val="007A5301"/>
    <w:rsid w:val="007A548B"/>
    <w:rsid w:val="007A5546"/>
    <w:rsid w:val="007A56A8"/>
    <w:rsid w:val="007A5858"/>
    <w:rsid w:val="007A5863"/>
    <w:rsid w:val="007A5A60"/>
    <w:rsid w:val="007A5A77"/>
    <w:rsid w:val="007A5BBF"/>
    <w:rsid w:val="007A5D92"/>
    <w:rsid w:val="007A5D94"/>
    <w:rsid w:val="007A5DBE"/>
    <w:rsid w:val="007A62F2"/>
    <w:rsid w:val="007A6428"/>
    <w:rsid w:val="007A6749"/>
    <w:rsid w:val="007A686F"/>
    <w:rsid w:val="007A6ACF"/>
    <w:rsid w:val="007A6BE0"/>
    <w:rsid w:val="007A6C6B"/>
    <w:rsid w:val="007A6CF8"/>
    <w:rsid w:val="007A6E47"/>
    <w:rsid w:val="007A6E54"/>
    <w:rsid w:val="007A6FAD"/>
    <w:rsid w:val="007A6FE6"/>
    <w:rsid w:val="007A71FF"/>
    <w:rsid w:val="007A745E"/>
    <w:rsid w:val="007A75EF"/>
    <w:rsid w:val="007A7A29"/>
    <w:rsid w:val="007A7B09"/>
    <w:rsid w:val="007A7D05"/>
    <w:rsid w:val="007A7FA9"/>
    <w:rsid w:val="007B00AC"/>
    <w:rsid w:val="007B01BB"/>
    <w:rsid w:val="007B03D6"/>
    <w:rsid w:val="007B0444"/>
    <w:rsid w:val="007B06AD"/>
    <w:rsid w:val="007B07A4"/>
    <w:rsid w:val="007B08E5"/>
    <w:rsid w:val="007B0C33"/>
    <w:rsid w:val="007B0D2C"/>
    <w:rsid w:val="007B0DB2"/>
    <w:rsid w:val="007B0DBF"/>
    <w:rsid w:val="007B0EDA"/>
    <w:rsid w:val="007B0F2B"/>
    <w:rsid w:val="007B0FFA"/>
    <w:rsid w:val="007B10E5"/>
    <w:rsid w:val="007B1101"/>
    <w:rsid w:val="007B13E4"/>
    <w:rsid w:val="007B15EA"/>
    <w:rsid w:val="007B1977"/>
    <w:rsid w:val="007B1BF7"/>
    <w:rsid w:val="007B1C26"/>
    <w:rsid w:val="007B1EAA"/>
    <w:rsid w:val="007B2161"/>
    <w:rsid w:val="007B218C"/>
    <w:rsid w:val="007B2305"/>
    <w:rsid w:val="007B246A"/>
    <w:rsid w:val="007B2472"/>
    <w:rsid w:val="007B25AA"/>
    <w:rsid w:val="007B25D4"/>
    <w:rsid w:val="007B2801"/>
    <w:rsid w:val="007B2958"/>
    <w:rsid w:val="007B2BD0"/>
    <w:rsid w:val="007B2CAD"/>
    <w:rsid w:val="007B324B"/>
    <w:rsid w:val="007B3328"/>
    <w:rsid w:val="007B336C"/>
    <w:rsid w:val="007B3399"/>
    <w:rsid w:val="007B3628"/>
    <w:rsid w:val="007B3A28"/>
    <w:rsid w:val="007B3AE5"/>
    <w:rsid w:val="007B3D2A"/>
    <w:rsid w:val="007B3ED5"/>
    <w:rsid w:val="007B403F"/>
    <w:rsid w:val="007B46F9"/>
    <w:rsid w:val="007B4837"/>
    <w:rsid w:val="007B49A6"/>
    <w:rsid w:val="007B4A3C"/>
    <w:rsid w:val="007B4A9D"/>
    <w:rsid w:val="007B4BF8"/>
    <w:rsid w:val="007B4DA8"/>
    <w:rsid w:val="007B4E0D"/>
    <w:rsid w:val="007B4FB8"/>
    <w:rsid w:val="007B5080"/>
    <w:rsid w:val="007B5197"/>
    <w:rsid w:val="007B53BD"/>
    <w:rsid w:val="007B542F"/>
    <w:rsid w:val="007B5583"/>
    <w:rsid w:val="007B55A3"/>
    <w:rsid w:val="007B5750"/>
    <w:rsid w:val="007B57F1"/>
    <w:rsid w:val="007B5936"/>
    <w:rsid w:val="007B5946"/>
    <w:rsid w:val="007B59E3"/>
    <w:rsid w:val="007B5AEF"/>
    <w:rsid w:val="007B5C37"/>
    <w:rsid w:val="007B6113"/>
    <w:rsid w:val="007B6322"/>
    <w:rsid w:val="007B65F2"/>
    <w:rsid w:val="007B6666"/>
    <w:rsid w:val="007B6675"/>
    <w:rsid w:val="007B6954"/>
    <w:rsid w:val="007B6A9F"/>
    <w:rsid w:val="007B6AFA"/>
    <w:rsid w:val="007B6D79"/>
    <w:rsid w:val="007B6E30"/>
    <w:rsid w:val="007B6E78"/>
    <w:rsid w:val="007B6FA5"/>
    <w:rsid w:val="007B6FFE"/>
    <w:rsid w:val="007B706E"/>
    <w:rsid w:val="007B7254"/>
    <w:rsid w:val="007B727A"/>
    <w:rsid w:val="007B74B6"/>
    <w:rsid w:val="007B759F"/>
    <w:rsid w:val="007B76BA"/>
    <w:rsid w:val="007B7841"/>
    <w:rsid w:val="007B79B0"/>
    <w:rsid w:val="007B7A72"/>
    <w:rsid w:val="007B7A92"/>
    <w:rsid w:val="007B7B02"/>
    <w:rsid w:val="007B7C4E"/>
    <w:rsid w:val="007B7D00"/>
    <w:rsid w:val="007B7F11"/>
    <w:rsid w:val="007B7F21"/>
    <w:rsid w:val="007C00E9"/>
    <w:rsid w:val="007C0266"/>
    <w:rsid w:val="007C0300"/>
    <w:rsid w:val="007C0350"/>
    <w:rsid w:val="007C03FE"/>
    <w:rsid w:val="007C0405"/>
    <w:rsid w:val="007C05F2"/>
    <w:rsid w:val="007C076A"/>
    <w:rsid w:val="007C0786"/>
    <w:rsid w:val="007C0C0C"/>
    <w:rsid w:val="007C0C37"/>
    <w:rsid w:val="007C0FE8"/>
    <w:rsid w:val="007C1028"/>
    <w:rsid w:val="007C10BD"/>
    <w:rsid w:val="007C1181"/>
    <w:rsid w:val="007C11F1"/>
    <w:rsid w:val="007C136D"/>
    <w:rsid w:val="007C1433"/>
    <w:rsid w:val="007C1436"/>
    <w:rsid w:val="007C15D7"/>
    <w:rsid w:val="007C1621"/>
    <w:rsid w:val="007C1787"/>
    <w:rsid w:val="007C1963"/>
    <w:rsid w:val="007C19F9"/>
    <w:rsid w:val="007C1C04"/>
    <w:rsid w:val="007C1C5F"/>
    <w:rsid w:val="007C1CBC"/>
    <w:rsid w:val="007C1E19"/>
    <w:rsid w:val="007C2021"/>
    <w:rsid w:val="007C258F"/>
    <w:rsid w:val="007C263F"/>
    <w:rsid w:val="007C283A"/>
    <w:rsid w:val="007C28A3"/>
    <w:rsid w:val="007C28B0"/>
    <w:rsid w:val="007C293A"/>
    <w:rsid w:val="007C2B3E"/>
    <w:rsid w:val="007C2B73"/>
    <w:rsid w:val="007C2B8B"/>
    <w:rsid w:val="007C2C64"/>
    <w:rsid w:val="007C2DB2"/>
    <w:rsid w:val="007C2E31"/>
    <w:rsid w:val="007C2E92"/>
    <w:rsid w:val="007C2EF2"/>
    <w:rsid w:val="007C329E"/>
    <w:rsid w:val="007C32AF"/>
    <w:rsid w:val="007C3367"/>
    <w:rsid w:val="007C33DC"/>
    <w:rsid w:val="007C3537"/>
    <w:rsid w:val="007C3681"/>
    <w:rsid w:val="007C37F9"/>
    <w:rsid w:val="007C3879"/>
    <w:rsid w:val="007C39BA"/>
    <w:rsid w:val="007C39DF"/>
    <w:rsid w:val="007C3CF9"/>
    <w:rsid w:val="007C3EA9"/>
    <w:rsid w:val="007C3F53"/>
    <w:rsid w:val="007C3F5E"/>
    <w:rsid w:val="007C3FD7"/>
    <w:rsid w:val="007C3FEB"/>
    <w:rsid w:val="007C3FF6"/>
    <w:rsid w:val="007C40F1"/>
    <w:rsid w:val="007C41FE"/>
    <w:rsid w:val="007C44DB"/>
    <w:rsid w:val="007C4505"/>
    <w:rsid w:val="007C452C"/>
    <w:rsid w:val="007C459C"/>
    <w:rsid w:val="007C45F2"/>
    <w:rsid w:val="007C46A5"/>
    <w:rsid w:val="007C4700"/>
    <w:rsid w:val="007C4A0E"/>
    <w:rsid w:val="007C4C52"/>
    <w:rsid w:val="007C4D4C"/>
    <w:rsid w:val="007C4E9F"/>
    <w:rsid w:val="007C4EBB"/>
    <w:rsid w:val="007C4EC6"/>
    <w:rsid w:val="007C519A"/>
    <w:rsid w:val="007C5220"/>
    <w:rsid w:val="007C5293"/>
    <w:rsid w:val="007C53B9"/>
    <w:rsid w:val="007C55D7"/>
    <w:rsid w:val="007C574E"/>
    <w:rsid w:val="007C58CB"/>
    <w:rsid w:val="007C592D"/>
    <w:rsid w:val="007C5BED"/>
    <w:rsid w:val="007C5D0D"/>
    <w:rsid w:val="007C5D55"/>
    <w:rsid w:val="007C5FFC"/>
    <w:rsid w:val="007C6061"/>
    <w:rsid w:val="007C60A1"/>
    <w:rsid w:val="007C6248"/>
    <w:rsid w:val="007C629C"/>
    <w:rsid w:val="007C6347"/>
    <w:rsid w:val="007C6360"/>
    <w:rsid w:val="007C64BD"/>
    <w:rsid w:val="007C652D"/>
    <w:rsid w:val="007C6ACE"/>
    <w:rsid w:val="007C6B33"/>
    <w:rsid w:val="007C6C1C"/>
    <w:rsid w:val="007C6C5C"/>
    <w:rsid w:val="007C6F52"/>
    <w:rsid w:val="007C6F6D"/>
    <w:rsid w:val="007C6F80"/>
    <w:rsid w:val="007C6F81"/>
    <w:rsid w:val="007C7010"/>
    <w:rsid w:val="007C70B6"/>
    <w:rsid w:val="007C719C"/>
    <w:rsid w:val="007C7263"/>
    <w:rsid w:val="007C73C8"/>
    <w:rsid w:val="007C73F9"/>
    <w:rsid w:val="007C7460"/>
    <w:rsid w:val="007C768E"/>
    <w:rsid w:val="007C7760"/>
    <w:rsid w:val="007C78BF"/>
    <w:rsid w:val="007C7B20"/>
    <w:rsid w:val="007C7B7B"/>
    <w:rsid w:val="007C7B7E"/>
    <w:rsid w:val="007C7B95"/>
    <w:rsid w:val="007C7BB9"/>
    <w:rsid w:val="007C7E74"/>
    <w:rsid w:val="007C7F11"/>
    <w:rsid w:val="007C7FC9"/>
    <w:rsid w:val="007D04DE"/>
    <w:rsid w:val="007D0651"/>
    <w:rsid w:val="007D08F1"/>
    <w:rsid w:val="007D09A3"/>
    <w:rsid w:val="007D0C67"/>
    <w:rsid w:val="007D0E16"/>
    <w:rsid w:val="007D0E2F"/>
    <w:rsid w:val="007D1149"/>
    <w:rsid w:val="007D11E7"/>
    <w:rsid w:val="007D12FC"/>
    <w:rsid w:val="007D136D"/>
    <w:rsid w:val="007D149A"/>
    <w:rsid w:val="007D1545"/>
    <w:rsid w:val="007D1624"/>
    <w:rsid w:val="007D16A7"/>
    <w:rsid w:val="007D17BD"/>
    <w:rsid w:val="007D17E2"/>
    <w:rsid w:val="007D186C"/>
    <w:rsid w:val="007D188D"/>
    <w:rsid w:val="007D18F8"/>
    <w:rsid w:val="007D1A17"/>
    <w:rsid w:val="007D1B85"/>
    <w:rsid w:val="007D202D"/>
    <w:rsid w:val="007D20C3"/>
    <w:rsid w:val="007D2107"/>
    <w:rsid w:val="007D21E0"/>
    <w:rsid w:val="007D21FA"/>
    <w:rsid w:val="007D23DA"/>
    <w:rsid w:val="007D23F2"/>
    <w:rsid w:val="007D250C"/>
    <w:rsid w:val="007D2809"/>
    <w:rsid w:val="007D2A2B"/>
    <w:rsid w:val="007D2BA4"/>
    <w:rsid w:val="007D2BBC"/>
    <w:rsid w:val="007D2CC1"/>
    <w:rsid w:val="007D2CC4"/>
    <w:rsid w:val="007D2E95"/>
    <w:rsid w:val="007D2FC9"/>
    <w:rsid w:val="007D3073"/>
    <w:rsid w:val="007D3141"/>
    <w:rsid w:val="007D31D8"/>
    <w:rsid w:val="007D330C"/>
    <w:rsid w:val="007D3379"/>
    <w:rsid w:val="007D34DF"/>
    <w:rsid w:val="007D3508"/>
    <w:rsid w:val="007D3534"/>
    <w:rsid w:val="007D3586"/>
    <w:rsid w:val="007D36AB"/>
    <w:rsid w:val="007D3718"/>
    <w:rsid w:val="007D3719"/>
    <w:rsid w:val="007D376A"/>
    <w:rsid w:val="007D39FC"/>
    <w:rsid w:val="007D3A84"/>
    <w:rsid w:val="007D3D3E"/>
    <w:rsid w:val="007D3DDA"/>
    <w:rsid w:val="007D3E8A"/>
    <w:rsid w:val="007D408B"/>
    <w:rsid w:val="007D4106"/>
    <w:rsid w:val="007D4372"/>
    <w:rsid w:val="007D4389"/>
    <w:rsid w:val="007D438F"/>
    <w:rsid w:val="007D4405"/>
    <w:rsid w:val="007D4520"/>
    <w:rsid w:val="007D4654"/>
    <w:rsid w:val="007D477C"/>
    <w:rsid w:val="007D48C2"/>
    <w:rsid w:val="007D48DE"/>
    <w:rsid w:val="007D492F"/>
    <w:rsid w:val="007D4985"/>
    <w:rsid w:val="007D49FD"/>
    <w:rsid w:val="007D4A3B"/>
    <w:rsid w:val="007D4A8B"/>
    <w:rsid w:val="007D4C7D"/>
    <w:rsid w:val="007D4CF9"/>
    <w:rsid w:val="007D4DCB"/>
    <w:rsid w:val="007D4E90"/>
    <w:rsid w:val="007D4FBE"/>
    <w:rsid w:val="007D5024"/>
    <w:rsid w:val="007D5083"/>
    <w:rsid w:val="007D5313"/>
    <w:rsid w:val="007D5532"/>
    <w:rsid w:val="007D55A3"/>
    <w:rsid w:val="007D567F"/>
    <w:rsid w:val="007D56CA"/>
    <w:rsid w:val="007D571E"/>
    <w:rsid w:val="007D5956"/>
    <w:rsid w:val="007D59BA"/>
    <w:rsid w:val="007D5BAD"/>
    <w:rsid w:val="007D5D8C"/>
    <w:rsid w:val="007D5DB9"/>
    <w:rsid w:val="007D61D7"/>
    <w:rsid w:val="007D61F2"/>
    <w:rsid w:val="007D61F3"/>
    <w:rsid w:val="007D65DD"/>
    <w:rsid w:val="007D65ED"/>
    <w:rsid w:val="007D6847"/>
    <w:rsid w:val="007D6952"/>
    <w:rsid w:val="007D69A0"/>
    <w:rsid w:val="007D6B78"/>
    <w:rsid w:val="007D6CF7"/>
    <w:rsid w:val="007D6E7D"/>
    <w:rsid w:val="007D6F07"/>
    <w:rsid w:val="007D7102"/>
    <w:rsid w:val="007D73F0"/>
    <w:rsid w:val="007D7410"/>
    <w:rsid w:val="007D7492"/>
    <w:rsid w:val="007D756E"/>
    <w:rsid w:val="007D7948"/>
    <w:rsid w:val="007D7AE0"/>
    <w:rsid w:val="007D7BBF"/>
    <w:rsid w:val="007D7C30"/>
    <w:rsid w:val="007D7D4A"/>
    <w:rsid w:val="007D7F19"/>
    <w:rsid w:val="007D7F49"/>
    <w:rsid w:val="007E00EE"/>
    <w:rsid w:val="007E0138"/>
    <w:rsid w:val="007E0169"/>
    <w:rsid w:val="007E01C6"/>
    <w:rsid w:val="007E02B9"/>
    <w:rsid w:val="007E03D9"/>
    <w:rsid w:val="007E0450"/>
    <w:rsid w:val="007E0982"/>
    <w:rsid w:val="007E0DAB"/>
    <w:rsid w:val="007E0DED"/>
    <w:rsid w:val="007E0E5C"/>
    <w:rsid w:val="007E0F4A"/>
    <w:rsid w:val="007E0FFF"/>
    <w:rsid w:val="007E100B"/>
    <w:rsid w:val="007E1061"/>
    <w:rsid w:val="007E11B5"/>
    <w:rsid w:val="007E11DF"/>
    <w:rsid w:val="007E169C"/>
    <w:rsid w:val="007E16E8"/>
    <w:rsid w:val="007E188A"/>
    <w:rsid w:val="007E18E8"/>
    <w:rsid w:val="007E1925"/>
    <w:rsid w:val="007E1CDE"/>
    <w:rsid w:val="007E1E3E"/>
    <w:rsid w:val="007E1F3D"/>
    <w:rsid w:val="007E1F9A"/>
    <w:rsid w:val="007E20B6"/>
    <w:rsid w:val="007E21F3"/>
    <w:rsid w:val="007E2252"/>
    <w:rsid w:val="007E23BF"/>
    <w:rsid w:val="007E25A5"/>
    <w:rsid w:val="007E2629"/>
    <w:rsid w:val="007E26F3"/>
    <w:rsid w:val="007E27CF"/>
    <w:rsid w:val="007E28B2"/>
    <w:rsid w:val="007E2C7E"/>
    <w:rsid w:val="007E2DA4"/>
    <w:rsid w:val="007E2DEF"/>
    <w:rsid w:val="007E2F79"/>
    <w:rsid w:val="007E3072"/>
    <w:rsid w:val="007E30FB"/>
    <w:rsid w:val="007E3155"/>
    <w:rsid w:val="007E3241"/>
    <w:rsid w:val="007E3257"/>
    <w:rsid w:val="007E339B"/>
    <w:rsid w:val="007E33D0"/>
    <w:rsid w:val="007E3515"/>
    <w:rsid w:val="007E3629"/>
    <w:rsid w:val="007E3640"/>
    <w:rsid w:val="007E371B"/>
    <w:rsid w:val="007E387E"/>
    <w:rsid w:val="007E3898"/>
    <w:rsid w:val="007E397D"/>
    <w:rsid w:val="007E3A61"/>
    <w:rsid w:val="007E3AFD"/>
    <w:rsid w:val="007E3E3E"/>
    <w:rsid w:val="007E3EAA"/>
    <w:rsid w:val="007E3F2C"/>
    <w:rsid w:val="007E4019"/>
    <w:rsid w:val="007E4064"/>
    <w:rsid w:val="007E44E3"/>
    <w:rsid w:val="007E4589"/>
    <w:rsid w:val="007E47A6"/>
    <w:rsid w:val="007E483A"/>
    <w:rsid w:val="007E4876"/>
    <w:rsid w:val="007E4B2F"/>
    <w:rsid w:val="007E4BFE"/>
    <w:rsid w:val="007E4C82"/>
    <w:rsid w:val="007E4CA2"/>
    <w:rsid w:val="007E4E60"/>
    <w:rsid w:val="007E4F11"/>
    <w:rsid w:val="007E4FAB"/>
    <w:rsid w:val="007E544E"/>
    <w:rsid w:val="007E57FA"/>
    <w:rsid w:val="007E58B4"/>
    <w:rsid w:val="007E5905"/>
    <w:rsid w:val="007E59B1"/>
    <w:rsid w:val="007E5A7A"/>
    <w:rsid w:val="007E5C93"/>
    <w:rsid w:val="007E5CA3"/>
    <w:rsid w:val="007E5D27"/>
    <w:rsid w:val="007E5D8B"/>
    <w:rsid w:val="007E5E62"/>
    <w:rsid w:val="007E5EEB"/>
    <w:rsid w:val="007E5FD7"/>
    <w:rsid w:val="007E5FD8"/>
    <w:rsid w:val="007E5FF5"/>
    <w:rsid w:val="007E6078"/>
    <w:rsid w:val="007E646C"/>
    <w:rsid w:val="007E647F"/>
    <w:rsid w:val="007E651F"/>
    <w:rsid w:val="007E653A"/>
    <w:rsid w:val="007E67AE"/>
    <w:rsid w:val="007E67C1"/>
    <w:rsid w:val="007E67D7"/>
    <w:rsid w:val="007E6BEA"/>
    <w:rsid w:val="007E6BF0"/>
    <w:rsid w:val="007E6C69"/>
    <w:rsid w:val="007E6C96"/>
    <w:rsid w:val="007E6E0C"/>
    <w:rsid w:val="007E7012"/>
    <w:rsid w:val="007E706D"/>
    <w:rsid w:val="007E707E"/>
    <w:rsid w:val="007E7338"/>
    <w:rsid w:val="007E755D"/>
    <w:rsid w:val="007E7596"/>
    <w:rsid w:val="007E761C"/>
    <w:rsid w:val="007E7772"/>
    <w:rsid w:val="007E78B5"/>
    <w:rsid w:val="007E78E9"/>
    <w:rsid w:val="007E7AA6"/>
    <w:rsid w:val="007E7E9A"/>
    <w:rsid w:val="007E7EFB"/>
    <w:rsid w:val="007E7F12"/>
    <w:rsid w:val="007F0028"/>
    <w:rsid w:val="007F0081"/>
    <w:rsid w:val="007F02AA"/>
    <w:rsid w:val="007F03C2"/>
    <w:rsid w:val="007F0453"/>
    <w:rsid w:val="007F0488"/>
    <w:rsid w:val="007F04CD"/>
    <w:rsid w:val="007F064C"/>
    <w:rsid w:val="007F0673"/>
    <w:rsid w:val="007F06CC"/>
    <w:rsid w:val="007F0A75"/>
    <w:rsid w:val="007F0B0C"/>
    <w:rsid w:val="007F0C08"/>
    <w:rsid w:val="007F0DC5"/>
    <w:rsid w:val="007F0EA4"/>
    <w:rsid w:val="007F11E8"/>
    <w:rsid w:val="007F12D0"/>
    <w:rsid w:val="007F12E2"/>
    <w:rsid w:val="007F1795"/>
    <w:rsid w:val="007F179D"/>
    <w:rsid w:val="007F17C1"/>
    <w:rsid w:val="007F1802"/>
    <w:rsid w:val="007F1876"/>
    <w:rsid w:val="007F18AF"/>
    <w:rsid w:val="007F1A3C"/>
    <w:rsid w:val="007F1AA5"/>
    <w:rsid w:val="007F1CBF"/>
    <w:rsid w:val="007F1D50"/>
    <w:rsid w:val="007F1DB7"/>
    <w:rsid w:val="007F1FA8"/>
    <w:rsid w:val="007F200F"/>
    <w:rsid w:val="007F2095"/>
    <w:rsid w:val="007F20F7"/>
    <w:rsid w:val="007F2115"/>
    <w:rsid w:val="007F2330"/>
    <w:rsid w:val="007F23CA"/>
    <w:rsid w:val="007F27DD"/>
    <w:rsid w:val="007F2899"/>
    <w:rsid w:val="007F28BD"/>
    <w:rsid w:val="007F2A40"/>
    <w:rsid w:val="007F2A8E"/>
    <w:rsid w:val="007F2A9B"/>
    <w:rsid w:val="007F2C26"/>
    <w:rsid w:val="007F3012"/>
    <w:rsid w:val="007F30DC"/>
    <w:rsid w:val="007F3228"/>
    <w:rsid w:val="007F3257"/>
    <w:rsid w:val="007F3274"/>
    <w:rsid w:val="007F3290"/>
    <w:rsid w:val="007F344E"/>
    <w:rsid w:val="007F34B1"/>
    <w:rsid w:val="007F355E"/>
    <w:rsid w:val="007F374A"/>
    <w:rsid w:val="007F3948"/>
    <w:rsid w:val="007F3B0B"/>
    <w:rsid w:val="007F3B4E"/>
    <w:rsid w:val="007F3BB1"/>
    <w:rsid w:val="007F3BBC"/>
    <w:rsid w:val="007F3C82"/>
    <w:rsid w:val="007F3D02"/>
    <w:rsid w:val="007F404E"/>
    <w:rsid w:val="007F416B"/>
    <w:rsid w:val="007F426F"/>
    <w:rsid w:val="007F4473"/>
    <w:rsid w:val="007F4725"/>
    <w:rsid w:val="007F4804"/>
    <w:rsid w:val="007F481E"/>
    <w:rsid w:val="007F4850"/>
    <w:rsid w:val="007F48A6"/>
    <w:rsid w:val="007F492C"/>
    <w:rsid w:val="007F497D"/>
    <w:rsid w:val="007F4A53"/>
    <w:rsid w:val="007F4AC8"/>
    <w:rsid w:val="007F4AF4"/>
    <w:rsid w:val="007F4D2C"/>
    <w:rsid w:val="007F4D3E"/>
    <w:rsid w:val="007F4DE8"/>
    <w:rsid w:val="007F4FA0"/>
    <w:rsid w:val="007F537A"/>
    <w:rsid w:val="007F539F"/>
    <w:rsid w:val="007F54D5"/>
    <w:rsid w:val="007F55E3"/>
    <w:rsid w:val="007F56A7"/>
    <w:rsid w:val="007F56B9"/>
    <w:rsid w:val="007F5964"/>
    <w:rsid w:val="007F5BEE"/>
    <w:rsid w:val="007F5C36"/>
    <w:rsid w:val="007F5C52"/>
    <w:rsid w:val="007F5CD7"/>
    <w:rsid w:val="007F5FFE"/>
    <w:rsid w:val="007F61A5"/>
    <w:rsid w:val="007F61B9"/>
    <w:rsid w:val="007F628F"/>
    <w:rsid w:val="007F62CF"/>
    <w:rsid w:val="007F6324"/>
    <w:rsid w:val="007F632E"/>
    <w:rsid w:val="007F6490"/>
    <w:rsid w:val="007F6650"/>
    <w:rsid w:val="007F670C"/>
    <w:rsid w:val="007F6726"/>
    <w:rsid w:val="007F68AC"/>
    <w:rsid w:val="007F69A8"/>
    <w:rsid w:val="007F6A03"/>
    <w:rsid w:val="007F6CD2"/>
    <w:rsid w:val="007F6D63"/>
    <w:rsid w:val="007F6DBE"/>
    <w:rsid w:val="007F6EB3"/>
    <w:rsid w:val="007F6EB9"/>
    <w:rsid w:val="007F6F2D"/>
    <w:rsid w:val="007F70C6"/>
    <w:rsid w:val="007F71D3"/>
    <w:rsid w:val="007F731A"/>
    <w:rsid w:val="007F741F"/>
    <w:rsid w:val="007F7691"/>
    <w:rsid w:val="007F77E8"/>
    <w:rsid w:val="007F7810"/>
    <w:rsid w:val="007F7866"/>
    <w:rsid w:val="007F795B"/>
    <w:rsid w:val="007F7987"/>
    <w:rsid w:val="007F7A01"/>
    <w:rsid w:val="007F7A2B"/>
    <w:rsid w:val="007F7BB6"/>
    <w:rsid w:val="007F7C21"/>
    <w:rsid w:val="007F7D49"/>
    <w:rsid w:val="007F7D90"/>
    <w:rsid w:val="007F7DC5"/>
    <w:rsid w:val="007F7E64"/>
    <w:rsid w:val="007F7F61"/>
    <w:rsid w:val="008001D8"/>
    <w:rsid w:val="0080031C"/>
    <w:rsid w:val="00800326"/>
    <w:rsid w:val="00800346"/>
    <w:rsid w:val="00800367"/>
    <w:rsid w:val="00800421"/>
    <w:rsid w:val="00800479"/>
    <w:rsid w:val="008005CD"/>
    <w:rsid w:val="0080066A"/>
    <w:rsid w:val="008006B0"/>
    <w:rsid w:val="008006FF"/>
    <w:rsid w:val="0080075C"/>
    <w:rsid w:val="008007D3"/>
    <w:rsid w:val="00800825"/>
    <w:rsid w:val="00800901"/>
    <w:rsid w:val="0080095D"/>
    <w:rsid w:val="008009DB"/>
    <w:rsid w:val="00800C6D"/>
    <w:rsid w:val="00800E33"/>
    <w:rsid w:val="00800E90"/>
    <w:rsid w:val="00800F88"/>
    <w:rsid w:val="00800FAF"/>
    <w:rsid w:val="00801045"/>
    <w:rsid w:val="0080123E"/>
    <w:rsid w:val="0080142C"/>
    <w:rsid w:val="0080148A"/>
    <w:rsid w:val="0080158D"/>
    <w:rsid w:val="0080169C"/>
    <w:rsid w:val="00801954"/>
    <w:rsid w:val="00801BDB"/>
    <w:rsid w:val="00801CF7"/>
    <w:rsid w:val="00801D37"/>
    <w:rsid w:val="00801EC8"/>
    <w:rsid w:val="00801F0F"/>
    <w:rsid w:val="00802019"/>
    <w:rsid w:val="0080205E"/>
    <w:rsid w:val="00802362"/>
    <w:rsid w:val="008026DF"/>
    <w:rsid w:val="00802795"/>
    <w:rsid w:val="0080289A"/>
    <w:rsid w:val="00802B91"/>
    <w:rsid w:val="00802C52"/>
    <w:rsid w:val="00802DED"/>
    <w:rsid w:val="00802E7F"/>
    <w:rsid w:val="00803087"/>
    <w:rsid w:val="00803166"/>
    <w:rsid w:val="0080354D"/>
    <w:rsid w:val="00803580"/>
    <w:rsid w:val="008035BB"/>
    <w:rsid w:val="0080362B"/>
    <w:rsid w:val="00803A44"/>
    <w:rsid w:val="00803AC3"/>
    <w:rsid w:val="00803B09"/>
    <w:rsid w:val="00803C53"/>
    <w:rsid w:val="008040E5"/>
    <w:rsid w:val="0080417E"/>
    <w:rsid w:val="008041FB"/>
    <w:rsid w:val="00804210"/>
    <w:rsid w:val="00804271"/>
    <w:rsid w:val="0080432F"/>
    <w:rsid w:val="008043A3"/>
    <w:rsid w:val="00804444"/>
    <w:rsid w:val="008044CF"/>
    <w:rsid w:val="008045D9"/>
    <w:rsid w:val="008048B1"/>
    <w:rsid w:val="00804AAA"/>
    <w:rsid w:val="00804CAC"/>
    <w:rsid w:val="00804DAF"/>
    <w:rsid w:val="00804E4B"/>
    <w:rsid w:val="00804EC5"/>
    <w:rsid w:val="00804FD2"/>
    <w:rsid w:val="00805023"/>
    <w:rsid w:val="00805073"/>
    <w:rsid w:val="008050A5"/>
    <w:rsid w:val="008051DD"/>
    <w:rsid w:val="008051F7"/>
    <w:rsid w:val="008053CE"/>
    <w:rsid w:val="00805610"/>
    <w:rsid w:val="00805780"/>
    <w:rsid w:val="0080581A"/>
    <w:rsid w:val="00805AB6"/>
    <w:rsid w:val="00805AED"/>
    <w:rsid w:val="00805BDE"/>
    <w:rsid w:val="00805D64"/>
    <w:rsid w:val="00805D6E"/>
    <w:rsid w:val="00805D8C"/>
    <w:rsid w:val="00805E88"/>
    <w:rsid w:val="00805E93"/>
    <w:rsid w:val="00806017"/>
    <w:rsid w:val="008060A2"/>
    <w:rsid w:val="00806126"/>
    <w:rsid w:val="00806203"/>
    <w:rsid w:val="008063B8"/>
    <w:rsid w:val="00806AE6"/>
    <w:rsid w:val="00806C41"/>
    <w:rsid w:val="00806DB7"/>
    <w:rsid w:val="00807033"/>
    <w:rsid w:val="008072D4"/>
    <w:rsid w:val="0080744F"/>
    <w:rsid w:val="008074CA"/>
    <w:rsid w:val="008074E6"/>
    <w:rsid w:val="008076EC"/>
    <w:rsid w:val="0080780A"/>
    <w:rsid w:val="008078C6"/>
    <w:rsid w:val="008078DA"/>
    <w:rsid w:val="008078F0"/>
    <w:rsid w:val="008079CC"/>
    <w:rsid w:val="008079F5"/>
    <w:rsid w:val="00807CF6"/>
    <w:rsid w:val="00807D8F"/>
    <w:rsid w:val="00807D93"/>
    <w:rsid w:val="0081002C"/>
    <w:rsid w:val="008100AF"/>
    <w:rsid w:val="008100F4"/>
    <w:rsid w:val="00810259"/>
    <w:rsid w:val="008102B0"/>
    <w:rsid w:val="008102DA"/>
    <w:rsid w:val="008103BE"/>
    <w:rsid w:val="00810682"/>
    <w:rsid w:val="00810742"/>
    <w:rsid w:val="00810ADC"/>
    <w:rsid w:val="00810B38"/>
    <w:rsid w:val="00811007"/>
    <w:rsid w:val="008110A4"/>
    <w:rsid w:val="008111D2"/>
    <w:rsid w:val="008111DC"/>
    <w:rsid w:val="008112DA"/>
    <w:rsid w:val="0081146D"/>
    <w:rsid w:val="0081149A"/>
    <w:rsid w:val="00811507"/>
    <w:rsid w:val="00811548"/>
    <w:rsid w:val="0081157D"/>
    <w:rsid w:val="00811728"/>
    <w:rsid w:val="008117C3"/>
    <w:rsid w:val="008117DC"/>
    <w:rsid w:val="00811CDB"/>
    <w:rsid w:val="00811D2A"/>
    <w:rsid w:val="00811EB5"/>
    <w:rsid w:val="0081206E"/>
    <w:rsid w:val="008123B7"/>
    <w:rsid w:val="00812407"/>
    <w:rsid w:val="008125C8"/>
    <w:rsid w:val="00812640"/>
    <w:rsid w:val="00812785"/>
    <w:rsid w:val="008127B2"/>
    <w:rsid w:val="008127F1"/>
    <w:rsid w:val="008128DB"/>
    <w:rsid w:val="00812B65"/>
    <w:rsid w:val="00812D31"/>
    <w:rsid w:val="00812E83"/>
    <w:rsid w:val="00812F5F"/>
    <w:rsid w:val="00812F68"/>
    <w:rsid w:val="00812FE2"/>
    <w:rsid w:val="0081313B"/>
    <w:rsid w:val="0081338C"/>
    <w:rsid w:val="008134B1"/>
    <w:rsid w:val="008136D9"/>
    <w:rsid w:val="00813739"/>
    <w:rsid w:val="008138F8"/>
    <w:rsid w:val="00813A10"/>
    <w:rsid w:val="00813AB6"/>
    <w:rsid w:val="00813B95"/>
    <w:rsid w:val="00813F86"/>
    <w:rsid w:val="00814073"/>
    <w:rsid w:val="008140A7"/>
    <w:rsid w:val="008142CC"/>
    <w:rsid w:val="008142D4"/>
    <w:rsid w:val="008142FA"/>
    <w:rsid w:val="00814430"/>
    <w:rsid w:val="008146EA"/>
    <w:rsid w:val="00814708"/>
    <w:rsid w:val="00814740"/>
    <w:rsid w:val="00814D0E"/>
    <w:rsid w:val="00814DBD"/>
    <w:rsid w:val="008152A7"/>
    <w:rsid w:val="0081535E"/>
    <w:rsid w:val="0081540D"/>
    <w:rsid w:val="0081545B"/>
    <w:rsid w:val="008155A9"/>
    <w:rsid w:val="008158D4"/>
    <w:rsid w:val="008158DA"/>
    <w:rsid w:val="00815A4A"/>
    <w:rsid w:val="00815A69"/>
    <w:rsid w:val="00815B20"/>
    <w:rsid w:val="00815C53"/>
    <w:rsid w:val="00815E08"/>
    <w:rsid w:val="00815E2B"/>
    <w:rsid w:val="00815F35"/>
    <w:rsid w:val="008160B6"/>
    <w:rsid w:val="0081616C"/>
    <w:rsid w:val="008163F6"/>
    <w:rsid w:val="00816558"/>
    <w:rsid w:val="008166D8"/>
    <w:rsid w:val="0081670B"/>
    <w:rsid w:val="00816842"/>
    <w:rsid w:val="0081698A"/>
    <w:rsid w:val="00816A1D"/>
    <w:rsid w:val="00816A42"/>
    <w:rsid w:val="00816BF6"/>
    <w:rsid w:val="00816C83"/>
    <w:rsid w:val="00817041"/>
    <w:rsid w:val="00817205"/>
    <w:rsid w:val="008172A4"/>
    <w:rsid w:val="0081760E"/>
    <w:rsid w:val="0081770D"/>
    <w:rsid w:val="00817861"/>
    <w:rsid w:val="008178E9"/>
    <w:rsid w:val="008178F5"/>
    <w:rsid w:val="008178FE"/>
    <w:rsid w:val="00817A29"/>
    <w:rsid w:val="00817AFF"/>
    <w:rsid w:val="00817D6A"/>
    <w:rsid w:val="00817DCB"/>
    <w:rsid w:val="00817EE2"/>
    <w:rsid w:val="00817FA2"/>
    <w:rsid w:val="008200E2"/>
    <w:rsid w:val="0082015E"/>
    <w:rsid w:val="008202DF"/>
    <w:rsid w:val="008203DA"/>
    <w:rsid w:val="0082086A"/>
    <w:rsid w:val="00820BA1"/>
    <w:rsid w:val="00820D38"/>
    <w:rsid w:val="00820DE7"/>
    <w:rsid w:val="00821128"/>
    <w:rsid w:val="008212B9"/>
    <w:rsid w:val="008216AF"/>
    <w:rsid w:val="00821895"/>
    <w:rsid w:val="008218F9"/>
    <w:rsid w:val="00821A79"/>
    <w:rsid w:val="00821AB9"/>
    <w:rsid w:val="00821C0E"/>
    <w:rsid w:val="00821DEE"/>
    <w:rsid w:val="00821E58"/>
    <w:rsid w:val="00821EE8"/>
    <w:rsid w:val="00822046"/>
    <w:rsid w:val="00822093"/>
    <w:rsid w:val="00822242"/>
    <w:rsid w:val="008222D5"/>
    <w:rsid w:val="00822367"/>
    <w:rsid w:val="00822440"/>
    <w:rsid w:val="008224F0"/>
    <w:rsid w:val="00822509"/>
    <w:rsid w:val="00822809"/>
    <w:rsid w:val="00822975"/>
    <w:rsid w:val="008229BE"/>
    <w:rsid w:val="00822D18"/>
    <w:rsid w:val="00822E05"/>
    <w:rsid w:val="00822EA6"/>
    <w:rsid w:val="00822EE8"/>
    <w:rsid w:val="00822F30"/>
    <w:rsid w:val="0082303D"/>
    <w:rsid w:val="00823140"/>
    <w:rsid w:val="0082330F"/>
    <w:rsid w:val="00823349"/>
    <w:rsid w:val="008233D9"/>
    <w:rsid w:val="00823541"/>
    <w:rsid w:val="008235CF"/>
    <w:rsid w:val="008235F6"/>
    <w:rsid w:val="0082378A"/>
    <w:rsid w:val="00823A4F"/>
    <w:rsid w:val="00823A7F"/>
    <w:rsid w:val="00823BD0"/>
    <w:rsid w:val="00823C8E"/>
    <w:rsid w:val="00823EEC"/>
    <w:rsid w:val="00824089"/>
    <w:rsid w:val="008240F7"/>
    <w:rsid w:val="0082416B"/>
    <w:rsid w:val="00824320"/>
    <w:rsid w:val="008244C0"/>
    <w:rsid w:val="00824665"/>
    <w:rsid w:val="008246BB"/>
    <w:rsid w:val="00824F0D"/>
    <w:rsid w:val="00824FB1"/>
    <w:rsid w:val="0082506E"/>
    <w:rsid w:val="00825259"/>
    <w:rsid w:val="00825328"/>
    <w:rsid w:val="0082542A"/>
    <w:rsid w:val="0082548D"/>
    <w:rsid w:val="008255C0"/>
    <w:rsid w:val="008256C7"/>
    <w:rsid w:val="008257C4"/>
    <w:rsid w:val="00825817"/>
    <w:rsid w:val="00825893"/>
    <w:rsid w:val="00825A94"/>
    <w:rsid w:val="00825B10"/>
    <w:rsid w:val="00825B28"/>
    <w:rsid w:val="00825D50"/>
    <w:rsid w:val="00825E25"/>
    <w:rsid w:val="00825EB5"/>
    <w:rsid w:val="00826160"/>
    <w:rsid w:val="008261EF"/>
    <w:rsid w:val="00826296"/>
    <w:rsid w:val="00826405"/>
    <w:rsid w:val="008265DA"/>
    <w:rsid w:val="00826631"/>
    <w:rsid w:val="008266C2"/>
    <w:rsid w:val="008267BA"/>
    <w:rsid w:val="0082693A"/>
    <w:rsid w:val="008269D0"/>
    <w:rsid w:val="00826A2A"/>
    <w:rsid w:val="00826B1C"/>
    <w:rsid w:val="00826D30"/>
    <w:rsid w:val="00826ECC"/>
    <w:rsid w:val="00826F1C"/>
    <w:rsid w:val="00827020"/>
    <w:rsid w:val="00827232"/>
    <w:rsid w:val="00827418"/>
    <w:rsid w:val="0082742A"/>
    <w:rsid w:val="0082751B"/>
    <w:rsid w:val="00827587"/>
    <w:rsid w:val="008276AF"/>
    <w:rsid w:val="008277A3"/>
    <w:rsid w:val="00827872"/>
    <w:rsid w:val="008278DF"/>
    <w:rsid w:val="00827A0A"/>
    <w:rsid w:val="00827B25"/>
    <w:rsid w:val="00827DB8"/>
    <w:rsid w:val="00827DD3"/>
    <w:rsid w:val="00827F8D"/>
    <w:rsid w:val="00827FBD"/>
    <w:rsid w:val="00827FBE"/>
    <w:rsid w:val="00827FF9"/>
    <w:rsid w:val="00830224"/>
    <w:rsid w:val="0083024C"/>
    <w:rsid w:val="00830422"/>
    <w:rsid w:val="00830485"/>
    <w:rsid w:val="008305B8"/>
    <w:rsid w:val="008305D8"/>
    <w:rsid w:val="008306A7"/>
    <w:rsid w:val="00830759"/>
    <w:rsid w:val="00830795"/>
    <w:rsid w:val="008308B4"/>
    <w:rsid w:val="008309C8"/>
    <w:rsid w:val="00830B67"/>
    <w:rsid w:val="00830C1B"/>
    <w:rsid w:val="00830CBE"/>
    <w:rsid w:val="00830CDF"/>
    <w:rsid w:val="00830D5F"/>
    <w:rsid w:val="00830F54"/>
    <w:rsid w:val="008310DB"/>
    <w:rsid w:val="008313F9"/>
    <w:rsid w:val="008314A9"/>
    <w:rsid w:val="0083177E"/>
    <w:rsid w:val="0083187D"/>
    <w:rsid w:val="00831A62"/>
    <w:rsid w:val="00831DEE"/>
    <w:rsid w:val="00831EBE"/>
    <w:rsid w:val="00832021"/>
    <w:rsid w:val="0083283B"/>
    <w:rsid w:val="00832965"/>
    <w:rsid w:val="00832B26"/>
    <w:rsid w:val="00832B7B"/>
    <w:rsid w:val="00832B86"/>
    <w:rsid w:val="00832C7D"/>
    <w:rsid w:val="00832CA2"/>
    <w:rsid w:val="00832D1F"/>
    <w:rsid w:val="0083308C"/>
    <w:rsid w:val="00833091"/>
    <w:rsid w:val="00833126"/>
    <w:rsid w:val="008334BF"/>
    <w:rsid w:val="00833501"/>
    <w:rsid w:val="00833553"/>
    <w:rsid w:val="008335C1"/>
    <w:rsid w:val="00833635"/>
    <w:rsid w:val="00833760"/>
    <w:rsid w:val="00833873"/>
    <w:rsid w:val="00833890"/>
    <w:rsid w:val="00833947"/>
    <w:rsid w:val="0083396D"/>
    <w:rsid w:val="0083398D"/>
    <w:rsid w:val="00833AAF"/>
    <w:rsid w:val="00833ADF"/>
    <w:rsid w:val="00833CE0"/>
    <w:rsid w:val="00833CF9"/>
    <w:rsid w:val="00833D44"/>
    <w:rsid w:val="00833DA2"/>
    <w:rsid w:val="00833EBE"/>
    <w:rsid w:val="00834218"/>
    <w:rsid w:val="008342FA"/>
    <w:rsid w:val="00834508"/>
    <w:rsid w:val="00834715"/>
    <w:rsid w:val="00834885"/>
    <w:rsid w:val="008348D7"/>
    <w:rsid w:val="0083495C"/>
    <w:rsid w:val="00834B96"/>
    <w:rsid w:val="00834DF3"/>
    <w:rsid w:val="00834F64"/>
    <w:rsid w:val="008350C3"/>
    <w:rsid w:val="00835196"/>
    <w:rsid w:val="0083536E"/>
    <w:rsid w:val="0083553C"/>
    <w:rsid w:val="00835FAD"/>
    <w:rsid w:val="008360B4"/>
    <w:rsid w:val="008360B7"/>
    <w:rsid w:val="008361A7"/>
    <w:rsid w:val="008363AD"/>
    <w:rsid w:val="008366EC"/>
    <w:rsid w:val="008367C0"/>
    <w:rsid w:val="00836866"/>
    <w:rsid w:val="008368AF"/>
    <w:rsid w:val="00836B85"/>
    <w:rsid w:val="00836C11"/>
    <w:rsid w:val="00836E78"/>
    <w:rsid w:val="00836EAE"/>
    <w:rsid w:val="00836FDD"/>
    <w:rsid w:val="00837034"/>
    <w:rsid w:val="008371A4"/>
    <w:rsid w:val="008375C9"/>
    <w:rsid w:val="00837756"/>
    <w:rsid w:val="0083797A"/>
    <w:rsid w:val="00837D39"/>
    <w:rsid w:val="0083DF02"/>
    <w:rsid w:val="00840002"/>
    <w:rsid w:val="008400AA"/>
    <w:rsid w:val="00840120"/>
    <w:rsid w:val="008404AE"/>
    <w:rsid w:val="008406D1"/>
    <w:rsid w:val="008406F4"/>
    <w:rsid w:val="00840932"/>
    <w:rsid w:val="00840967"/>
    <w:rsid w:val="00840AB7"/>
    <w:rsid w:val="00840B6D"/>
    <w:rsid w:val="00840BA5"/>
    <w:rsid w:val="00840C57"/>
    <w:rsid w:val="00840D14"/>
    <w:rsid w:val="00840DDF"/>
    <w:rsid w:val="00840E94"/>
    <w:rsid w:val="00841126"/>
    <w:rsid w:val="0084129C"/>
    <w:rsid w:val="0084136D"/>
    <w:rsid w:val="008413B8"/>
    <w:rsid w:val="008414F4"/>
    <w:rsid w:val="00841525"/>
    <w:rsid w:val="00841669"/>
    <w:rsid w:val="00841AF0"/>
    <w:rsid w:val="00841D2A"/>
    <w:rsid w:val="00841DD6"/>
    <w:rsid w:val="00841FDB"/>
    <w:rsid w:val="00842009"/>
    <w:rsid w:val="008421A5"/>
    <w:rsid w:val="008421FE"/>
    <w:rsid w:val="00842355"/>
    <w:rsid w:val="0084235E"/>
    <w:rsid w:val="008424E3"/>
    <w:rsid w:val="00842821"/>
    <w:rsid w:val="008428A0"/>
    <w:rsid w:val="0084299E"/>
    <w:rsid w:val="00842A4F"/>
    <w:rsid w:val="00842A6B"/>
    <w:rsid w:val="00842AD9"/>
    <w:rsid w:val="00842B61"/>
    <w:rsid w:val="00842BF2"/>
    <w:rsid w:val="00842D87"/>
    <w:rsid w:val="00842E4E"/>
    <w:rsid w:val="0084301A"/>
    <w:rsid w:val="0084334E"/>
    <w:rsid w:val="008433E8"/>
    <w:rsid w:val="00843415"/>
    <w:rsid w:val="00843546"/>
    <w:rsid w:val="008435AD"/>
    <w:rsid w:val="0084363A"/>
    <w:rsid w:val="00843652"/>
    <w:rsid w:val="00843653"/>
    <w:rsid w:val="00843915"/>
    <w:rsid w:val="00843D1E"/>
    <w:rsid w:val="00843EB8"/>
    <w:rsid w:val="00843FC9"/>
    <w:rsid w:val="00844298"/>
    <w:rsid w:val="008445FB"/>
    <w:rsid w:val="00844605"/>
    <w:rsid w:val="00844758"/>
    <w:rsid w:val="008447DB"/>
    <w:rsid w:val="00844806"/>
    <w:rsid w:val="0084499D"/>
    <w:rsid w:val="00844A06"/>
    <w:rsid w:val="00844A46"/>
    <w:rsid w:val="00844A9F"/>
    <w:rsid w:val="00844B30"/>
    <w:rsid w:val="00844C89"/>
    <w:rsid w:val="00844C91"/>
    <w:rsid w:val="00844D12"/>
    <w:rsid w:val="00845077"/>
    <w:rsid w:val="008450B5"/>
    <w:rsid w:val="00845404"/>
    <w:rsid w:val="0084546E"/>
    <w:rsid w:val="0084568B"/>
    <w:rsid w:val="00845715"/>
    <w:rsid w:val="00845731"/>
    <w:rsid w:val="00845737"/>
    <w:rsid w:val="008457DE"/>
    <w:rsid w:val="0084597E"/>
    <w:rsid w:val="0084598B"/>
    <w:rsid w:val="00845C6D"/>
    <w:rsid w:val="00845CD4"/>
    <w:rsid w:val="00845CFC"/>
    <w:rsid w:val="00845D5F"/>
    <w:rsid w:val="00845E25"/>
    <w:rsid w:val="00845EDC"/>
    <w:rsid w:val="00845FD8"/>
    <w:rsid w:val="00846069"/>
    <w:rsid w:val="00846090"/>
    <w:rsid w:val="008460ED"/>
    <w:rsid w:val="0084627C"/>
    <w:rsid w:val="008462AF"/>
    <w:rsid w:val="008462DB"/>
    <w:rsid w:val="00846369"/>
    <w:rsid w:val="008463BD"/>
    <w:rsid w:val="00846418"/>
    <w:rsid w:val="0084643A"/>
    <w:rsid w:val="0084653E"/>
    <w:rsid w:val="0084670C"/>
    <w:rsid w:val="00846745"/>
    <w:rsid w:val="00846834"/>
    <w:rsid w:val="00846B7F"/>
    <w:rsid w:val="00846C20"/>
    <w:rsid w:val="00846D1C"/>
    <w:rsid w:val="00846DC0"/>
    <w:rsid w:val="00846F8D"/>
    <w:rsid w:val="00846FF0"/>
    <w:rsid w:val="00847059"/>
    <w:rsid w:val="008471B8"/>
    <w:rsid w:val="008471FB"/>
    <w:rsid w:val="008472F2"/>
    <w:rsid w:val="008474F6"/>
    <w:rsid w:val="008475EE"/>
    <w:rsid w:val="00847685"/>
    <w:rsid w:val="00847720"/>
    <w:rsid w:val="00847830"/>
    <w:rsid w:val="0084789C"/>
    <w:rsid w:val="008479B7"/>
    <w:rsid w:val="00847A4D"/>
    <w:rsid w:val="00847C91"/>
    <w:rsid w:val="00847CD3"/>
    <w:rsid w:val="00847F02"/>
    <w:rsid w:val="00847FD8"/>
    <w:rsid w:val="0085014C"/>
    <w:rsid w:val="0085022D"/>
    <w:rsid w:val="008503FC"/>
    <w:rsid w:val="008505DD"/>
    <w:rsid w:val="00850625"/>
    <w:rsid w:val="008506DE"/>
    <w:rsid w:val="00850B04"/>
    <w:rsid w:val="00850BAC"/>
    <w:rsid w:val="00850C22"/>
    <w:rsid w:val="00850C46"/>
    <w:rsid w:val="00850C7D"/>
    <w:rsid w:val="00850DC6"/>
    <w:rsid w:val="0085105B"/>
    <w:rsid w:val="008511C2"/>
    <w:rsid w:val="0085128C"/>
    <w:rsid w:val="00851560"/>
    <w:rsid w:val="008516D1"/>
    <w:rsid w:val="008519E4"/>
    <w:rsid w:val="00851A46"/>
    <w:rsid w:val="00851DA4"/>
    <w:rsid w:val="00851F3E"/>
    <w:rsid w:val="00851F76"/>
    <w:rsid w:val="008522A7"/>
    <w:rsid w:val="0085234B"/>
    <w:rsid w:val="00852390"/>
    <w:rsid w:val="008523B7"/>
    <w:rsid w:val="008524D5"/>
    <w:rsid w:val="008524F3"/>
    <w:rsid w:val="00852699"/>
    <w:rsid w:val="008526DC"/>
    <w:rsid w:val="008527C6"/>
    <w:rsid w:val="0085290F"/>
    <w:rsid w:val="00852985"/>
    <w:rsid w:val="00852998"/>
    <w:rsid w:val="00852A8C"/>
    <w:rsid w:val="00852AC4"/>
    <w:rsid w:val="00852AE3"/>
    <w:rsid w:val="00852B51"/>
    <w:rsid w:val="00852C9F"/>
    <w:rsid w:val="00852CF3"/>
    <w:rsid w:val="00852D48"/>
    <w:rsid w:val="00852D96"/>
    <w:rsid w:val="008530F8"/>
    <w:rsid w:val="008531A7"/>
    <w:rsid w:val="008531B5"/>
    <w:rsid w:val="00853282"/>
    <w:rsid w:val="008534BE"/>
    <w:rsid w:val="00853631"/>
    <w:rsid w:val="0085377F"/>
    <w:rsid w:val="00853923"/>
    <w:rsid w:val="0085396D"/>
    <w:rsid w:val="00853AF1"/>
    <w:rsid w:val="00853B45"/>
    <w:rsid w:val="00853D93"/>
    <w:rsid w:val="00854191"/>
    <w:rsid w:val="008542EB"/>
    <w:rsid w:val="008543DF"/>
    <w:rsid w:val="00854418"/>
    <w:rsid w:val="00854665"/>
    <w:rsid w:val="0085478C"/>
    <w:rsid w:val="008548F7"/>
    <w:rsid w:val="00854C99"/>
    <w:rsid w:val="00854D84"/>
    <w:rsid w:val="008551CD"/>
    <w:rsid w:val="0085530D"/>
    <w:rsid w:val="008555B3"/>
    <w:rsid w:val="00855790"/>
    <w:rsid w:val="00855CFC"/>
    <w:rsid w:val="00855E4F"/>
    <w:rsid w:val="00855E62"/>
    <w:rsid w:val="00855F35"/>
    <w:rsid w:val="0085609D"/>
    <w:rsid w:val="00856273"/>
    <w:rsid w:val="00856288"/>
    <w:rsid w:val="008563D7"/>
    <w:rsid w:val="0085645C"/>
    <w:rsid w:val="008565C8"/>
    <w:rsid w:val="008566C2"/>
    <w:rsid w:val="00856835"/>
    <w:rsid w:val="008569E2"/>
    <w:rsid w:val="008569EC"/>
    <w:rsid w:val="00856C02"/>
    <w:rsid w:val="00856C43"/>
    <w:rsid w:val="00856D69"/>
    <w:rsid w:val="00856D71"/>
    <w:rsid w:val="00856E76"/>
    <w:rsid w:val="00856EC7"/>
    <w:rsid w:val="00856F35"/>
    <w:rsid w:val="0085708C"/>
    <w:rsid w:val="008570E3"/>
    <w:rsid w:val="00857113"/>
    <w:rsid w:val="008571FD"/>
    <w:rsid w:val="00857200"/>
    <w:rsid w:val="0085725E"/>
    <w:rsid w:val="0085731D"/>
    <w:rsid w:val="0085736B"/>
    <w:rsid w:val="00857461"/>
    <w:rsid w:val="008577C6"/>
    <w:rsid w:val="0085780B"/>
    <w:rsid w:val="0085789F"/>
    <w:rsid w:val="00857986"/>
    <w:rsid w:val="00857B01"/>
    <w:rsid w:val="00857EEE"/>
    <w:rsid w:val="00857F38"/>
    <w:rsid w:val="00860072"/>
    <w:rsid w:val="00860148"/>
    <w:rsid w:val="00860160"/>
    <w:rsid w:val="008601AA"/>
    <w:rsid w:val="008602ED"/>
    <w:rsid w:val="008602FD"/>
    <w:rsid w:val="00860402"/>
    <w:rsid w:val="008604B4"/>
    <w:rsid w:val="00860681"/>
    <w:rsid w:val="0086081F"/>
    <w:rsid w:val="0086089A"/>
    <w:rsid w:val="008609F2"/>
    <w:rsid w:val="00860C27"/>
    <w:rsid w:val="00860C67"/>
    <w:rsid w:val="00860C89"/>
    <w:rsid w:val="00860CFE"/>
    <w:rsid w:val="00860E13"/>
    <w:rsid w:val="008610E3"/>
    <w:rsid w:val="008611B1"/>
    <w:rsid w:val="00861244"/>
    <w:rsid w:val="0086129A"/>
    <w:rsid w:val="008614BA"/>
    <w:rsid w:val="00861633"/>
    <w:rsid w:val="008616B5"/>
    <w:rsid w:val="008616E8"/>
    <w:rsid w:val="00861771"/>
    <w:rsid w:val="008618D6"/>
    <w:rsid w:val="00861B4D"/>
    <w:rsid w:val="00861B8D"/>
    <w:rsid w:val="00861BB4"/>
    <w:rsid w:val="00861BDD"/>
    <w:rsid w:val="00861C8E"/>
    <w:rsid w:val="00861CE4"/>
    <w:rsid w:val="00861CE8"/>
    <w:rsid w:val="00861EB7"/>
    <w:rsid w:val="00861EEA"/>
    <w:rsid w:val="00861FC0"/>
    <w:rsid w:val="00861FFB"/>
    <w:rsid w:val="00862074"/>
    <w:rsid w:val="008621BA"/>
    <w:rsid w:val="0086231D"/>
    <w:rsid w:val="0086238C"/>
    <w:rsid w:val="00862437"/>
    <w:rsid w:val="0086245F"/>
    <w:rsid w:val="008624F9"/>
    <w:rsid w:val="00862574"/>
    <w:rsid w:val="00862736"/>
    <w:rsid w:val="00862997"/>
    <w:rsid w:val="00862A33"/>
    <w:rsid w:val="00862A8C"/>
    <w:rsid w:val="00862B23"/>
    <w:rsid w:val="00862B3D"/>
    <w:rsid w:val="00862B74"/>
    <w:rsid w:val="00862C3F"/>
    <w:rsid w:val="00862D21"/>
    <w:rsid w:val="00862D7D"/>
    <w:rsid w:val="00862DFF"/>
    <w:rsid w:val="00862E16"/>
    <w:rsid w:val="00863016"/>
    <w:rsid w:val="008631CF"/>
    <w:rsid w:val="008631FB"/>
    <w:rsid w:val="0086334F"/>
    <w:rsid w:val="00863570"/>
    <w:rsid w:val="008635C6"/>
    <w:rsid w:val="0086362E"/>
    <w:rsid w:val="00863B60"/>
    <w:rsid w:val="00863BF5"/>
    <w:rsid w:val="00863C45"/>
    <w:rsid w:val="00863D1E"/>
    <w:rsid w:val="00863D6C"/>
    <w:rsid w:val="00863D7B"/>
    <w:rsid w:val="00863ECF"/>
    <w:rsid w:val="00863FAD"/>
    <w:rsid w:val="0086411E"/>
    <w:rsid w:val="00864159"/>
    <w:rsid w:val="00864208"/>
    <w:rsid w:val="008642F3"/>
    <w:rsid w:val="00864464"/>
    <w:rsid w:val="00864638"/>
    <w:rsid w:val="00864697"/>
    <w:rsid w:val="0086483B"/>
    <w:rsid w:val="00864841"/>
    <w:rsid w:val="00864856"/>
    <w:rsid w:val="0086490B"/>
    <w:rsid w:val="00864C1B"/>
    <w:rsid w:val="00864C85"/>
    <w:rsid w:val="00864CFA"/>
    <w:rsid w:val="00864D81"/>
    <w:rsid w:val="00864E06"/>
    <w:rsid w:val="00864FEB"/>
    <w:rsid w:val="00865022"/>
    <w:rsid w:val="0086526C"/>
    <w:rsid w:val="008652D0"/>
    <w:rsid w:val="008653DE"/>
    <w:rsid w:val="0086545D"/>
    <w:rsid w:val="0086563D"/>
    <w:rsid w:val="00865740"/>
    <w:rsid w:val="00865837"/>
    <w:rsid w:val="008659AD"/>
    <w:rsid w:val="00865B0B"/>
    <w:rsid w:val="00865B96"/>
    <w:rsid w:val="00865C6C"/>
    <w:rsid w:val="00865CAE"/>
    <w:rsid w:val="00865CE6"/>
    <w:rsid w:val="00865F41"/>
    <w:rsid w:val="0086622B"/>
    <w:rsid w:val="0086625A"/>
    <w:rsid w:val="00866342"/>
    <w:rsid w:val="008664BC"/>
    <w:rsid w:val="008664C5"/>
    <w:rsid w:val="008665CC"/>
    <w:rsid w:val="008666AB"/>
    <w:rsid w:val="00866848"/>
    <w:rsid w:val="00866A5A"/>
    <w:rsid w:val="00866C84"/>
    <w:rsid w:val="00866D7E"/>
    <w:rsid w:val="00866E0E"/>
    <w:rsid w:val="00866E3B"/>
    <w:rsid w:val="00866E7F"/>
    <w:rsid w:val="00866F05"/>
    <w:rsid w:val="008675B3"/>
    <w:rsid w:val="0086763C"/>
    <w:rsid w:val="00867A1C"/>
    <w:rsid w:val="00867A29"/>
    <w:rsid w:val="00867A9B"/>
    <w:rsid w:val="00867B73"/>
    <w:rsid w:val="00867B94"/>
    <w:rsid w:val="00867C0E"/>
    <w:rsid w:val="00867C8D"/>
    <w:rsid w:val="00867DC1"/>
    <w:rsid w:val="00867DD0"/>
    <w:rsid w:val="00867EC3"/>
    <w:rsid w:val="00867FB8"/>
    <w:rsid w:val="00870181"/>
    <w:rsid w:val="00870262"/>
    <w:rsid w:val="0087031F"/>
    <w:rsid w:val="00870488"/>
    <w:rsid w:val="008704CD"/>
    <w:rsid w:val="00870682"/>
    <w:rsid w:val="008707C3"/>
    <w:rsid w:val="00870B37"/>
    <w:rsid w:val="00870C62"/>
    <w:rsid w:val="00870C81"/>
    <w:rsid w:val="00870CBB"/>
    <w:rsid w:val="00870E5B"/>
    <w:rsid w:val="00870E72"/>
    <w:rsid w:val="00870E75"/>
    <w:rsid w:val="00870F4A"/>
    <w:rsid w:val="00871012"/>
    <w:rsid w:val="0087120A"/>
    <w:rsid w:val="00871285"/>
    <w:rsid w:val="00871308"/>
    <w:rsid w:val="008713F7"/>
    <w:rsid w:val="0087145C"/>
    <w:rsid w:val="0087154F"/>
    <w:rsid w:val="00871673"/>
    <w:rsid w:val="008716D8"/>
    <w:rsid w:val="00871745"/>
    <w:rsid w:val="00871969"/>
    <w:rsid w:val="00871A5F"/>
    <w:rsid w:val="00871BD5"/>
    <w:rsid w:val="00871D08"/>
    <w:rsid w:val="00871D16"/>
    <w:rsid w:val="00871DE7"/>
    <w:rsid w:val="008720BB"/>
    <w:rsid w:val="00872233"/>
    <w:rsid w:val="0087232D"/>
    <w:rsid w:val="00872358"/>
    <w:rsid w:val="00872362"/>
    <w:rsid w:val="008725B3"/>
    <w:rsid w:val="008728A9"/>
    <w:rsid w:val="008729A7"/>
    <w:rsid w:val="008729C9"/>
    <w:rsid w:val="008729D5"/>
    <w:rsid w:val="008729F1"/>
    <w:rsid w:val="00872C95"/>
    <w:rsid w:val="00872CBB"/>
    <w:rsid w:val="00872CCC"/>
    <w:rsid w:val="008735DF"/>
    <w:rsid w:val="008736B7"/>
    <w:rsid w:val="0087384E"/>
    <w:rsid w:val="00873977"/>
    <w:rsid w:val="00873BE1"/>
    <w:rsid w:val="00873C7A"/>
    <w:rsid w:val="00873EC2"/>
    <w:rsid w:val="0087404A"/>
    <w:rsid w:val="008740A7"/>
    <w:rsid w:val="008740D7"/>
    <w:rsid w:val="00874158"/>
    <w:rsid w:val="00874240"/>
    <w:rsid w:val="00874258"/>
    <w:rsid w:val="0087432C"/>
    <w:rsid w:val="0087437F"/>
    <w:rsid w:val="008743B2"/>
    <w:rsid w:val="0087453F"/>
    <w:rsid w:val="0087454B"/>
    <w:rsid w:val="00874564"/>
    <w:rsid w:val="00874690"/>
    <w:rsid w:val="0087472D"/>
    <w:rsid w:val="008749A7"/>
    <w:rsid w:val="00874AA5"/>
    <w:rsid w:val="00874B4A"/>
    <w:rsid w:val="00874DEF"/>
    <w:rsid w:val="00874FC4"/>
    <w:rsid w:val="00875016"/>
    <w:rsid w:val="0087520D"/>
    <w:rsid w:val="008752ED"/>
    <w:rsid w:val="00875331"/>
    <w:rsid w:val="0087543D"/>
    <w:rsid w:val="008754F2"/>
    <w:rsid w:val="008755DA"/>
    <w:rsid w:val="00875603"/>
    <w:rsid w:val="0087564F"/>
    <w:rsid w:val="00875A61"/>
    <w:rsid w:val="00875A8B"/>
    <w:rsid w:val="00875B1F"/>
    <w:rsid w:val="00875BE2"/>
    <w:rsid w:val="00875BFD"/>
    <w:rsid w:val="00875D2D"/>
    <w:rsid w:val="00875DC4"/>
    <w:rsid w:val="00875FE4"/>
    <w:rsid w:val="00876016"/>
    <w:rsid w:val="00876034"/>
    <w:rsid w:val="00876146"/>
    <w:rsid w:val="008761A0"/>
    <w:rsid w:val="008762DC"/>
    <w:rsid w:val="008763B8"/>
    <w:rsid w:val="00876657"/>
    <w:rsid w:val="0087666C"/>
    <w:rsid w:val="008766A5"/>
    <w:rsid w:val="00876791"/>
    <w:rsid w:val="0087682C"/>
    <w:rsid w:val="00876869"/>
    <w:rsid w:val="008768DB"/>
    <w:rsid w:val="00876969"/>
    <w:rsid w:val="00876AF1"/>
    <w:rsid w:val="00876C7D"/>
    <w:rsid w:val="00876CAD"/>
    <w:rsid w:val="00876D2E"/>
    <w:rsid w:val="00876ED7"/>
    <w:rsid w:val="00876F06"/>
    <w:rsid w:val="00876F8A"/>
    <w:rsid w:val="00876FE3"/>
    <w:rsid w:val="008772BA"/>
    <w:rsid w:val="00877337"/>
    <w:rsid w:val="008773B6"/>
    <w:rsid w:val="0087747A"/>
    <w:rsid w:val="0087753D"/>
    <w:rsid w:val="008776B7"/>
    <w:rsid w:val="00877757"/>
    <w:rsid w:val="00877778"/>
    <w:rsid w:val="008777F4"/>
    <w:rsid w:val="00877897"/>
    <w:rsid w:val="00877972"/>
    <w:rsid w:val="00877A92"/>
    <w:rsid w:val="00877A9E"/>
    <w:rsid w:val="00877BF8"/>
    <w:rsid w:val="00880021"/>
    <w:rsid w:val="00880064"/>
    <w:rsid w:val="00880211"/>
    <w:rsid w:val="008802AD"/>
    <w:rsid w:val="00880419"/>
    <w:rsid w:val="00880489"/>
    <w:rsid w:val="0088058B"/>
    <w:rsid w:val="008805EC"/>
    <w:rsid w:val="0088083B"/>
    <w:rsid w:val="00880847"/>
    <w:rsid w:val="008809B7"/>
    <w:rsid w:val="00880A03"/>
    <w:rsid w:val="00880A14"/>
    <w:rsid w:val="00880C75"/>
    <w:rsid w:val="00880C94"/>
    <w:rsid w:val="00880E3C"/>
    <w:rsid w:val="00880F14"/>
    <w:rsid w:val="0088104F"/>
    <w:rsid w:val="00881130"/>
    <w:rsid w:val="008812F3"/>
    <w:rsid w:val="008812FE"/>
    <w:rsid w:val="0088153B"/>
    <w:rsid w:val="008815F9"/>
    <w:rsid w:val="008817D9"/>
    <w:rsid w:val="00881A64"/>
    <w:rsid w:val="00881AAA"/>
    <w:rsid w:val="00881BC1"/>
    <w:rsid w:val="00881CCF"/>
    <w:rsid w:val="00881D31"/>
    <w:rsid w:val="00882074"/>
    <w:rsid w:val="008820C7"/>
    <w:rsid w:val="008821B5"/>
    <w:rsid w:val="0088224F"/>
    <w:rsid w:val="00882309"/>
    <w:rsid w:val="00882401"/>
    <w:rsid w:val="00882538"/>
    <w:rsid w:val="0088254A"/>
    <w:rsid w:val="00882552"/>
    <w:rsid w:val="00882750"/>
    <w:rsid w:val="008829ED"/>
    <w:rsid w:val="00882A3B"/>
    <w:rsid w:val="00882B84"/>
    <w:rsid w:val="00882BE8"/>
    <w:rsid w:val="00882C20"/>
    <w:rsid w:val="00882C4D"/>
    <w:rsid w:val="00882C71"/>
    <w:rsid w:val="00882EDE"/>
    <w:rsid w:val="0088317D"/>
    <w:rsid w:val="008831EA"/>
    <w:rsid w:val="008831F3"/>
    <w:rsid w:val="00883264"/>
    <w:rsid w:val="00883269"/>
    <w:rsid w:val="008834C0"/>
    <w:rsid w:val="00883720"/>
    <w:rsid w:val="008838E1"/>
    <w:rsid w:val="008838EE"/>
    <w:rsid w:val="00883A9F"/>
    <w:rsid w:val="00883B18"/>
    <w:rsid w:val="00883DA2"/>
    <w:rsid w:val="00883F4A"/>
    <w:rsid w:val="0088404B"/>
    <w:rsid w:val="008841B5"/>
    <w:rsid w:val="0088482B"/>
    <w:rsid w:val="00884879"/>
    <w:rsid w:val="008848E2"/>
    <w:rsid w:val="0088499C"/>
    <w:rsid w:val="008849D0"/>
    <w:rsid w:val="00884A23"/>
    <w:rsid w:val="00884B91"/>
    <w:rsid w:val="00884D19"/>
    <w:rsid w:val="00884D56"/>
    <w:rsid w:val="00884DB6"/>
    <w:rsid w:val="00884EE5"/>
    <w:rsid w:val="00884F74"/>
    <w:rsid w:val="0088519B"/>
    <w:rsid w:val="0088521A"/>
    <w:rsid w:val="008853B0"/>
    <w:rsid w:val="008854D1"/>
    <w:rsid w:val="00885556"/>
    <w:rsid w:val="008856FD"/>
    <w:rsid w:val="0088573C"/>
    <w:rsid w:val="00885922"/>
    <w:rsid w:val="00885C63"/>
    <w:rsid w:val="00885C89"/>
    <w:rsid w:val="00885D63"/>
    <w:rsid w:val="00885E50"/>
    <w:rsid w:val="00885F92"/>
    <w:rsid w:val="008861A6"/>
    <w:rsid w:val="00886349"/>
    <w:rsid w:val="00886377"/>
    <w:rsid w:val="008863E8"/>
    <w:rsid w:val="0088641C"/>
    <w:rsid w:val="00886459"/>
    <w:rsid w:val="008865E3"/>
    <w:rsid w:val="00886640"/>
    <w:rsid w:val="0088665D"/>
    <w:rsid w:val="008867FD"/>
    <w:rsid w:val="0088691E"/>
    <w:rsid w:val="0088699A"/>
    <w:rsid w:val="00886BDB"/>
    <w:rsid w:val="00886CF7"/>
    <w:rsid w:val="00886D40"/>
    <w:rsid w:val="00886FC1"/>
    <w:rsid w:val="00887094"/>
    <w:rsid w:val="0088728D"/>
    <w:rsid w:val="008872EF"/>
    <w:rsid w:val="0088778A"/>
    <w:rsid w:val="008877A8"/>
    <w:rsid w:val="0088784E"/>
    <w:rsid w:val="00887ADB"/>
    <w:rsid w:val="00887BC5"/>
    <w:rsid w:val="00887D4C"/>
    <w:rsid w:val="00887D96"/>
    <w:rsid w:val="008901FE"/>
    <w:rsid w:val="00890204"/>
    <w:rsid w:val="0089029C"/>
    <w:rsid w:val="008904E3"/>
    <w:rsid w:val="00890830"/>
    <w:rsid w:val="00890931"/>
    <w:rsid w:val="0089096D"/>
    <w:rsid w:val="00890A1B"/>
    <w:rsid w:val="00890DFA"/>
    <w:rsid w:val="00890EAF"/>
    <w:rsid w:val="0089106E"/>
    <w:rsid w:val="0089119D"/>
    <w:rsid w:val="0089121B"/>
    <w:rsid w:val="0089143E"/>
    <w:rsid w:val="0089161D"/>
    <w:rsid w:val="00891719"/>
    <w:rsid w:val="0089184C"/>
    <w:rsid w:val="008918F0"/>
    <w:rsid w:val="00891904"/>
    <w:rsid w:val="00891B28"/>
    <w:rsid w:val="00891BFF"/>
    <w:rsid w:val="00891C37"/>
    <w:rsid w:val="00891D39"/>
    <w:rsid w:val="00891E77"/>
    <w:rsid w:val="00891F00"/>
    <w:rsid w:val="00892030"/>
    <w:rsid w:val="00892037"/>
    <w:rsid w:val="0089211E"/>
    <w:rsid w:val="008922E1"/>
    <w:rsid w:val="0089248B"/>
    <w:rsid w:val="008924D6"/>
    <w:rsid w:val="00892656"/>
    <w:rsid w:val="00892A98"/>
    <w:rsid w:val="00892AD4"/>
    <w:rsid w:val="00892B42"/>
    <w:rsid w:val="00892BEC"/>
    <w:rsid w:val="008931A3"/>
    <w:rsid w:val="0089321A"/>
    <w:rsid w:val="0089321D"/>
    <w:rsid w:val="0089332B"/>
    <w:rsid w:val="0089333D"/>
    <w:rsid w:val="00893498"/>
    <w:rsid w:val="008934D9"/>
    <w:rsid w:val="0089354E"/>
    <w:rsid w:val="008935AD"/>
    <w:rsid w:val="008938BB"/>
    <w:rsid w:val="00893B57"/>
    <w:rsid w:val="00893BE3"/>
    <w:rsid w:val="00893F97"/>
    <w:rsid w:val="00893FE7"/>
    <w:rsid w:val="008944BC"/>
    <w:rsid w:val="00894582"/>
    <w:rsid w:val="0089461C"/>
    <w:rsid w:val="00894714"/>
    <w:rsid w:val="008947AE"/>
    <w:rsid w:val="008948C2"/>
    <w:rsid w:val="0089491E"/>
    <w:rsid w:val="00894937"/>
    <w:rsid w:val="0089497D"/>
    <w:rsid w:val="00894A4E"/>
    <w:rsid w:val="00894AAC"/>
    <w:rsid w:val="00894AD1"/>
    <w:rsid w:val="00894C35"/>
    <w:rsid w:val="00894E00"/>
    <w:rsid w:val="008950AD"/>
    <w:rsid w:val="008950BC"/>
    <w:rsid w:val="0089544D"/>
    <w:rsid w:val="0089560C"/>
    <w:rsid w:val="00895624"/>
    <w:rsid w:val="0089584E"/>
    <w:rsid w:val="008958A9"/>
    <w:rsid w:val="00895A60"/>
    <w:rsid w:val="00895A76"/>
    <w:rsid w:val="00895BE9"/>
    <w:rsid w:val="00895CC7"/>
    <w:rsid w:val="00895E3A"/>
    <w:rsid w:val="00895F0E"/>
    <w:rsid w:val="00895F17"/>
    <w:rsid w:val="0089605A"/>
    <w:rsid w:val="008960B9"/>
    <w:rsid w:val="00896138"/>
    <w:rsid w:val="0089634A"/>
    <w:rsid w:val="00896365"/>
    <w:rsid w:val="00896582"/>
    <w:rsid w:val="008968FB"/>
    <w:rsid w:val="008968FC"/>
    <w:rsid w:val="00896917"/>
    <w:rsid w:val="00896ADA"/>
    <w:rsid w:val="00896BF5"/>
    <w:rsid w:val="00896C36"/>
    <w:rsid w:val="00896C73"/>
    <w:rsid w:val="00896CF2"/>
    <w:rsid w:val="00896D83"/>
    <w:rsid w:val="00896D99"/>
    <w:rsid w:val="00896E4E"/>
    <w:rsid w:val="0089711C"/>
    <w:rsid w:val="00897235"/>
    <w:rsid w:val="00897512"/>
    <w:rsid w:val="0089759F"/>
    <w:rsid w:val="0089797E"/>
    <w:rsid w:val="00897990"/>
    <w:rsid w:val="00897A28"/>
    <w:rsid w:val="00897AE8"/>
    <w:rsid w:val="00897CE4"/>
    <w:rsid w:val="00897D55"/>
    <w:rsid w:val="00897F8A"/>
    <w:rsid w:val="008A001C"/>
    <w:rsid w:val="008A003B"/>
    <w:rsid w:val="008A03FA"/>
    <w:rsid w:val="008A043F"/>
    <w:rsid w:val="008A0564"/>
    <w:rsid w:val="008A056B"/>
    <w:rsid w:val="008A0ACB"/>
    <w:rsid w:val="008A0D78"/>
    <w:rsid w:val="008A120E"/>
    <w:rsid w:val="008A12EF"/>
    <w:rsid w:val="008A13BB"/>
    <w:rsid w:val="008A1436"/>
    <w:rsid w:val="008A1536"/>
    <w:rsid w:val="008A1547"/>
    <w:rsid w:val="008A15A9"/>
    <w:rsid w:val="008A168B"/>
    <w:rsid w:val="008A1C5B"/>
    <w:rsid w:val="008A1CC4"/>
    <w:rsid w:val="008A1CCF"/>
    <w:rsid w:val="008A1EC5"/>
    <w:rsid w:val="008A22B5"/>
    <w:rsid w:val="008A23FB"/>
    <w:rsid w:val="008A245E"/>
    <w:rsid w:val="008A2487"/>
    <w:rsid w:val="008A2AB3"/>
    <w:rsid w:val="008A2AE6"/>
    <w:rsid w:val="008A2C0A"/>
    <w:rsid w:val="008A2F4F"/>
    <w:rsid w:val="008A2F5A"/>
    <w:rsid w:val="008A2FCC"/>
    <w:rsid w:val="008A2FF5"/>
    <w:rsid w:val="008A3078"/>
    <w:rsid w:val="008A30C7"/>
    <w:rsid w:val="008A31AC"/>
    <w:rsid w:val="008A31BC"/>
    <w:rsid w:val="008A333F"/>
    <w:rsid w:val="008A3379"/>
    <w:rsid w:val="008A347F"/>
    <w:rsid w:val="008A34A3"/>
    <w:rsid w:val="008A37AC"/>
    <w:rsid w:val="008A37BE"/>
    <w:rsid w:val="008A386D"/>
    <w:rsid w:val="008A3AEA"/>
    <w:rsid w:val="008A3AFA"/>
    <w:rsid w:val="008A3B1E"/>
    <w:rsid w:val="008A3D94"/>
    <w:rsid w:val="008A3E0B"/>
    <w:rsid w:val="008A3EA9"/>
    <w:rsid w:val="008A3EE2"/>
    <w:rsid w:val="008A3F64"/>
    <w:rsid w:val="008A3FDD"/>
    <w:rsid w:val="008A40B1"/>
    <w:rsid w:val="008A4184"/>
    <w:rsid w:val="008A4381"/>
    <w:rsid w:val="008A4515"/>
    <w:rsid w:val="008A4613"/>
    <w:rsid w:val="008A4679"/>
    <w:rsid w:val="008A483C"/>
    <w:rsid w:val="008A4889"/>
    <w:rsid w:val="008A497B"/>
    <w:rsid w:val="008A4BF6"/>
    <w:rsid w:val="008A4ED7"/>
    <w:rsid w:val="008A4EDF"/>
    <w:rsid w:val="008A5023"/>
    <w:rsid w:val="008A53D2"/>
    <w:rsid w:val="008A547F"/>
    <w:rsid w:val="008A595D"/>
    <w:rsid w:val="008A5E59"/>
    <w:rsid w:val="008A5E92"/>
    <w:rsid w:val="008A5E95"/>
    <w:rsid w:val="008A60A1"/>
    <w:rsid w:val="008A61EF"/>
    <w:rsid w:val="008A622E"/>
    <w:rsid w:val="008A62C8"/>
    <w:rsid w:val="008A62FF"/>
    <w:rsid w:val="008A63BD"/>
    <w:rsid w:val="008A6507"/>
    <w:rsid w:val="008A6582"/>
    <w:rsid w:val="008A672E"/>
    <w:rsid w:val="008A6830"/>
    <w:rsid w:val="008A6971"/>
    <w:rsid w:val="008A6D85"/>
    <w:rsid w:val="008A6EF7"/>
    <w:rsid w:val="008A702F"/>
    <w:rsid w:val="008A7077"/>
    <w:rsid w:val="008A70BA"/>
    <w:rsid w:val="008A71DA"/>
    <w:rsid w:val="008A71F2"/>
    <w:rsid w:val="008A72B1"/>
    <w:rsid w:val="008A7412"/>
    <w:rsid w:val="008A7569"/>
    <w:rsid w:val="008A75C0"/>
    <w:rsid w:val="008A76AA"/>
    <w:rsid w:val="008A797A"/>
    <w:rsid w:val="008A7B79"/>
    <w:rsid w:val="008A7D69"/>
    <w:rsid w:val="008A7E0D"/>
    <w:rsid w:val="008A7E6D"/>
    <w:rsid w:val="008A7F24"/>
    <w:rsid w:val="008A7F25"/>
    <w:rsid w:val="008A7F71"/>
    <w:rsid w:val="008B00CB"/>
    <w:rsid w:val="008B01EA"/>
    <w:rsid w:val="008B0261"/>
    <w:rsid w:val="008B0288"/>
    <w:rsid w:val="008B02BF"/>
    <w:rsid w:val="008B0305"/>
    <w:rsid w:val="008B04D4"/>
    <w:rsid w:val="008B0976"/>
    <w:rsid w:val="008B0A5C"/>
    <w:rsid w:val="008B0C62"/>
    <w:rsid w:val="008B0ECB"/>
    <w:rsid w:val="008B0F9A"/>
    <w:rsid w:val="008B1081"/>
    <w:rsid w:val="008B1086"/>
    <w:rsid w:val="008B116F"/>
    <w:rsid w:val="008B1312"/>
    <w:rsid w:val="008B137F"/>
    <w:rsid w:val="008B1551"/>
    <w:rsid w:val="008B175C"/>
    <w:rsid w:val="008B1950"/>
    <w:rsid w:val="008B1D06"/>
    <w:rsid w:val="008B1D19"/>
    <w:rsid w:val="008B1D58"/>
    <w:rsid w:val="008B1DCB"/>
    <w:rsid w:val="008B204B"/>
    <w:rsid w:val="008B20CF"/>
    <w:rsid w:val="008B2278"/>
    <w:rsid w:val="008B2307"/>
    <w:rsid w:val="008B238D"/>
    <w:rsid w:val="008B248A"/>
    <w:rsid w:val="008B24F4"/>
    <w:rsid w:val="008B24FC"/>
    <w:rsid w:val="008B259F"/>
    <w:rsid w:val="008B279F"/>
    <w:rsid w:val="008B2805"/>
    <w:rsid w:val="008B2853"/>
    <w:rsid w:val="008B2947"/>
    <w:rsid w:val="008B2C1F"/>
    <w:rsid w:val="008B2EC3"/>
    <w:rsid w:val="008B3103"/>
    <w:rsid w:val="008B312B"/>
    <w:rsid w:val="008B33E0"/>
    <w:rsid w:val="008B348C"/>
    <w:rsid w:val="008B35FE"/>
    <w:rsid w:val="008B372F"/>
    <w:rsid w:val="008B3749"/>
    <w:rsid w:val="008B37F6"/>
    <w:rsid w:val="008B38E6"/>
    <w:rsid w:val="008B398B"/>
    <w:rsid w:val="008B39BC"/>
    <w:rsid w:val="008B3B72"/>
    <w:rsid w:val="008B3B96"/>
    <w:rsid w:val="008B3BDA"/>
    <w:rsid w:val="008B3E4B"/>
    <w:rsid w:val="008B3FA4"/>
    <w:rsid w:val="008B3FB0"/>
    <w:rsid w:val="008B4014"/>
    <w:rsid w:val="008B4045"/>
    <w:rsid w:val="008B4279"/>
    <w:rsid w:val="008B4362"/>
    <w:rsid w:val="008B47C8"/>
    <w:rsid w:val="008B48CF"/>
    <w:rsid w:val="008B4989"/>
    <w:rsid w:val="008B4A24"/>
    <w:rsid w:val="008B4AB4"/>
    <w:rsid w:val="008B4B46"/>
    <w:rsid w:val="008B4C8D"/>
    <w:rsid w:val="008B4DDA"/>
    <w:rsid w:val="008B4DFF"/>
    <w:rsid w:val="008B4E02"/>
    <w:rsid w:val="008B4E74"/>
    <w:rsid w:val="008B4E9F"/>
    <w:rsid w:val="008B4ECA"/>
    <w:rsid w:val="008B4EDB"/>
    <w:rsid w:val="008B5141"/>
    <w:rsid w:val="008B5386"/>
    <w:rsid w:val="008B54D6"/>
    <w:rsid w:val="008B54F3"/>
    <w:rsid w:val="008B573C"/>
    <w:rsid w:val="008B581D"/>
    <w:rsid w:val="008B581F"/>
    <w:rsid w:val="008B5967"/>
    <w:rsid w:val="008B5BE0"/>
    <w:rsid w:val="008B5D35"/>
    <w:rsid w:val="008B5F5E"/>
    <w:rsid w:val="008B61CF"/>
    <w:rsid w:val="008B6313"/>
    <w:rsid w:val="008B6499"/>
    <w:rsid w:val="008B6574"/>
    <w:rsid w:val="008B66D6"/>
    <w:rsid w:val="008B66F1"/>
    <w:rsid w:val="008B6844"/>
    <w:rsid w:val="008B6CBD"/>
    <w:rsid w:val="008B6D6C"/>
    <w:rsid w:val="008B6E59"/>
    <w:rsid w:val="008B6FC5"/>
    <w:rsid w:val="008B7088"/>
    <w:rsid w:val="008B714E"/>
    <w:rsid w:val="008B7198"/>
    <w:rsid w:val="008B7229"/>
    <w:rsid w:val="008B7321"/>
    <w:rsid w:val="008B745A"/>
    <w:rsid w:val="008B7478"/>
    <w:rsid w:val="008B7572"/>
    <w:rsid w:val="008B7647"/>
    <w:rsid w:val="008B76F4"/>
    <w:rsid w:val="008B775A"/>
    <w:rsid w:val="008B7793"/>
    <w:rsid w:val="008B779C"/>
    <w:rsid w:val="008B77F3"/>
    <w:rsid w:val="008B7826"/>
    <w:rsid w:val="008B7844"/>
    <w:rsid w:val="008B78FB"/>
    <w:rsid w:val="008B7A00"/>
    <w:rsid w:val="008B7A1B"/>
    <w:rsid w:val="008B7B46"/>
    <w:rsid w:val="008B7C04"/>
    <w:rsid w:val="008B7EBC"/>
    <w:rsid w:val="008B7FFD"/>
    <w:rsid w:val="008C0076"/>
    <w:rsid w:val="008C028B"/>
    <w:rsid w:val="008C03C5"/>
    <w:rsid w:val="008C068E"/>
    <w:rsid w:val="008C072A"/>
    <w:rsid w:val="008C0987"/>
    <w:rsid w:val="008C0D24"/>
    <w:rsid w:val="008C0D94"/>
    <w:rsid w:val="008C0E87"/>
    <w:rsid w:val="008C0EEE"/>
    <w:rsid w:val="008C0F7D"/>
    <w:rsid w:val="008C0FB7"/>
    <w:rsid w:val="008C1357"/>
    <w:rsid w:val="008C1428"/>
    <w:rsid w:val="008C14BF"/>
    <w:rsid w:val="008C1733"/>
    <w:rsid w:val="008C1778"/>
    <w:rsid w:val="008C1822"/>
    <w:rsid w:val="008C1DC8"/>
    <w:rsid w:val="008C202C"/>
    <w:rsid w:val="008C2054"/>
    <w:rsid w:val="008C20AC"/>
    <w:rsid w:val="008C20FF"/>
    <w:rsid w:val="008C22A6"/>
    <w:rsid w:val="008C249F"/>
    <w:rsid w:val="008C2544"/>
    <w:rsid w:val="008C2631"/>
    <w:rsid w:val="008C26C5"/>
    <w:rsid w:val="008C2859"/>
    <w:rsid w:val="008C2B2C"/>
    <w:rsid w:val="008C2B51"/>
    <w:rsid w:val="008C2B8E"/>
    <w:rsid w:val="008C2CD9"/>
    <w:rsid w:val="008C2D1F"/>
    <w:rsid w:val="008C2DBE"/>
    <w:rsid w:val="008C3203"/>
    <w:rsid w:val="008C3231"/>
    <w:rsid w:val="008C3518"/>
    <w:rsid w:val="008C35A5"/>
    <w:rsid w:val="008C35ED"/>
    <w:rsid w:val="008C3626"/>
    <w:rsid w:val="008C38AD"/>
    <w:rsid w:val="008C3985"/>
    <w:rsid w:val="008C3B05"/>
    <w:rsid w:val="008C3E94"/>
    <w:rsid w:val="008C3F9D"/>
    <w:rsid w:val="008C3FB1"/>
    <w:rsid w:val="008C406F"/>
    <w:rsid w:val="008C4165"/>
    <w:rsid w:val="008C4168"/>
    <w:rsid w:val="008C41C7"/>
    <w:rsid w:val="008C4254"/>
    <w:rsid w:val="008C43D4"/>
    <w:rsid w:val="008C448B"/>
    <w:rsid w:val="008C465C"/>
    <w:rsid w:val="008C46E0"/>
    <w:rsid w:val="008C471B"/>
    <w:rsid w:val="008C48DA"/>
    <w:rsid w:val="008C499F"/>
    <w:rsid w:val="008C4C7F"/>
    <w:rsid w:val="008C4CB3"/>
    <w:rsid w:val="008C523B"/>
    <w:rsid w:val="008C543F"/>
    <w:rsid w:val="008C5512"/>
    <w:rsid w:val="008C5522"/>
    <w:rsid w:val="008C55B2"/>
    <w:rsid w:val="008C56EC"/>
    <w:rsid w:val="008C5754"/>
    <w:rsid w:val="008C58F3"/>
    <w:rsid w:val="008C5954"/>
    <w:rsid w:val="008C59C3"/>
    <w:rsid w:val="008C5A43"/>
    <w:rsid w:val="008C5B74"/>
    <w:rsid w:val="008C5C4D"/>
    <w:rsid w:val="008C5E1E"/>
    <w:rsid w:val="008C5E65"/>
    <w:rsid w:val="008C5F31"/>
    <w:rsid w:val="008C5FCA"/>
    <w:rsid w:val="008C6293"/>
    <w:rsid w:val="008C629F"/>
    <w:rsid w:val="008C6414"/>
    <w:rsid w:val="008C6535"/>
    <w:rsid w:val="008C67F1"/>
    <w:rsid w:val="008C6A6B"/>
    <w:rsid w:val="008C6CD1"/>
    <w:rsid w:val="008C6EFC"/>
    <w:rsid w:val="008C6F4C"/>
    <w:rsid w:val="008C73D4"/>
    <w:rsid w:val="008C7584"/>
    <w:rsid w:val="008C76A3"/>
    <w:rsid w:val="008C76DC"/>
    <w:rsid w:val="008C78F1"/>
    <w:rsid w:val="008C79DA"/>
    <w:rsid w:val="008C79DE"/>
    <w:rsid w:val="008C7AE2"/>
    <w:rsid w:val="008C7AF5"/>
    <w:rsid w:val="008C7AFE"/>
    <w:rsid w:val="008C7B40"/>
    <w:rsid w:val="008C7B66"/>
    <w:rsid w:val="008C7D1F"/>
    <w:rsid w:val="008C7F5F"/>
    <w:rsid w:val="008D010F"/>
    <w:rsid w:val="008D01BE"/>
    <w:rsid w:val="008D01DF"/>
    <w:rsid w:val="008D0265"/>
    <w:rsid w:val="008D0339"/>
    <w:rsid w:val="008D035B"/>
    <w:rsid w:val="008D0495"/>
    <w:rsid w:val="008D0600"/>
    <w:rsid w:val="008D0B08"/>
    <w:rsid w:val="008D0CE4"/>
    <w:rsid w:val="008D0CFE"/>
    <w:rsid w:val="008D0D27"/>
    <w:rsid w:val="008D1198"/>
    <w:rsid w:val="008D1255"/>
    <w:rsid w:val="008D1268"/>
    <w:rsid w:val="008D1296"/>
    <w:rsid w:val="008D1334"/>
    <w:rsid w:val="008D1463"/>
    <w:rsid w:val="008D17B5"/>
    <w:rsid w:val="008D1845"/>
    <w:rsid w:val="008D18F5"/>
    <w:rsid w:val="008D1A65"/>
    <w:rsid w:val="008D1CE0"/>
    <w:rsid w:val="008D1DFE"/>
    <w:rsid w:val="008D1E25"/>
    <w:rsid w:val="008D2015"/>
    <w:rsid w:val="008D21B6"/>
    <w:rsid w:val="008D2230"/>
    <w:rsid w:val="008D249A"/>
    <w:rsid w:val="008D2794"/>
    <w:rsid w:val="008D281A"/>
    <w:rsid w:val="008D2849"/>
    <w:rsid w:val="008D2870"/>
    <w:rsid w:val="008D2A87"/>
    <w:rsid w:val="008D2A8C"/>
    <w:rsid w:val="008D2BE1"/>
    <w:rsid w:val="008D2D7A"/>
    <w:rsid w:val="008D2DE8"/>
    <w:rsid w:val="008D2E1C"/>
    <w:rsid w:val="008D2EA5"/>
    <w:rsid w:val="008D2EEF"/>
    <w:rsid w:val="008D2EF1"/>
    <w:rsid w:val="008D2F20"/>
    <w:rsid w:val="008D3172"/>
    <w:rsid w:val="008D31BE"/>
    <w:rsid w:val="008D3459"/>
    <w:rsid w:val="008D3599"/>
    <w:rsid w:val="008D36B7"/>
    <w:rsid w:val="008D3869"/>
    <w:rsid w:val="008D3938"/>
    <w:rsid w:val="008D3B40"/>
    <w:rsid w:val="008D3B42"/>
    <w:rsid w:val="008D3BC4"/>
    <w:rsid w:val="008D3C5C"/>
    <w:rsid w:val="008D40ED"/>
    <w:rsid w:val="008D41E1"/>
    <w:rsid w:val="008D43FE"/>
    <w:rsid w:val="008D4635"/>
    <w:rsid w:val="008D46CC"/>
    <w:rsid w:val="008D46E8"/>
    <w:rsid w:val="008D485C"/>
    <w:rsid w:val="008D4A41"/>
    <w:rsid w:val="008D4ADC"/>
    <w:rsid w:val="008D4C7D"/>
    <w:rsid w:val="008D4CAF"/>
    <w:rsid w:val="008D4CC5"/>
    <w:rsid w:val="008D4CE8"/>
    <w:rsid w:val="008D4ECE"/>
    <w:rsid w:val="008D4EFF"/>
    <w:rsid w:val="008D4FB3"/>
    <w:rsid w:val="008D5096"/>
    <w:rsid w:val="008D50A6"/>
    <w:rsid w:val="008D52E3"/>
    <w:rsid w:val="008D561A"/>
    <w:rsid w:val="008D568E"/>
    <w:rsid w:val="008D56FA"/>
    <w:rsid w:val="008D57DA"/>
    <w:rsid w:val="008D5995"/>
    <w:rsid w:val="008D5C34"/>
    <w:rsid w:val="008D5D3A"/>
    <w:rsid w:val="008D5D3D"/>
    <w:rsid w:val="008D5E81"/>
    <w:rsid w:val="008D6232"/>
    <w:rsid w:val="008D62CD"/>
    <w:rsid w:val="008D6435"/>
    <w:rsid w:val="008D65F7"/>
    <w:rsid w:val="008D6831"/>
    <w:rsid w:val="008D688B"/>
    <w:rsid w:val="008D6905"/>
    <w:rsid w:val="008D6A06"/>
    <w:rsid w:val="008D6A4B"/>
    <w:rsid w:val="008D6F44"/>
    <w:rsid w:val="008D7019"/>
    <w:rsid w:val="008D7124"/>
    <w:rsid w:val="008D7209"/>
    <w:rsid w:val="008D75AB"/>
    <w:rsid w:val="008D777F"/>
    <w:rsid w:val="008D77E7"/>
    <w:rsid w:val="008D7815"/>
    <w:rsid w:val="008D7970"/>
    <w:rsid w:val="008D79E0"/>
    <w:rsid w:val="008D79FF"/>
    <w:rsid w:val="008D7B6D"/>
    <w:rsid w:val="008D7BC3"/>
    <w:rsid w:val="008D7BD4"/>
    <w:rsid w:val="008D7C9B"/>
    <w:rsid w:val="008D7CBA"/>
    <w:rsid w:val="008D7ECA"/>
    <w:rsid w:val="008D7FF3"/>
    <w:rsid w:val="008E0401"/>
    <w:rsid w:val="008E05EB"/>
    <w:rsid w:val="008E06F1"/>
    <w:rsid w:val="008E08F6"/>
    <w:rsid w:val="008E09C7"/>
    <w:rsid w:val="008E09FC"/>
    <w:rsid w:val="008E0A89"/>
    <w:rsid w:val="008E0B16"/>
    <w:rsid w:val="008E0C6E"/>
    <w:rsid w:val="008E100A"/>
    <w:rsid w:val="008E1057"/>
    <w:rsid w:val="008E115D"/>
    <w:rsid w:val="008E13A2"/>
    <w:rsid w:val="008E13B5"/>
    <w:rsid w:val="008E15B3"/>
    <w:rsid w:val="008E1834"/>
    <w:rsid w:val="008E19A6"/>
    <w:rsid w:val="008E1C0C"/>
    <w:rsid w:val="008E1CA2"/>
    <w:rsid w:val="008E1FD6"/>
    <w:rsid w:val="008E200E"/>
    <w:rsid w:val="008E21E2"/>
    <w:rsid w:val="008E2377"/>
    <w:rsid w:val="008E2612"/>
    <w:rsid w:val="008E266C"/>
    <w:rsid w:val="008E277C"/>
    <w:rsid w:val="008E279F"/>
    <w:rsid w:val="008E289D"/>
    <w:rsid w:val="008E2A2A"/>
    <w:rsid w:val="008E2A59"/>
    <w:rsid w:val="008E2AB3"/>
    <w:rsid w:val="008E2AD1"/>
    <w:rsid w:val="008E2BF8"/>
    <w:rsid w:val="008E2CBD"/>
    <w:rsid w:val="008E2CFC"/>
    <w:rsid w:val="008E2D1B"/>
    <w:rsid w:val="008E3014"/>
    <w:rsid w:val="008E3169"/>
    <w:rsid w:val="008E3254"/>
    <w:rsid w:val="008E3306"/>
    <w:rsid w:val="008E340E"/>
    <w:rsid w:val="008E36C9"/>
    <w:rsid w:val="008E371B"/>
    <w:rsid w:val="008E3756"/>
    <w:rsid w:val="008E37A8"/>
    <w:rsid w:val="008E37E1"/>
    <w:rsid w:val="008E3847"/>
    <w:rsid w:val="008E39D6"/>
    <w:rsid w:val="008E3C47"/>
    <w:rsid w:val="008E3CDC"/>
    <w:rsid w:val="008E3D27"/>
    <w:rsid w:val="008E41A0"/>
    <w:rsid w:val="008E425F"/>
    <w:rsid w:val="008E43AD"/>
    <w:rsid w:val="008E4446"/>
    <w:rsid w:val="008E44F2"/>
    <w:rsid w:val="008E4584"/>
    <w:rsid w:val="008E45AF"/>
    <w:rsid w:val="008E45E5"/>
    <w:rsid w:val="008E464D"/>
    <w:rsid w:val="008E4659"/>
    <w:rsid w:val="008E4691"/>
    <w:rsid w:val="008E46CF"/>
    <w:rsid w:val="008E48A4"/>
    <w:rsid w:val="008E4A3C"/>
    <w:rsid w:val="008E4AFA"/>
    <w:rsid w:val="008E4D1E"/>
    <w:rsid w:val="008E4E73"/>
    <w:rsid w:val="008E4F0B"/>
    <w:rsid w:val="008E5626"/>
    <w:rsid w:val="008E567E"/>
    <w:rsid w:val="008E574B"/>
    <w:rsid w:val="008E57FB"/>
    <w:rsid w:val="008E5A02"/>
    <w:rsid w:val="008E5AD5"/>
    <w:rsid w:val="008E5BBF"/>
    <w:rsid w:val="008E5E4E"/>
    <w:rsid w:val="008E5F52"/>
    <w:rsid w:val="008E6032"/>
    <w:rsid w:val="008E622D"/>
    <w:rsid w:val="008E6265"/>
    <w:rsid w:val="008E63F9"/>
    <w:rsid w:val="008E64C4"/>
    <w:rsid w:val="008E6597"/>
    <w:rsid w:val="008E65F2"/>
    <w:rsid w:val="008E6674"/>
    <w:rsid w:val="008E668D"/>
    <w:rsid w:val="008E693D"/>
    <w:rsid w:val="008E695B"/>
    <w:rsid w:val="008E69DF"/>
    <w:rsid w:val="008E6AAE"/>
    <w:rsid w:val="008E6B6D"/>
    <w:rsid w:val="008E6C21"/>
    <w:rsid w:val="008E6E2E"/>
    <w:rsid w:val="008E708A"/>
    <w:rsid w:val="008E7232"/>
    <w:rsid w:val="008E724F"/>
    <w:rsid w:val="008E725B"/>
    <w:rsid w:val="008E7465"/>
    <w:rsid w:val="008E747D"/>
    <w:rsid w:val="008E793B"/>
    <w:rsid w:val="008E79B0"/>
    <w:rsid w:val="008E7A2E"/>
    <w:rsid w:val="008E7A92"/>
    <w:rsid w:val="008E7AAC"/>
    <w:rsid w:val="008E7AF7"/>
    <w:rsid w:val="008E7BB6"/>
    <w:rsid w:val="008E7E72"/>
    <w:rsid w:val="008F003F"/>
    <w:rsid w:val="008F0152"/>
    <w:rsid w:val="008F04AB"/>
    <w:rsid w:val="008F05E2"/>
    <w:rsid w:val="008F071C"/>
    <w:rsid w:val="008F0981"/>
    <w:rsid w:val="008F09EA"/>
    <w:rsid w:val="008F0B16"/>
    <w:rsid w:val="008F0E65"/>
    <w:rsid w:val="008F1008"/>
    <w:rsid w:val="008F100B"/>
    <w:rsid w:val="008F132E"/>
    <w:rsid w:val="008F1388"/>
    <w:rsid w:val="008F149F"/>
    <w:rsid w:val="008F14AC"/>
    <w:rsid w:val="008F14BE"/>
    <w:rsid w:val="008F1504"/>
    <w:rsid w:val="008F17E5"/>
    <w:rsid w:val="008F1855"/>
    <w:rsid w:val="008F18EF"/>
    <w:rsid w:val="008F1BCD"/>
    <w:rsid w:val="008F1C5B"/>
    <w:rsid w:val="008F1CC6"/>
    <w:rsid w:val="008F1F9E"/>
    <w:rsid w:val="008F209C"/>
    <w:rsid w:val="008F21CB"/>
    <w:rsid w:val="008F23BE"/>
    <w:rsid w:val="008F268B"/>
    <w:rsid w:val="008F2693"/>
    <w:rsid w:val="008F26E3"/>
    <w:rsid w:val="008F27C4"/>
    <w:rsid w:val="008F27EE"/>
    <w:rsid w:val="008F2864"/>
    <w:rsid w:val="008F2965"/>
    <w:rsid w:val="008F2A1C"/>
    <w:rsid w:val="008F2A78"/>
    <w:rsid w:val="008F2A7A"/>
    <w:rsid w:val="008F2BEE"/>
    <w:rsid w:val="008F2C2F"/>
    <w:rsid w:val="008F2D33"/>
    <w:rsid w:val="008F2F9C"/>
    <w:rsid w:val="008F2FA0"/>
    <w:rsid w:val="008F2FB4"/>
    <w:rsid w:val="008F31DD"/>
    <w:rsid w:val="008F3448"/>
    <w:rsid w:val="008F34A6"/>
    <w:rsid w:val="008F3740"/>
    <w:rsid w:val="008F38B8"/>
    <w:rsid w:val="008F3948"/>
    <w:rsid w:val="008F39B0"/>
    <w:rsid w:val="008F3B35"/>
    <w:rsid w:val="008F3B92"/>
    <w:rsid w:val="008F3C0F"/>
    <w:rsid w:val="008F3C23"/>
    <w:rsid w:val="008F3ED4"/>
    <w:rsid w:val="008F4153"/>
    <w:rsid w:val="008F41AE"/>
    <w:rsid w:val="008F41DF"/>
    <w:rsid w:val="008F4583"/>
    <w:rsid w:val="008F472E"/>
    <w:rsid w:val="008F475C"/>
    <w:rsid w:val="008F4847"/>
    <w:rsid w:val="008F4BBB"/>
    <w:rsid w:val="008F4DA2"/>
    <w:rsid w:val="008F4F3A"/>
    <w:rsid w:val="008F508E"/>
    <w:rsid w:val="008F53D9"/>
    <w:rsid w:val="008F54F0"/>
    <w:rsid w:val="008F56B5"/>
    <w:rsid w:val="008F5787"/>
    <w:rsid w:val="008F5B57"/>
    <w:rsid w:val="008F5BB8"/>
    <w:rsid w:val="008F5C08"/>
    <w:rsid w:val="008F5C6E"/>
    <w:rsid w:val="008F5F3E"/>
    <w:rsid w:val="008F5FB9"/>
    <w:rsid w:val="008F60B0"/>
    <w:rsid w:val="008F611D"/>
    <w:rsid w:val="008F613D"/>
    <w:rsid w:val="008F61DF"/>
    <w:rsid w:val="008F621F"/>
    <w:rsid w:val="008F6357"/>
    <w:rsid w:val="008F638F"/>
    <w:rsid w:val="008F661C"/>
    <w:rsid w:val="008F67CA"/>
    <w:rsid w:val="008F6830"/>
    <w:rsid w:val="008F6A43"/>
    <w:rsid w:val="008F6BCD"/>
    <w:rsid w:val="008F6EE3"/>
    <w:rsid w:val="008F6EF0"/>
    <w:rsid w:val="008F6F92"/>
    <w:rsid w:val="008F6FE9"/>
    <w:rsid w:val="008F71E7"/>
    <w:rsid w:val="008F7232"/>
    <w:rsid w:val="008F74C6"/>
    <w:rsid w:val="008F757D"/>
    <w:rsid w:val="008F7629"/>
    <w:rsid w:val="008F7641"/>
    <w:rsid w:val="008F7654"/>
    <w:rsid w:val="008F77AE"/>
    <w:rsid w:val="008F77D1"/>
    <w:rsid w:val="008F7881"/>
    <w:rsid w:val="008F7A01"/>
    <w:rsid w:val="008F7A0E"/>
    <w:rsid w:val="008F7BAF"/>
    <w:rsid w:val="008F7C2E"/>
    <w:rsid w:val="008F7CF8"/>
    <w:rsid w:val="008F7CFB"/>
    <w:rsid w:val="008F7DA1"/>
    <w:rsid w:val="008F7E50"/>
    <w:rsid w:val="009000D3"/>
    <w:rsid w:val="009001D1"/>
    <w:rsid w:val="009001DE"/>
    <w:rsid w:val="009001FC"/>
    <w:rsid w:val="0090059F"/>
    <w:rsid w:val="009005E0"/>
    <w:rsid w:val="009006A1"/>
    <w:rsid w:val="0090080F"/>
    <w:rsid w:val="0090086B"/>
    <w:rsid w:val="00900875"/>
    <w:rsid w:val="0090096F"/>
    <w:rsid w:val="00900A69"/>
    <w:rsid w:val="00900AB5"/>
    <w:rsid w:val="00900FD0"/>
    <w:rsid w:val="00900FE1"/>
    <w:rsid w:val="0090102A"/>
    <w:rsid w:val="00901148"/>
    <w:rsid w:val="00901171"/>
    <w:rsid w:val="0090141D"/>
    <w:rsid w:val="00901424"/>
    <w:rsid w:val="00901835"/>
    <w:rsid w:val="0090193A"/>
    <w:rsid w:val="00901A99"/>
    <w:rsid w:val="00901BD1"/>
    <w:rsid w:val="00901C47"/>
    <w:rsid w:val="00901DD5"/>
    <w:rsid w:val="00901E7B"/>
    <w:rsid w:val="00901EE2"/>
    <w:rsid w:val="00902295"/>
    <w:rsid w:val="009026AA"/>
    <w:rsid w:val="0090272F"/>
    <w:rsid w:val="0090274D"/>
    <w:rsid w:val="00902832"/>
    <w:rsid w:val="00902913"/>
    <w:rsid w:val="00902950"/>
    <w:rsid w:val="0090295C"/>
    <w:rsid w:val="009029CB"/>
    <w:rsid w:val="00902BAA"/>
    <w:rsid w:val="00902BFF"/>
    <w:rsid w:val="00902C04"/>
    <w:rsid w:val="00902DFA"/>
    <w:rsid w:val="00902E66"/>
    <w:rsid w:val="00902E77"/>
    <w:rsid w:val="00902FA2"/>
    <w:rsid w:val="00902FE8"/>
    <w:rsid w:val="00903040"/>
    <w:rsid w:val="009030A6"/>
    <w:rsid w:val="00903160"/>
    <w:rsid w:val="00903466"/>
    <w:rsid w:val="00903472"/>
    <w:rsid w:val="009035E4"/>
    <w:rsid w:val="00903649"/>
    <w:rsid w:val="0090384A"/>
    <w:rsid w:val="009038E5"/>
    <w:rsid w:val="00903B97"/>
    <w:rsid w:val="00903C32"/>
    <w:rsid w:val="00903CA8"/>
    <w:rsid w:val="00903D3A"/>
    <w:rsid w:val="00903EBA"/>
    <w:rsid w:val="00903EE7"/>
    <w:rsid w:val="0090425C"/>
    <w:rsid w:val="009043F6"/>
    <w:rsid w:val="0090471A"/>
    <w:rsid w:val="009047BD"/>
    <w:rsid w:val="00904944"/>
    <w:rsid w:val="009049F0"/>
    <w:rsid w:val="009049FA"/>
    <w:rsid w:val="00904B9C"/>
    <w:rsid w:val="00904CA4"/>
    <w:rsid w:val="00904D62"/>
    <w:rsid w:val="00904DA7"/>
    <w:rsid w:val="00904F7E"/>
    <w:rsid w:val="00905012"/>
    <w:rsid w:val="009050CC"/>
    <w:rsid w:val="0090518E"/>
    <w:rsid w:val="009051F7"/>
    <w:rsid w:val="00905322"/>
    <w:rsid w:val="009053F8"/>
    <w:rsid w:val="009054C1"/>
    <w:rsid w:val="00905548"/>
    <w:rsid w:val="00905733"/>
    <w:rsid w:val="0090588B"/>
    <w:rsid w:val="00905912"/>
    <w:rsid w:val="00905A31"/>
    <w:rsid w:val="00905A55"/>
    <w:rsid w:val="00905AF0"/>
    <w:rsid w:val="00905DA9"/>
    <w:rsid w:val="00905FDE"/>
    <w:rsid w:val="009060B2"/>
    <w:rsid w:val="0090616A"/>
    <w:rsid w:val="00906276"/>
    <w:rsid w:val="00906598"/>
    <w:rsid w:val="00906A06"/>
    <w:rsid w:val="00906A76"/>
    <w:rsid w:val="00906AFC"/>
    <w:rsid w:val="00906C5B"/>
    <w:rsid w:val="00906CF2"/>
    <w:rsid w:val="00906ECC"/>
    <w:rsid w:val="00906FAB"/>
    <w:rsid w:val="00906FDB"/>
    <w:rsid w:val="00907044"/>
    <w:rsid w:val="009070E1"/>
    <w:rsid w:val="00907189"/>
    <w:rsid w:val="009073BB"/>
    <w:rsid w:val="00907449"/>
    <w:rsid w:val="0090758E"/>
    <w:rsid w:val="00907654"/>
    <w:rsid w:val="009077D2"/>
    <w:rsid w:val="00907AAD"/>
    <w:rsid w:val="00907B01"/>
    <w:rsid w:val="00907B24"/>
    <w:rsid w:val="00907E5B"/>
    <w:rsid w:val="00907EA4"/>
    <w:rsid w:val="00907ED6"/>
    <w:rsid w:val="00907FC4"/>
    <w:rsid w:val="00910A37"/>
    <w:rsid w:val="00910B77"/>
    <w:rsid w:val="00910C29"/>
    <w:rsid w:val="00910D68"/>
    <w:rsid w:val="00910E66"/>
    <w:rsid w:val="00910EAD"/>
    <w:rsid w:val="00910ECF"/>
    <w:rsid w:val="00911425"/>
    <w:rsid w:val="009114E5"/>
    <w:rsid w:val="0091161C"/>
    <w:rsid w:val="00911934"/>
    <w:rsid w:val="0091198C"/>
    <w:rsid w:val="00911B46"/>
    <w:rsid w:val="00911B8F"/>
    <w:rsid w:val="00911BF9"/>
    <w:rsid w:val="00911C6E"/>
    <w:rsid w:val="00911CAF"/>
    <w:rsid w:val="00911F63"/>
    <w:rsid w:val="00912093"/>
    <w:rsid w:val="0091211C"/>
    <w:rsid w:val="009122EF"/>
    <w:rsid w:val="0091234E"/>
    <w:rsid w:val="009123D9"/>
    <w:rsid w:val="00912458"/>
    <w:rsid w:val="00912471"/>
    <w:rsid w:val="009125D2"/>
    <w:rsid w:val="0091262E"/>
    <w:rsid w:val="00912664"/>
    <w:rsid w:val="00912698"/>
    <w:rsid w:val="00912846"/>
    <w:rsid w:val="00912861"/>
    <w:rsid w:val="009128BD"/>
    <w:rsid w:val="0091295C"/>
    <w:rsid w:val="00912AF1"/>
    <w:rsid w:val="00912F4D"/>
    <w:rsid w:val="00913189"/>
    <w:rsid w:val="009131F8"/>
    <w:rsid w:val="0091330E"/>
    <w:rsid w:val="009134E7"/>
    <w:rsid w:val="009136FF"/>
    <w:rsid w:val="00913759"/>
    <w:rsid w:val="0091376F"/>
    <w:rsid w:val="00913815"/>
    <w:rsid w:val="009138F2"/>
    <w:rsid w:val="00913946"/>
    <w:rsid w:val="009139C1"/>
    <w:rsid w:val="00913AE6"/>
    <w:rsid w:val="00913B39"/>
    <w:rsid w:val="00913B75"/>
    <w:rsid w:val="00913C17"/>
    <w:rsid w:val="00913C9A"/>
    <w:rsid w:val="00914195"/>
    <w:rsid w:val="00914221"/>
    <w:rsid w:val="00914227"/>
    <w:rsid w:val="009144BA"/>
    <w:rsid w:val="009144BF"/>
    <w:rsid w:val="00914674"/>
    <w:rsid w:val="009146EE"/>
    <w:rsid w:val="00914717"/>
    <w:rsid w:val="0091472A"/>
    <w:rsid w:val="009148F5"/>
    <w:rsid w:val="009149CE"/>
    <w:rsid w:val="00914AFC"/>
    <w:rsid w:val="00914C0B"/>
    <w:rsid w:val="00914FD7"/>
    <w:rsid w:val="00914FD8"/>
    <w:rsid w:val="0091506F"/>
    <w:rsid w:val="00915115"/>
    <w:rsid w:val="0091520C"/>
    <w:rsid w:val="00915230"/>
    <w:rsid w:val="00915566"/>
    <w:rsid w:val="0091561F"/>
    <w:rsid w:val="00915748"/>
    <w:rsid w:val="009158EE"/>
    <w:rsid w:val="00915AE1"/>
    <w:rsid w:val="00915B4A"/>
    <w:rsid w:val="00915C14"/>
    <w:rsid w:val="00915E55"/>
    <w:rsid w:val="00915E94"/>
    <w:rsid w:val="00915E9C"/>
    <w:rsid w:val="0091602A"/>
    <w:rsid w:val="00916057"/>
    <w:rsid w:val="009160A1"/>
    <w:rsid w:val="009160B5"/>
    <w:rsid w:val="009160E9"/>
    <w:rsid w:val="0091610D"/>
    <w:rsid w:val="009161B2"/>
    <w:rsid w:val="0091638B"/>
    <w:rsid w:val="00916437"/>
    <w:rsid w:val="009164D5"/>
    <w:rsid w:val="00916506"/>
    <w:rsid w:val="009166CB"/>
    <w:rsid w:val="009168AE"/>
    <w:rsid w:val="009168B5"/>
    <w:rsid w:val="00916CF4"/>
    <w:rsid w:val="00916CFF"/>
    <w:rsid w:val="00916EA9"/>
    <w:rsid w:val="00917156"/>
    <w:rsid w:val="00917223"/>
    <w:rsid w:val="009173BB"/>
    <w:rsid w:val="009174A6"/>
    <w:rsid w:val="009175D3"/>
    <w:rsid w:val="00917784"/>
    <w:rsid w:val="009177CC"/>
    <w:rsid w:val="00917893"/>
    <w:rsid w:val="00917895"/>
    <w:rsid w:val="00917902"/>
    <w:rsid w:val="0091796A"/>
    <w:rsid w:val="00917A87"/>
    <w:rsid w:val="00917B4F"/>
    <w:rsid w:val="00917CC3"/>
    <w:rsid w:val="00917CC8"/>
    <w:rsid w:val="00917CEF"/>
    <w:rsid w:val="00917DC7"/>
    <w:rsid w:val="00917DD5"/>
    <w:rsid w:val="00917E25"/>
    <w:rsid w:val="00917EC8"/>
    <w:rsid w:val="00920210"/>
    <w:rsid w:val="00920227"/>
    <w:rsid w:val="009204A9"/>
    <w:rsid w:val="00920852"/>
    <w:rsid w:val="00920A3E"/>
    <w:rsid w:val="00920B44"/>
    <w:rsid w:val="00920C86"/>
    <w:rsid w:val="00920F24"/>
    <w:rsid w:val="0092116D"/>
    <w:rsid w:val="009212EF"/>
    <w:rsid w:val="0092144F"/>
    <w:rsid w:val="009214BF"/>
    <w:rsid w:val="0092154C"/>
    <w:rsid w:val="0092159D"/>
    <w:rsid w:val="00921660"/>
    <w:rsid w:val="00921775"/>
    <w:rsid w:val="00921A9F"/>
    <w:rsid w:val="00921B3D"/>
    <w:rsid w:val="00921C6A"/>
    <w:rsid w:val="00921F59"/>
    <w:rsid w:val="00922033"/>
    <w:rsid w:val="009221EE"/>
    <w:rsid w:val="009223F5"/>
    <w:rsid w:val="009224AF"/>
    <w:rsid w:val="00922587"/>
    <w:rsid w:val="00922746"/>
    <w:rsid w:val="009227CC"/>
    <w:rsid w:val="00922997"/>
    <w:rsid w:val="00922A0E"/>
    <w:rsid w:val="00922B34"/>
    <w:rsid w:val="00922C8B"/>
    <w:rsid w:val="00922C93"/>
    <w:rsid w:val="00922FCB"/>
    <w:rsid w:val="0092303A"/>
    <w:rsid w:val="0092304B"/>
    <w:rsid w:val="009230D6"/>
    <w:rsid w:val="009231D7"/>
    <w:rsid w:val="0092321A"/>
    <w:rsid w:val="00923236"/>
    <w:rsid w:val="00923292"/>
    <w:rsid w:val="00923377"/>
    <w:rsid w:val="009233B8"/>
    <w:rsid w:val="0092343E"/>
    <w:rsid w:val="00923534"/>
    <w:rsid w:val="00923641"/>
    <w:rsid w:val="0092366D"/>
    <w:rsid w:val="00923837"/>
    <w:rsid w:val="009238AF"/>
    <w:rsid w:val="00923A1F"/>
    <w:rsid w:val="00923A27"/>
    <w:rsid w:val="00923AB8"/>
    <w:rsid w:val="00923AE3"/>
    <w:rsid w:val="00923BE9"/>
    <w:rsid w:val="00923C54"/>
    <w:rsid w:val="00923CF9"/>
    <w:rsid w:val="00923D85"/>
    <w:rsid w:val="00923ECF"/>
    <w:rsid w:val="00924358"/>
    <w:rsid w:val="009243B0"/>
    <w:rsid w:val="009243D7"/>
    <w:rsid w:val="00924469"/>
    <w:rsid w:val="0092453A"/>
    <w:rsid w:val="009245B8"/>
    <w:rsid w:val="00924859"/>
    <w:rsid w:val="009248EE"/>
    <w:rsid w:val="00924967"/>
    <w:rsid w:val="00924B50"/>
    <w:rsid w:val="00924BAC"/>
    <w:rsid w:val="00924BB5"/>
    <w:rsid w:val="00924BE1"/>
    <w:rsid w:val="00924C81"/>
    <w:rsid w:val="00924DD9"/>
    <w:rsid w:val="00924DDB"/>
    <w:rsid w:val="009250A2"/>
    <w:rsid w:val="009250C6"/>
    <w:rsid w:val="009250E8"/>
    <w:rsid w:val="00925103"/>
    <w:rsid w:val="0092515C"/>
    <w:rsid w:val="009251F3"/>
    <w:rsid w:val="009252E9"/>
    <w:rsid w:val="00925308"/>
    <w:rsid w:val="0092534F"/>
    <w:rsid w:val="00925416"/>
    <w:rsid w:val="009254A1"/>
    <w:rsid w:val="00925510"/>
    <w:rsid w:val="009255B2"/>
    <w:rsid w:val="00925A87"/>
    <w:rsid w:val="00925AFC"/>
    <w:rsid w:val="00925F61"/>
    <w:rsid w:val="00925F79"/>
    <w:rsid w:val="00925FAD"/>
    <w:rsid w:val="00926025"/>
    <w:rsid w:val="0092642E"/>
    <w:rsid w:val="00926779"/>
    <w:rsid w:val="0092689A"/>
    <w:rsid w:val="00926906"/>
    <w:rsid w:val="0092694E"/>
    <w:rsid w:val="00926A27"/>
    <w:rsid w:val="00926AF9"/>
    <w:rsid w:val="00926B38"/>
    <w:rsid w:val="00926B43"/>
    <w:rsid w:val="00926D3E"/>
    <w:rsid w:val="00926D9D"/>
    <w:rsid w:val="00926DD1"/>
    <w:rsid w:val="00926EF2"/>
    <w:rsid w:val="00926F1F"/>
    <w:rsid w:val="0092717A"/>
    <w:rsid w:val="009273A9"/>
    <w:rsid w:val="00927540"/>
    <w:rsid w:val="00927551"/>
    <w:rsid w:val="00927689"/>
    <w:rsid w:val="0092777B"/>
    <w:rsid w:val="009278C3"/>
    <w:rsid w:val="00927ABF"/>
    <w:rsid w:val="00927AC2"/>
    <w:rsid w:val="00927B34"/>
    <w:rsid w:val="00927C61"/>
    <w:rsid w:val="00927EF5"/>
    <w:rsid w:val="00927FB8"/>
    <w:rsid w:val="0093000A"/>
    <w:rsid w:val="0093004A"/>
    <w:rsid w:val="0093019D"/>
    <w:rsid w:val="00930240"/>
    <w:rsid w:val="00930241"/>
    <w:rsid w:val="009302A6"/>
    <w:rsid w:val="009302CA"/>
    <w:rsid w:val="00930337"/>
    <w:rsid w:val="0093048D"/>
    <w:rsid w:val="009306E0"/>
    <w:rsid w:val="0093071B"/>
    <w:rsid w:val="009308E6"/>
    <w:rsid w:val="0093090D"/>
    <w:rsid w:val="00930976"/>
    <w:rsid w:val="0093099A"/>
    <w:rsid w:val="00930BE8"/>
    <w:rsid w:val="00930D42"/>
    <w:rsid w:val="00930D69"/>
    <w:rsid w:val="00930DF4"/>
    <w:rsid w:val="00930E62"/>
    <w:rsid w:val="00930F3F"/>
    <w:rsid w:val="00931137"/>
    <w:rsid w:val="00931208"/>
    <w:rsid w:val="00931223"/>
    <w:rsid w:val="009313F2"/>
    <w:rsid w:val="009314DD"/>
    <w:rsid w:val="009315E3"/>
    <w:rsid w:val="0093174C"/>
    <w:rsid w:val="009317AA"/>
    <w:rsid w:val="00931CC1"/>
    <w:rsid w:val="0093229C"/>
    <w:rsid w:val="00932335"/>
    <w:rsid w:val="00932359"/>
    <w:rsid w:val="00932429"/>
    <w:rsid w:val="009324C3"/>
    <w:rsid w:val="009325B1"/>
    <w:rsid w:val="009326BF"/>
    <w:rsid w:val="00932895"/>
    <w:rsid w:val="0093291A"/>
    <w:rsid w:val="00932BDA"/>
    <w:rsid w:val="00932C44"/>
    <w:rsid w:val="00932D5E"/>
    <w:rsid w:val="00932FC1"/>
    <w:rsid w:val="00932FC8"/>
    <w:rsid w:val="009330ED"/>
    <w:rsid w:val="0093320B"/>
    <w:rsid w:val="00933322"/>
    <w:rsid w:val="009333E7"/>
    <w:rsid w:val="00933511"/>
    <w:rsid w:val="00933524"/>
    <w:rsid w:val="0093364F"/>
    <w:rsid w:val="009336A7"/>
    <w:rsid w:val="0093372D"/>
    <w:rsid w:val="009338E3"/>
    <w:rsid w:val="009338F3"/>
    <w:rsid w:val="00933978"/>
    <w:rsid w:val="00933A4C"/>
    <w:rsid w:val="00933B2C"/>
    <w:rsid w:val="00933C89"/>
    <w:rsid w:val="00933CF9"/>
    <w:rsid w:val="00933E47"/>
    <w:rsid w:val="00933E8D"/>
    <w:rsid w:val="00934531"/>
    <w:rsid w:val="0093460F"/>
    <w:rsid w:val="009348D3"/>
    <w:rsid w:val="009348FC"/>
    <w:rsid w:val="0093498F"/>
    <w:rsid w:val="00934A1C"/>
    <w:rsid w:val="00934AD0"/>
    <w:rsid w:val="009350D3"/>
    <w:rsid w:val="009350DB"/>
    <w:rsid w:val="00935143"/>
    <w:rsid w:val="00935147"/>
    <w:rsid w:val="009353C1"/>
    <w:rsid w:val="009353C3"/>
    <w:rsid w:val="009353E8"/>
    <w:rsid w:val="00935540"/>
    <w:rsid w:val="00935859"/>
    <w:rsid w:val="009359F7"/>
    <w:rsid w:val="00935A49"/>
    <w:rsid w:val="00935B68"/>
    <w:rsid w:val="00935BD3"/>
    <w:rsid w:val="00935DE5"/>
    <w:rsid w:val="00935E4B"/>
    <w:rsid w:val="00935EA8"/>
    <w:rsid w:val="00936314"/>
    <w:rsid w:val="009363DC"/>
    <w:rsid w:val="00936521"/>
    <w:rsid w:val="009366EE"/>
    <w:rsid w:val="00936874"/>
    <w:rsid w:val="00936891"/>
    <w:rsid w:val="00936B57"/>
    <w:rsid w:val="00936C6E"/>
    <w:rsid w:val="00936D52"/>
    <w:rsid w:val="00936E52"/>
    <w:rsid w:val="00936E7B"/>
    <w:rsid w:val="00936E9F"/>
    <w:rsid w:val="00937097"/>
    <w:rsid w:val="00937104"/>
    <w:rsid w:val="00937200"/>
    <w:rsid w:val="00937236"/>
    <w:rsid w:val="0093727E"/>
    <w:rsid w:val="00937456"/>
    <w:rsid w:val="009374A6"/>
    <w:rsid w:val="009374B7"/>
    <w:rsid w:val="00937600"/>
    <w:rsid w:val="00937629"/>
    <w:rsid w:val="009376D9"/>
    <w:rsid w:val="009377D3"/>
    <w:rsid w:val="009378FB"/>
    <w:rsid w:val="00937957"/>
    <w:rsid w:val="009379A6"/>
    <w:rsid w:val="00937D1A"/>
    <w:rsid w:val="00937D8E"/>
    <w:rsid w:val="00937F40"/>
    <w:rsid w:val="0093DC2A"/>
    <w:rsid w:val="009401A5"/>
    <w:rsid w:val="00940257"/>
    <w:rsid w:val="009403D6"/>
    <w:rsid w:val="0094052D"/>
    <w:rsid w:val="00940552"/>
    <w:rsid w:val="009405CE"/>
    <w:rsid w:val="009405F4"/>
    <w:rsid w:val="00940605"/>
    <w:rsid w:val="0094071B"/>
    <w:rsid w:val="00940723"/>
    <w:rsid w:val="00940847"/>
    <w:rsid w:val="009408F9"/>
    <w:rsid w:val="00940940"/>
    <w:rsid w:val="00940966"/>
    <w:rsid w:val="009409BB"/>
    <w:rsid w:val="009409F0"/>
    <w:rsid w:val="00940B01"/>
    <w:rsid w:val="00940DBF"/>
    <w:rsid w:val="00940EA3"/>
    <w:rsid w:val="009410F5"/>
    <w:rsid w:val="00941359"/>
    <w:rsid w:val="00941417"/>
    <w:rsid w:val="00941738"/>
    <w:rsid w:val="00941960"/>
    <w:rsid w:val="00941B2A"/>
    <w:rsid w:val="00941C4C"/>
    <w:rsid w:val="00941D62"/>
    <w:rsid w:val="00941EB2"/>
    <w:rsid w:val="00942146"/>
    <w:rsid w:val="00942230"/>
    <w:rsid w:val="00942531"/>
    <w:rsid w:val="0094261B"/>
    <w:rsid w:val="00942625"/>
    <w:rsid w:val="00942630"/>
    <w:rsid w:val="009426DF"/>
    <w:rsid w:val="009427EB"/>
    <w:rsid w:val="009428BE"/>
    <w:rsid w:val="009429B0"/>
    <w:rsid w:val="00942AB6"/>
    <w:rsid w:val="00942C95"/>
    <w:rsid w:val="00942CED"/>
    <w:rsid w:val="00942CFA"/>
    <w:rsid w:val="00942F17"/>
    <w:rsid w:val="00942FF0"/>
    <w:rsid w:val="00943134"/>
    <w:rsid w:val="009433F1"/>
    <w:rsid w:val="00943402"/>
    <w:rsid w:val="009434DB"/>
    <w:rsid w:val="00943585"/>
    <w:rsid w:val="0094375A"/>
    <w:rsid w:val="00943823"/>
    <w:rsid w:val="00943907"/>
    <w:rsid w:val="00943992"/>
    <w:rsid w:val="00943B71"/>
    <w:rsid w:val="00943D6A"/>
    <w:rsid w:val="009440B2"/>
    <w:rsid w:val="0094417D"/>
    <w:rsid w:val="0094428F"/>
    <w:rsid w:val="009442CD"/>
    <w:rsid w:val="0094445C"/>
    <w:rsid w:val="00944557"/>
    <w:rsid w:val="009445E4"/>
    <w:rsid w:val="009445FC"/>
    <w:rsid w:val="0094472A"/>
    <w:rsid w:val="00944854"/>
    <w:rsid w:val="0094491D"/>
    <w:rsid w:val="00944989"/>
    <w:rsid w:val="00944C69"/>
    <w:rsid w:val="00944CD4"/>
    <w:rsid w:val="00944F01"/>
    <w:rsid w:val="009451E9"/>
    <w:rsid w:val="00945346"/>
    <w:rsid w:val="009453FE"/>
    <w:rsid w:val="00945489"/>
    <w:rsid w:val="009458DE"/>
    <w:rsid w:val="009459AC"/>
    <w:rsid w:val="00945A95"/>
    <w:rsid w:val="00945DD6"/>
    <w:rsid w:val="00946039"/>
    <w:rsid w:val="00946119"/>
    <w:rsid w:val="00946139"/>
    <w:rsid w:val="0094618B"/>
    <w:rsid w:val="0094631D"/>
    <w:rsid w:val="009463D1"/>
    <w:rsid w:val="00946593"/>
    <w:rsid w:val="009466EE"/>
    <w:rsid w:val="00946750"/>
    <w:rsid w:val="00946A19"/>
    <w:rsid w:val="00946A8F"/>
    <w:rsid w:val="00946AB1"/>
    <w:rsid w:val="00946C5A"/>
    <w:rsid w:val="00946E36"/>
    <w:rsid w:val="00946E5E"/>
    <w:rsid w:val="00946FB2"/>
    <w:rsid w:val="0094709A"/>
    <w:rsid w:val="009470B6"/>
    <w:rsid w:val="00947123"/>
    <w:rsid w:val="0094737C"/>
    <w:rsid w:val="009477B1"/>
    <w:rsid w:val="009479E4"/>
    <w:rsid w:val="00947BF3"/>
    <w:rsid w:val="00947C67"/>
    <w:rsid w:val="009500B3"/>
    <w:rsid w:val="009501B4"/>
    <w:rsid w:val="0095082E"/>
    <w:rsid w:val="00950876"/>
    <w:rsid w:val="00950AC0"/>
    <w:rsid w:val="00950C73"/>
    <w:rsid w:val="00950D13"/>
    <w:rsid w:val="00950D62"/>
    <w:rsid w:val="00950D73"/>
    <w:rsid w:val="00950DC6"/>
    <w:rsid w:val="00950F69"/>
    <w:rsid w:val="009510EF"/>
    <w:rsid w:val="0095119F"/>
    <w:rsid w:val="009511FA"/>
    <w:rsid w:val="00951378"/>
    <w:rsid w:val="009513E9"/>
    <w:rsid w:val="00951471"/>
    <w:rsid w:val="00951561"/>
    <w:rsid w:val="00951593"/>
    <w:rsid w:val="009518FF"/>
    <w:rsid w:val="0095194C"/>
    <w:rsid w:val="00951AEA"/>
    <w:rsid w:val="00951B71"/>
    <w:rsid w:val="00951D31"/>
    <w:rsid w:val="00951D7E"/>
    <w:rsid w:val="00951E9F"/>
    <w:rsid w:val="00951F53"/>
    <w:rsid w:val="009521E0"/>
    <w:rsid w:val="00952284"/>
    <w:rsid w:val="009522C8"/>
    <w:rsid w:val="0095248C"/>
    <w:rsid w:val="00952677"/>
    <w:rsid w:val="009526F3"/>
    <w:rsid w:val="009527BA"/>
    <w:rsid w:val="0095295D"/>
    <w:rsid w:val="0095296B"/>
    <w:rsid w:val="00952ABE"/>
    <w:rsid w:val="00952F65"/>
    <w:rsid w:val="00953108"/>
    <w:rsid w:val="00953333"/>
    <w:rsid w:val="00953547"/>
    <w:rsid w:val="0095371B"/>
    <w:rsid w:val="0095378C"/>
    <w:rsid w:val="009538C4"/>
    <w:rsid w:val="009538FA"/>
    <w:rsid w:val="00953907"/>
    <w:rsid w:val="00953CB7"/>
    <w:rsid w:val="00953CC1"/>
    <w:rsid w:val="00953D7E"/>
    <w:rsid w:val="00953DB9"/>
    <w:rsid w:val="00953F75"/>
    <w:rsid w:val="00953F9C"/>
    <w:rsid w:val="009540B3"/>
    <w:rsid w:val="00954326"/>
    <w:rsid w:val="009543F8"/>
    <w:rsid w:val="009544F5"/>
    <w:rsid w:val="00954515"/>
    <w:rsid w:val="009547F0"/>
    <w:rsid w:val="00954A2F"/>
    <w:rsid w:val="00954BCB"/>
    <w:rsid w:val="00954E81"/>
    <w:rsid w:val="00954EF1"/>
    <w:rsid w:val="009550AE"/>
    <w:rsid w:val="00955544"/>
    <w:rsid w:val="00955571"/>
    <w:rsid w:val="0095564A"/>
    <w:rsid w:val="00955740"/>
    <w:rsid w:val="00955791"/>
    <w:rsid w:val="00955873"/>
    <w:rsid w:val="00955C5C"/>
    <w:rsid w:val="00955C60"/>
    <w:rsid w:val="00955DB9"/>
    <w:rsid w:val="00955E6E"/>
    <w:rsid w:val="00955FA8"/>
    <w:rsid w:val="00956105"/>
    <w:rsid w:val="0095613C"/>
    <w:rsid w:val="00956600"/>
    <w:rsid w:val="00956669"/>
    <w:rsid w:val="00956796"/>
    <w:rsid w:val="009567BA"/>
    <w:rsid w:val="009567EC"/>
    <w:rsid w:val="00956986"/>
    <w:rsid w:val="00956992"/>
    <w:rsid w:val="009569F5"/>
    <w:rsid w:val="00956AA4"/>
    <w:rsid w:val="00956B1C"/>
    <w:rsid w:val="00956CE2"/>
    <w:rsid w:val="00956D1F"/>
    <w:rsid w:val="0095711B"/>
    <w:rsid w:val="009571C7"/>
    <w:rsid w:val="00957220"/>
    <w:rsid w:val="009574B2"/>
    <w:rsid w:val="009575A8"/>
    <w:rsid w:val="00957693"/>
    <w:rsid w:val="00957753"/>
    <w:rsid w:val="009579A9"/>
    <w:rsid w:val="00957D02"/>
    <w:rsid w:val="00957D1A"/>
    <w:rsid w:val="00957FE9"/>
    <w:rsid w:val="00960308"/>
    <w:rsid w:val="009605A3"/>
    <w:rsid w:val="0096060D"/>
    <w:rsid w:val="00960719"/>
    <w:rsid w:val="009607E0"/>
    <w:rsid w:val="0096084C"/>
    <w:rsid w:val="0096094F"/>
    <w:rsid w:val="00960C97"/>
    <w:rsid w:val="00960D23"/>
    <w:rsid w:val="00960E85"/>
    <w:rsid w:val="00960F6E"/>
    <w:rsid w:val="00960F76"/>
    <w:rsid w:val="00961049"/>
    <w:rsid w:val="00961055"/>
    <w:rsid w:val="00961263"/>
    <w:rsid w:val="009614A0"/>
    <w:rsid w:val="009614A4"/>
    <w:rsid w:val="00961574"/>
    <w:rsid w:val="00961589"/>
    <w:rsid w:val="00961768"/>
    <w:rsid w:val="0096180B"/>
    <w:rsid w:val="00961899"/>
    <w:rsid w:val="009619A2"/>
    <w:rsid w:val="009619B2"/>
    <w:rsid w:val="00961AF2"/>
    <w:rsid w:val="00961BED"/>
    <w:rsid w:val="00961C9B"/>
    <w:rsid w:val="00961FC7"/>
    <w:rsid w:val="0096207E"/>
    <w:rsid w:val="009620A9"/>
    <w:rsid w:val="00962120"/>
    <w:rsid w:val="00962211"/>
    <w:rsid w:val="00962294"/>
    <w:rsid w:val="00962731"/>
    <w:rsid w:val="0096277C"/>
    <w:rsid w:val="00962927"/>
    <w:rsid w:val="00962B7D"/>
    <w:rsid w:val="00962DE2"/>
    <w:rsid w:val="00962EB5"/>
    <w:rsid w:val="00962EF3"/>
    <w:rsid w:val="00963040"/>
    <w:rsid w:val="0096345C"/>
    <w:rsid w:val="00963585"/>
    <w:rsid w:val="009635C5"/>
    <w:rsid w:val="009636B3"/>
    <w:rsid w:val="0096375D"/>
    <w:rsid w:val="00963782"/>
    <w:rsid w:val="0096378A"/>
    <w:rsid w:val="0096390F"/>
    <w:rsid w:val="00963988"/>
    <w:rsid w:val="00963AF6"/>
    <w:rsid w:val="00963B57"/>
    <w:rsid w:val="00963BCE"/>
    <w:rsid w:val="00963BE5"/>
    <w:rsid w:val="00963DE7"/>
    <w:rsid w:val="00963F23"/>
    <w:rsid w:val="00964292"/>
    <w:rsid w:val="00964340"/>
    <w:rsid w:val="009643A6"/>
    <w:rsid w:val="00964505"/>
    <w:rsid w:val="009645CC"/>
    <w:rsid w:val="0096469C"/>
    <w:rsid w:val="009646A4"/>
    <w:rsid w:val="00964796"/>
    <w:rsid w:val="00964867"/>
    <w:rsid w:val="0096486A"/>
    <w:rsid w:val="00964B2B"/>
    <w:rsid w:val="00964C3D"/>
    <w:rsid w:val="00964E58"/>
    <w:rsid w:val="00964E7A"/>
    <w:rsid w:val="00964FB4"/>
    <w:rsid w:val="00965130"/>
    <w:rsid w:val="0096539F"/>
    <w:rsid w:val="00965445"/>
    <w:rsid w:val="00965518"/>
    <w:rsid w:val="009655AE"/>
    <w:rsid w:val="00965984"/>
    <w:rsid w:val="00965A46"/>
    <w:rsid w:val="00965B54"/>
    <w:rsid w:val="00965D09"/>
    <w:rsid w:val="00965E45"/>
    <w:rsid w:val="00965F3C"/>
    <w:rsid w:val="00965FEB"/>
    <w:rsid w:val="009661F0"/>
    <w:rsid w:val="009664D8"/>
    <w:rsid w:val="009664ED"/>
    <w:rsid w:val="009667F3"/>
    <w:rsid w:val="0096690A"/>
    <w:rsid w:val="00966A78"/>
    <w:rsid w:val="00966AF4"/>
    <w:rsid w:val="00966B1F"/>
    <w:rsid w:val="00966BD7"/>
    <w:rsid w:val="00966CC0"/>
    <w:rsid w:val="00966CE1"/>
    <w:rsid w:val="00966EEE"/>
    <w:rsid w:val="00966F59"/>
    <w:rsid w:val="0096733E"/>
    <w:rsid w:val="009673F5"/>
    <w:rsid w:val="00967419"/>
    <w:rsid w:val="009675F7"/>
    <w:rsid w:val="009676F1"/>
    <w:rsid w:val="0096776D"/>
    <w:rsid w:val="00967956"/>
    <w:rsid w:val="00967A8C"/>
    <w:rsid w:val="00967C25"/>
    <w:rsid w:val="00967ED9"/>
    <w:rsid w:val="0097010E"/>
    <w:rsid w:val="00970117"/>
    <w:rsid w:val="00970206"/>
    <w:rsid w:val="00970243"/>
    <w:rsid w:val="0097028D"/>
    <w:rsid w:val="009706CB"/>
    <w:rsid w:val="00970804"/>
    <w:rsid w:val="00970A3B"/>
    <w:rsid w:val="00970C9A"/>
    <w:rsid w:val="00970D14"/>
    <w:rsid w:val="00970D86"/>
    <w:rsid w:val="00970E89"/>
    <w:rsid w:val="009710D1"/>
    <w:rsid w:val="00971184"/>
    <w:rsid w:val="00971237"/>
    <w:rsid w:val="00971316"/>
    <w:rsid w:val="00971435"/>
    <w:rsid w:val="009714B3"/>
    <w:rsid w:val="0097156B"/>
    <w:rsid w:val="00971889"/>
    <w:rsid w:val="00971987"/>
    <w:rsid w:val="00971A07"/>
    <w:rsid w:val="00971AC1"/>
    <w:rsid w:val="00972017"/>
    <w:rsid w:val="0097213B"/>
    <w:rsid w:val="00972144"/>
    <w:rsid w:val="009721BF"/>
    <w:rsid w:val="009721CD"/>
    <w:rsid w:val="00972207"/>
    <w:rsid w:val="00972541"/>
    <w:rsid w:val="0097265D"/>
    <w:rsid w:val="00972675"/>
    <w:rsid w:val="00972847"/>
    <w:rsid w:val="00972A68"/>
    <w:rsid w:val="00972B35"/>
    <w:rsid w:val="00972B7C"/>
    <w:rsid w:val="00972BD7"/>
    <w:rsid w:val="00972D1B"/>
    <w:rsid w:val="00972DB0"/>
    <w:rsid w:val="00972F3E"/>
    <w:rsid w:val="0097309A"/>
    <w:rsid w:val="0097309B"/>
    <w:rsid w:val="00973265"/>
    <w:rsid w:val="009732C5"/>
    <w:rsid w:val="009732EE"/>
    <w:rsid w:val="00973394"/>
    <w:rsid w:val="00973508"/>
    <w:rsid w:val="00973535"/>
    <w:rsid w:val="0097359B"/>
    <w:rsid w:val="009737FA"/>
    <w:rsid w:val="009738C6"/>
    <w:rsid w:val="00973968"/>
    <w:rsid w:val="00973AE1"/>
    <w:rsid w:val="00973B7A"/>
    <w:rsid w:val="00973D9B"/>
    <w:rsid w:val="00973E5D"/>
    <w:rsid w:val="00973EDB"/>
    <w:rsid w:val="00974179"/>
    <w:rsid w:val="00974372"/>
    <w:rsid w:val="0097447D"/>
    <w:rsid w:val="009744EF"/>
    <w:rsid w:val="00974770"/>
    <w:rsid w:val="0097481C"/>
    <w:rsid w:val="00974854"/>
    <w:rsid w:val="00974A66"/>
    <w:rsid w:val="00974AD8"/>
    <w:rsid w:val="00974B41"/>
    <w:rsid w:val="00974B97"/>
    <w:rsid w:val="00974BFD"/>
    <w:rsid w:val="00974C30"/>
    <w:rsid w:val="00974C50"/>
    <w:rsid w:val="00974D3D"/>
    <w:rsid w:val="00974EA7"/>
    <w:rsid w:val="009750AC"/>
    <w:rsid w:val="00975292"/>
    <w:rsid w:val="00975352"/>
    <w:rsid w:val="009755E3"/>
    <w:rsid w:val="00975624"/>
    <w:rsid w:val="009756B0"/>
    <w:rsid w:val="009756F7"/>
    <w:rsid w:val="00975751"/>
    <w:rsid w:val="00975781"/>
    <w:rsid w:val="0097580C"/>
    <w:rsid w:val="0097589E"/>
    <w:rsid w:val="00975966"/>
    <w:rsid w:val="00975A22"/>
    <w:rsid w:val="00975AD1"/>
    <w:rsid w:val="00975CE6"/>
    <w:rsid w:val="00975E8F"/>
    <w:rsid w:val="00975ED0"/>
    <w:rsid w:val="00975F35"/>
    <w:rsid w:val="00976219"/>
    <w:rsid w:val="00976242"/>
    <w:rsid w:val="009762F9"/>
    <w:rsid w:val="0097650E"/>
    <w:rsid w:val="0097652B"/>
    <w:rsid w:val="00976601"/>
    <w:rsid w:val="00976643"/>
    <w:rsid w:val="009766B5"/>
    <w:rsid w:val="00976887"/>
    <w:rsid w:val="00976962"/>
    <w:rsid w:val="00976A38"/>
    <w:rsid w:val="00976A97"/>
    <w:rsid w:val="00976AB3"/>
    <w:rsid w:val="00976BB0"/>
    <w:rsid w:val="00976CD6"/>
    <w:rsid w:val="00976DE7"/>
    <w:rsid w:val="00976F51"/>
    <w:rsid w:val="00977095"/>
    <w:rsid w:val="009771C3"/>
    <w:rsid w:val="0097754B"/>
    <w:rsid w:val="0097755E"/>
    <w:rsid w:val="00977605"/>
    <w:rsid w:val="009777D5"/>
    <w:rsid w:val="00977A02"/>
    <w:rsid w:val="00977C08"/>
    <w:rsid w:val="00977C9D"/>
    <w:rsid w:val="00977FC2"/>
    <w:rsid w:val="0098008C"/>
    <w:rsid w:val="00980161"/>
    <w:rsid w:val="009801A0"/>
    <w:rsid w:val="00980331"/>
    <w:rsid w:val="009804E6"/>
    <w:rsid w:val="00980539"/>
    <w:rsid w:val="00980696"/>
    <w:rsid w:val="00980723"/>
    <w:rsid w:val="00980731"/>
    <w:rsid w:val="0098087C"/>
    <w:rsid w:val="0098099D"/>
    <w:rsid w:val="009809B9"/>
    <w:rsid w:val="00980CE6"/>
    <w:rsid w:val="00980DB1"/>
    <w:rsid w:val="00980E35"/>
    <w:rsid w:val="00980F82"/>
    <w:rsid w:val="009810BD"/>
    <w:rsid w:val="009811C1"/>
    <w:rsid w:val="0098128C"/>
    <w:rsid w:val="009813AB"/>
    <w:rsid w:val="00981478"/>
    <w:rsid w:val="009816EC"/>
    <w:rsid w:val="0098193D"/>
    <w:rsid w:val="00981AD2"/>
    <w:rsid w:val="00981C44"/>
    <w:rsid w:val="00981E44"/>
    <w:rsid w:val="00981F19"/>
    <w:rsid w:val="00981F43"/>
    <w:rsid w:val="00981F95"/>
    <w:rsid w:val="00981FEC"/>
    <w:rsid w:val="00982176"/>
    <w:rsid w:val="0098236D"/>
    <w:rsid w:val="009824E6"/>
    <w:rsid w:val="0098263A"/>
    <w:rsid w:val="00982959"/>
    <w:rsid w:val="00982C2C"/>
    <w:rsid w:val="00982DD1"/>
    <w:rsid w:val="00982DF5"/>
    <w:rsid w:val="00982F7A"/>
    <w:rsid w:val="0098322A"/>
    <w:rsid w:val="00983298"/>
    <w:rsid w:val="009832FE"/>
    <w:rsid w:val="00983303"/>
    <w:rsid w:val="009834E3"/>
    <w:rsid w:val="009836C7"/>
    <w:rsid w:val="009837E3"/>
    <w:rsid w:val="00983869"/>
    <w:rsid w:val="00983920"/>
    <w:rsid w:val="0098398C"/>
    <w:rsid w:val="009839B0"/>
    <w:rsid w:val="00983D47"/>
    <w:rsid w:val="00983EDB"/>
    <w:rsid w:val="00983FEF"/>
    <w:rsid w:val="009841DD"/>
    <w:rsid w:val="009843AB"/>
    <w:rsid w:val="0098440E"/>
    <w:rsid w:val="0098444F"/>
    <w:rsid w:val="009846FF"/>
    <w:rsid w:val="00984707"/>
    <w:rsid w:val="00984720"/>
    <w:rsid w:val="00984750"/>
    <w:rsid w:val="00984753"/>
    <w:rsid w:val="009847F1"/>
    <w:rsid w:val="00984896"/>
    <w:rsid w:val="00984AE7"/>
    <w:rsid w:val="00984BB7"/>
    <w:rsid w:val="00984D0F"/>
    <w:rsid w:val="00984DAD"/>
    <w:rsid w:val="00984E32"/>
    <w:rsid w:val="00984FC2"/>
    <w:rsid w:val="00985501"/>
    <w:rsid w:val="00985542"/>
    <w:rsid w:val="0098570A"/>
    <w:rsid w:val="00985876"/>
    <w:rsid w:val="00985A70"/>
    <w:rsid w:val="00985B04"/>
    <w:rsid w:val="00985BBB"/>
    <w:rsid w:val="00985BF4"/>
    <w:rsid w:val="00985C15"/>
    <w:rsid w:val="00985C1F"/>
    <w:rsid w:val="00985C29"/>
    <w:rsid w:val="00985CAC"/>
    <w:rsid w:val="00985DAE"/>
    <w:rsid w:val="00985E49"/>
    <w:rsid w:val="00985F9B"/>
    <w:rsid w:val="00985FC5"/>
    <w:rsid w:val="0098601C"/>
    <w:rsid w:val="0098615C"/>
    <w:rsid w:val="00986404"/>
    <w:rsid w:val="00986959"/>
    <w:rsid w:val="00986968"/>
    <w:rsid w:val="00986D44"/>
    <w:rsid w:val="00986D97"/>
    <w:rsid w:val="00986EC5"/>
    <w:rsid w:val="009870A9"/>
    <w:rsid w:val="009870F3"/>
    <w:rsid w:val="009872AA"/>
    <w:rsid w:val="0098730C"/>
    <w:rsid w:val="00987413"/>
    <w:rsid w:val="009874F3"/>
    <w:rsid w:val="00987718"/>
    <w:rsid w:val="00987753"/>
    <w:rsid w:val="00987AA6"/>
    <w:rsid w:val="00987AA8"/>
    <w:rsid w:val="00987CB8"/>
    <w:rsid w:val="00987CCF"/>
    <w:rsid w:val="00987CE6"/>
    <w:rsid w:val="00987D62"/>
    <w:rsid w:val="00987FAD"/>
    <w:rsid w:val="009901BD"/>
    <w:rsid w:val="009902C3"/>
    <w:rsid w:val="009902DF"/>
    <w:rsid w:val="0099034D"/>
    <w:rsid w:val="00990691"/>
    <w:rsid w:val="009906FE"/>
    <w:rsid w:val="0099072A"/>
    <w:rsid w:val="0099076F"/>
    <w:rsid w:val="009907AE"/>
    <w:rsid w:val="0099098D"/>
    <w:rsid w:val="00990AF6"/>
    <w:rsid w:val="00990B65"/>
    <w:rsid w:val="00990D32"/>
    <w:rsid w:val="00990D79"/>
    <w:rsid w:val="00990EEB"/>
    <w:rsid w:val="00990F4F"/>
    <w:rsid w:val="009912DF"/>
    <w:rsid w:val="009915E7"/>
    <w:rsid w:val="009916C3"/>
    <w:rsid w:val="0099190B"/>
    <w:rsid w:val="00991BE8"/>
    <w:rsid w:val="00991C08"/>
    <w:rsid w:val="00991D9C"/>
    <w:rsid w:val="00991ED5"/>
    <w:rsid w:val="00991FBA"/>
    <w:rsid w:val="00992084"/>
    <w:rsid w:val="00992091"/>
    <w:rsid w:val="00992245"/>
    <w:rsid w:val="00992327"/>
    <w:rsid w:val="009923D7"/>
    <w:rsid w:val="00992908"/>
    <w:rsid w:val="00992920"/>
    <w:rsid w:val="00992A7E"/>
    <w:rsid w:val="00992AD0"/>
    <w:rsid w:val="00992E4A"/>
    <w:rsid w:val="00992E9E"/>
    <w:rsid w:val="00992ED4"/>
    <w:rsid w:val="00992EEE"/>
    <w:rsid w:val="00992FE6"/>
    <w:rsid w:val="0099317D"/>
    <w:rsid w:val="00993210"/>
    <w:rsid w:val="009933FC"/>
    <w:rsid w:val="0099391E"/>
    <w:rsid w:val="0099399A"/>
    <w:rsid w:val="00993DCF"/>
    <w:rsid w:val="00993EF4"/>
    <w:rsid w:val="00994066"/>
    <w:rsid w:val="00994159"/>
    <w:rsid w:val="0099419F"/>
    <w:rsid w:val="00994314"/>
    <w:rsid w:val="00994542"/>
    <w:rsid w:val="00994698"/>
    <w:rsid w:val="00994A4D"/>
    <w:rsid w:val="00994BA6"/>
    <w:rsid w:val="00994C32"/>
    <w:rsid w:val="00994DB8"/>
    <w:rsid w:val="00994DEA"/>
    <w:rsid w:val="0099535D"/>
    <w:rsid w:val="009953AE"/>
    <w:rsid w:val="0099556C"/>
    <w:rsid w:val="0099576B"/>
    <w:rsid w:val="00995874"/>
    <w:rsid w:val="00995A70"/>
    <w:rsid w:val="00995B53"/>
    <w:rsid w:val="00995C56"/>
    <w:rsid w:val="00995CB5"/>
    <w:rsid w:val="00995D93"/>
    <w:rsid w:val="00995DD7"/>
    <w:rsid w:val="00995E00"/>
    <w:rsid w:val="00995F51"/>
    <w:rsid w:val="00996012"/>
    <w:rsid w:val="009961B0"/>
    <w:rsid w:val="009962C0"/>
    <w:rsid w:val="009962C2"/>
    <w:rsid w:val="009963A0"/>
    <w:rsid w:val="00996577"/>
    <w:rsid w:val="0099666A"/>
    <w:rsid w:val="00996727"/>
    <w:rsid w:val="009967C5"/>
    <w:rsid w:val="009969D9"/>
    <w:rsid w:val="00996CC4"/>
    <w:rsid w:val="00996E6E"/>
    <w:rsid w:val="00996FA7"/>
    <w:rsid w:val="0099710E"/>
    <w:rsid w:val="0099743A"/>
    <w:rsid w:val="00997610"/>
    <w:rsid w:val="0099796E"/>
    <w:rsid w:val="00997AD1"/>
    <w:rsid w:val="00997F38"/>
    <w:rsid w:val="009A001B"/>
    <w:rsid w:val="009A0032"/>
    <w:rsid w:val="009A01E3"/>
    <w:rsid w:val="009A01F9"/>
    <w:rsid w:val="009A020D"/>
    <w:rsid w:val="009A03A3"/>
    <w:rsid w:val="009A052D"/>
    <w:rsid w:val="009A06CB"/>
    <w:rsid w:val="009A09A4"/>
    <w:rsid w:val="009A0AC7"/>
    <w:rsid w:val="009A0C39"/>
    <w:rsid w:val="009A0CDA"/>
    <w:rsid w:val="009A0F41"/>
    <w:rsid w:val="009A0F6A"/>
    <w:rsid w:val="009A101F"/>
    <w:rsid w:val="009A1095"/>
    <w:rsid w:val="009A10A5"/>
    <w:rsid w:val="009A10EC"/>
    <w:rsid w:val="009A1237"/>
    <w:rsid w:val="009A12D7"/>
    <w:rsid w:val="009A1366"/>
    <w:rsid w:val="009A140A"/>
    <w:rsid w:val="009A1457"/>
    <w:rsid w:val="009A16CC"/>
    <w:rsid w:val="009A1B10"/>
    <w:rsid w:val="009A1B4C"/>
    <w:rsid w:val="009A1CA6"/>
    <w:rsid w:val="009A2291"/>
    <w:rsid w:val="009A23A5"/>
    <w:rsid w:val="009A24BB"/>
    <w:rsid w:val="009A2511"/>
    <w:rsid w:val="009A25E0"/>
    <w:rsid w:val="009A2664"/>
    <w:rsid w:val="009A28E0"/>
    <w:rsid w:val="009A28E7"/>
    <w:rsid w:val="009A28F1"/>
    <w:rsid w:val="009A2A2F"/>
    <w:rsid w:val="009A2B69"/>
    <w:rsid w:val="009A2D81"/>
    <w:rsid w:val="009A2EB2"/>
    <w:rsid w:val="009A2FF2"/>
    <w:rsid w:val="009A30D4"/>
    <w:rsid w:val="009A3462"/>
    <w:rsid w:val="009A36A1"/>
    <w:rsid w:val="009A36CB"/>
    <w:rsid w:val="009A384E"/>
    <w:rsid w:val="009A3BB9"/>
    <w:rsid w:val="009A3E68"/>
    <w:rsid w:val="009A40AE"/>
    <w:rsid w:val="009A454E"/>
    <w:rsid w:val="009A4621"/>
    <w:rsid w:val="009A463D"/>
    <w:rsid w:val="009A46AF"/>
    <w:rsid w:val="009A4805"/>
    <w:rsid w:val="009A492A"/>
    <w:rsid w:val="009A4930"/>
    <w:rsid w:val="009A49A4"/>
    <w:rsid w:val="009A4A76"/>
    <w:rsid w:val="009A4CD8"/>
    <w:rsid w:val="009A4D51"/>
    <w:rsid w:val="009A4E6F"/>
    <w:rsid w:val="009A4E93"/>
    <w:rsid w:val="009A510C"/>
    <w:rsid w:val="009A5187"/>
    <w:rsid w:val="009A520B"/>
    <w:rsid w:val="009A5311"/>
    <w:rsid w:val="009A56B6"/>
    <w:rsid w:val="009A57A4"/>
    <w:rsid w:val="009A5876"/>
    <w:rsid w:val="009A594D"/>
    <w:rsid w:val="009A5A08"/>
    <w:rsid w:val="009A5A98"/>
    <w:rsid w:val="009A5BEC"/>
    <w:rsid w:val="009A5C3B"/>
    <w:rsid w:val="009A5C58"/>
    <w:rsid w:val="009A5C9E"/>
    <w:rsid w:val="009A5D1E"/>
    <w:rsid w:val="009A5D43"/>
    <w:rsid w:val="009A5F32"/>
    <w:rsid w:val="009A5FFC"/>
    <w:rsid w:val="009A5FFD"/>
    <w:rsid w:val="009A6068"/>
    <w:rsid w:val="009A6208"/>
    <w:rsid w:val="009A621E"/>
    <w:rsid w:val="009A624C"/>
    <w:rsid w:val="009A6424"/>
    <w:rsid w:val="009A6496"/>
    <w:rsid w:val="009A6634"/>
    <w:rsid w:val="009A66F5"/>
    <w:rsid w:val="009A6880"/>
    <w:rsid w:val="009A6A07"/>
    <w:rsid w:val="009A6AC9"/>
    <w:rsid w:val="009A6B86"/>
    <w:rsid w:val="009A6B8D"/>
    <w:rsid w:val="009A706A"/>
    <w:rsid w:val="009A7074"/>
    <w:rsid w:val="009A72D4"/>
    <w:rsid w:val="009A73FA"/>
    <w:rsid w:val="009A76DC"/>
    <w:rsid w:val="009A797D"/>
    <w:rsid w:val="009A7A57"/>
    <w:rsid w:val="009A7A65"/>
    <w:rsid w:val="009A7BBA"/>
    <w:rsid w:val="009A7D53"/>
    <w:rsid w:val="009A7D55"/>
    <w:rsid w:val="009A7DB9"/>
    <w:rsid w:val="009A7DEE"/>
    <w:rsid w:val="009A7EC5"/>
    <w:rsid w:val="009A7FAE"/>
    <w:rsid w:val="009B048E"/>
    <w:rsid w:val="009B06BC"/>
    <w:rsid w:val="009B076E"/>
    <w:rsid w:val="009B0812"/>
    <w:rsid w:val="009B08D1"/>
    <w:rsid w:val="009B098F"/>
    <w:rsid w:val="009B0A02"/>
    <w:rsid w:val="009B0A6E"/>
    <w:rsid w:val="009B0C81"/>
    <w:rsid w:val="009B0DA0"/>
    <w:rsid w:val="009B0FFB"/>
    <w:rsid w:val="009B10B5"/>
    <w:rsid w:val="009B11A5"/>
    <w:rsid w:val="009B1380"/>
    <w:rsid w:val="009B148A"/>
    <w:rsid w:val="009B159A"/>
    <w:rsid w:val="009B15A1"/>
    <w:rsid w:val="009B1991"/>
    <w:rsid w:val="009B1CC5"/>
    <w:rsid w:val="009B1CE1"/>
    <w:rsid w:val="009B1DF0"/>
    <w:rsid w:val="009B210D"/>
    <w:rsid w:val="009B278F"/>
    <w:rsid w:val="009B27DA"/>
    <w:rsid w:val="009B2916"/>
    <w:rsid w:val="009B2958"/>
    <w:rsid w:val="009B29A4"/>
    <w:rsid w:val="009B2A44"/>
    <w:rsid w:val="009B2AAD"/>
    <w:rsid w:val="009B2C38"/>
    <w:rsid w:val="009B2C95"/>
    <w:rsid w:val="009B2CCE"/>
    <w:rsid w:val="009B2D66"/>
    <w:rsid w:val="009B2FA5"/>
    <w:rsid w:val="009B2FC1"/>
    <w:rsid w:val="009B2FFC"/>
    <w:rsid w:val="009B3148"/>
    <w:rsid w:val="009B3171"/>
    <w:rsid w:val="009B3607"/>
    <w:rsid w:val="009B3625"/>
    <w:rsid w:val="009B3780"/>
    <w:rsid w:val="009B37AF"/>
    <w:rsid w:val="009B3CEB"/>
    <w:rsid w:val="009B3E9F"/>
    <w:rsid w:val="009B4139"/>
    <w:rsid w:val="009B41C8"/>
    <w:rsid w:val="009B4319"/>
    <w:rsid w:val="009B4436"/>
    <w:rsid w:val="009B47DC"/>
    <w:rsid w:val="009B483D"/>
    <w:rsid w:val="009B492A"/>
    <w:rsid w:val="009B49E8"/>
    <w:rsid w:val="009B4A67"/>
    <w:rsid w:val="009B4B21"/>
    <w:rsid w:val="009B4BEF"/>
    <w:rsid w:val="009B4CE6"/>
    <w:rsid w:val="009B4D90"/>
    <w:rsid w:val="009B4DD6"/>
    <w:rsid w:val="009B50F2"/>
    <w:rsid w:val="009B55FB"/>
    <w:rsid w:val="009B5611"/>
    <w:rsid w:val="009B582D"/>
    <w:rsid w:val="009B58AD"/>
    <w:rsid w:val="009B5A87"/>
    <w:rsid w:val="009B5AFA"/>
    <w:rsid w:val="009B5CD3"/>
    <w:rsid w:val="009B5CF7"/>
    <w:rsid w:val="009B5DD7"/>
    <w:rsid w:val="009B5DDC"/>
    <w:rsid w:val="009B5E11"/>
    <w:rsid w:val="009B5E7B"/>
    <w:rsid w:val="009B6161"/>
    <w:rsid w:val="009B61A8"/>
    <w:rsid w:val="009B6256"/>
    <w:rsid w:val="009B62C3"/>
    <w:rsid w:val="009B62F9"/>
    <w:rsid w:val="009B63A6"/>
    <w:rsid w:val="009B65FF"/>
    <w:rsid w:val="009B66B2"/>
    <w:rsid w:val="009B694F"/>
    <w:rsid w:val="009B6995"/>
    <w:rsid w:val="009B6A2B"/>
    <w:rsid w:val="009B6A97"/>
    <w:rsid w:val="009B6B2C"/>
    <w:rsid w:val="009B6BB2"/>
    <w:rsid w:val="009B6E78"/>
    <w:rsid w:val="009B73BA"/>
    <w:rsid w:val="009B73D0"/>
    <w:rsid w:val="009B740A"/>
    <w:rsid w:val="009B7450"/>
    <w:rsid w:val="009B766F"/>
    <w:rsid w:val="009B776E"/>
    <w:rsid w:val="009B7784"/>
    <w:rsid w:val="009B7843"/>
    <w:rsid w:val="009B78D7"/>
    <w:rsid w:val="009B79D5"/>
    <w:rsid w:val="009B79F8"/>
    <w:rsid w:val="009B7CED"/>
    <w:rsid w:val="009B7F25"/>
    <w:rsid w:val="009C00E8"/>
    <w:rsid w:val="009C00F9"/>
    <w:rsid w:val="009C0104"/>
    <w:rsid w:val="009C01AC"/>
    <w:rsid w:val="009C01D3"/>
    <w:rsid w:val="009C0264"/>
    <w:rsid w:val="009C028D"/>
    <w:rsid w:val="009C02D6"/>
    <w:rsid w:val="009C0474"/>
    <w:rsid w:val="009C052A"/>
    <w:rsid w:val="009C094C"/>
    <w:rsid w:val="009C095B"/>
    <w:rsid w:val="009C09D7"/>
    <w:rsid w:val="009C0C43"/>
    <w:rsid w:val="009C0D1E"/>
    <w:rsid w:val="009C0D61"/>
    <w:rsid w:val="009C0DE4"/>
    <w:rsid w:val="009C0E65"/>
    <w:rsid w:val="009C0FB0"/>
    <w:rsid w:val="009C0FBD"/>
    <w:rsid w:val="009C1131"/>
    <w:rsid w:val="009C11EA"/>
    <w:rsid w:val="009C11F0"/>
    <w:rsid w:val="009C14BF"/>
    <w:rsid w:val="009C15C5"/>
    <w:rsid w:val="009C15DE"/>
    <w:rsid w:val="009C17CB"/>
    <w:rsid w:val="009C1830"/>
    <w:rsid w:val="009C1888"/>
    <w:rsid w:val="009C1C6A"/>
    <w:rsid w:val="009C1EA6"/>
    <w:rsid w:val="009C1EC9"/>
    <w:rsid w:val="009C2061"/>
    <w:rsid w:val="009C20F1"/>
    <w:rsid w:val="009C22FB"/>
    <w:rsid w:val="009C2350"/>
    <w:rsid w:val="009C23A0"/>
    <w:rsid w:val="009C260B"/>
    <w:rsid w:val="009C26F0"/>
    <w:rsid w:val="009C27C6"/>
    <w:rsid w:val="009C27D0"/>
    <w:rsid w:val="009C294F"/>
    <w:rsid w:val="009C29B9"/>
    <w:rsid w:val="009C2A2E"/>
    <w:rsid w:val="009C2B78"/>
    <w:rsid w:val="009C2D4B"/>
    <w:rsid w:val="009C2F9F"/>
    <w:rsid w:val="009C312E"/>
    <w:rsid w:val="009C32EA"/>
    <w:rsid w:val="009C331E"/>
    <w:rsid w:val="009C34A9"/>
    <w:rsid w:val="009C3569"/>
    <w:rsid w:val="009C389B"/>
    <w:rsid w:val="009C38A2"/>
    <w:rsid w:val="009C399A"/>
    <w:rsid w:val="009C3A05"/>
    <w:rsid w:val="009C3C05"/>
    <w:rsid w:val="009C3C90"/>
    <w:rsid w:val="009C409D"/>
    <w:rsid w:val="009C4154"/>
    <w:rsid w:val="009C42EE"/>
    <w:rsid w:val="009C4330"/>
    <w:rsid w:val="009C45D7"/>
    <w:rsid w:val="009C46B4"/>
    <w:rsid w:val="009C47FC"/>
    <w:rsid w:val="009C4811"/>
    <w:rsid w:val="009C48EF"/>
    <w:rsid w:val="009C4A00"/>
    <w:rsid w:val="009C4D93"/>
    <w:rsid w:val="009C4E45"/>
    <w:rsid w:val="009C4E70"/>
    <w:rsid w:val="009C4E71"/>
    <w:rsid w:val="009C4FB8"/>
    <w:rsid w:val="009C553A"/>
    <w:rsid w:val="009C57E2"/>
    <w:rsid w:val="009C57F9"/>
    <w:rsid w:val="009C57FB"/>
    <w:rsid w:val="009C586D"/>
    <w:rsid w:val="009C5A08"/>
    <w:rsid w:val="009C5ADB"/>
    <w:rsid w:val="009C5C5C"/>
    <w:rsid w:val="009C5D05"/>
    <w:rsid w:val="009C5DA7"/>
    <w:rsid w:val="009C5EBF"/>
    <w:rsid w:val="009C5F9F"/>
    <w:rsid w:val="009C618C"/>
    <w:rsid w:val="009C61EC"/>
    <w:rsid w:val="009C6238"/>
    <w:rsid w:val="009C626B"/>
    <w:rsid w:val="009C635D"/>
    <w:rsid w:val="009C660D"/>
    <w:rsid w:val="009C6615"/>
    <w:rsid w:val="009C677C"/>
    <w:rsid w:val="009C6926"/>
    <w:rsid w:val="009C6959"/>
    <w:rsid w:val="009C6991"/>
    <w:rsid w:val="009C69E8"/>
    <w:rsid w:val="009C6AB9"/>
    <w:rsid w:val="009C6B8A"/>
    <w:rsid w:val="009C6D69"/>
    <w:rsid w:val="009C6D80"/>
    <w:rsid w:val="009C6E2E"/>
    <w:rsid w:val="009C7127"/>
    <w:rsid w:val="009C7272"/>
    <w:rsid w:val="009C7289"/>
    <w:rsid w:val="009C7427"/>
    <w:rsid w:val="009C749D"/>
    <w:rsid w:val="009C74B4"/>
    <w:rsid w:val="009C75D7"/>
    <w:rsid w:val="009C7604"/>
    <w:rsid w:val="009C761E"/>
    <w:rsid w:val="009C76CA"/>
    <w:rsid w:val="009C77DF"/>
    <w:rsid w:val="009C7818"/>
    <w:rsid w:val="009C799D"/>
    <w:rsid w:val="009C79B8"/>
    <w:rsid w:val="009C79DC"/>
    <w:rsid w:val="009C7D3A"/>
    <w:rsid w:val="009C7D49"/>
    <w:rsid w:val="009D02DB"/>
    <w:rsid w:val="009D0391"/>
    <w:rsid w:val="009D0460"/>
    <w:rsid w:val="009D0764"/>
    <w:rsid w:val="009D07D3"/>
    <w:rsid w:val="009D07E3"/>
    <w:rsid w:val="009D09EB"/>
    <w:rsid w:val="009D0B6A"/>
    <w:rsid w:val="009D0D8E"/>
    <w:rsid w:val="009D0DC6"/>
    <w:rsid w:val="009D0F87"/>
    <w:rsid w:val="009D117A"/>
    <w:rsid w:val="009D15BD"/>
    <w:rsid w:val="009D15D2"/>
    <w:rsid w:val="009D1792"/>
    <w:rsid w:val="009D1AA4"/>
    <w:rsid w:val="009D1D91"/>
    <w:rsid w:val="009D1DAC"/>
    <w:rsid w:val="009D1F42"/>
    <w:rsid w:val="009D1FC2"/>
    <w:rsid w:val="009D200B"/>
    <w:rsid w:val="009D21D1"/>
    <w:rsid w:val="009D22ED"/>
    <w:rsid w:val="009D2336"/>
    <w:rsid w:val="009D23B6"/>
    <w:rsid w:val="009D23EF"/>
    <w:rsid w:val="009D24B4"/>
    <w:rsid w:val="009D24C9"/>
    <w:rsid w:val="009D24ED"/>
    <w:rsid w:val="009D25E7"/>
    <w:rsid w:val="009D27F0"/>
    <w:rsid w:val="009D2DE3"/>
    <w:rsid w:val="009D2ECF"/>
    <w:rsid w:val="009D2EEC"/>
    <w:rsid w:val="009D2FD2"/>
    <w:rsid w:val="009D2FE8"/>
    <w:rsid w:val="009D308A"/>
    <w:rsid w:val="009D3167"/>
    <w:rsid w:val="009D3198"/>
    <w:rsid w:val="009D334A"/>
    <w:rsid w:val="009D353D"/>
    <w:rsid w:val="009D3591"/>
    <w:rsid w:val="009D3660"/>
    <w:rsid w:val="009D36C1"/>
    <w:rsid w:val="009D3747"/>
    <w:rsid w:val="009D377B"/>
    <w:rsid w:val="009D3846"/>
    <w:rsid w:val="009D3949"/>
    <w:rsid w:val="009D3A23"/>
    <w:rsid w:val="009D3AAE"/>
    <w:rsid w:val="009D3BAA"/>
    <w:rsid w:val="009D3CA7"/>
    <w:rsid w:val="009D3D34"/>
    <w:rsid w:val="009D3E06"/>
    <w:rsid w:val="009D3E0B"/>
    <w:rsid w:val="009D3E23"/>
    <w:rsid w:val="009D3EE8"/>
    <w:rsid w:val="009D4114"/>
    <w:rsid w:val="009D42BD"/>
    <w:rsid w:val="009D4377"/>
    <w:rsid w:val="009D442A"/>
    <w:rsid w:val="009D4858"/>
    <w:rsid w:val="009D486C"/>
    <w:rsid w:val="009D4986"/>
    <w:rsid w:val="009D49C3"/>
    <w:rsid w:val="009D4B13"/>
    <w:rsid w:val="009D4DB7"/>
    <w:rsid w:val="009D4FA7"/>
    <w:rsid w:val="009D5055"/>
    <w:rsid w:val="009D52DB"/>
    <w:rsid w:val="009D5305"/>
    <w:rsid w:val="009D5459"/>
    <w:rsid w:val="009D54A9"/>
    <w:rsid w:val="009D553A"/>
    <w:rsid w:val="009D57EB"/>
    <w:rsid w:val="009D5981"/>
    <w:rsid w:val="009D598E"/>
    <w:rsid w:val="009D5B57"/>
    <w:rsid w:val="009D5D33"/>
    <w:rsid w:val="009D5DC1"/>
    <w:rsid w:val="009D5E91"/>
    <w:rsid w:val="009D5E97"/>
    <w:rsid w:val="009D5F97"/>
    <w:rsid w:val="009D602B"/>
    <w:rsid w:val="009D6114"/>
    <w:rsid w:val="009D6183"/>
    <w:rsid w:val="009D6247"/>
    <w:rsid w:val="009D648B"/>
    <w:rsid w:val="009D6556"/>
    <w:rsid w:val="009D6679"/>
    <w:rsid w:val="009D6721"/>
    <w:rsid w:val="009D6749"/>
    <w:rsid w:val="009D6888"/>
    <w:rsid w:val="009D68D3"/>
    <w:rsid w:val="009D69D1"/>
    <w:rsid w:val="009D6B2D"/>
    <w:rsid w:val="009D6B7F"/>
    <w:rsid w:val="009D6CA6"/>
    <w:rsid w:val="009D6D0B"/>
    <w:rsid w:val="009D7011"/>
    <w:rsid w:val="009D7013"/>
    <w:rsid w:val="009D7337"/>
    <w:rsid w:val="009D73A7"/>
    <w:rsid w:val="009D744D"/>
    <w:rsid w:val="009D7814"/>
    <w:rsid w:val="009D7AE9"/>
    <w:rsid w:val="009D7B88"/>
    <w:rsid w:val="009D7EF4"/>
    <w:rsid w:val="009D7F8F"/>
    <w:rsid w:val="009E0189"/>
    <w:rsid w:val="009E03AF"/>
    <w:rsid w:val="009E03DD"/>
    <w:rsid w:val="009E0459"/>
    <w:rsid w:val="009E0486"/>
    <w:rsid w:val="009E0562"/>
    <w:rsid w:val="009E0745"/>
    <w:rsid w:val="009E0851"/>
    <w:rsid w:val="009E09CE"/>
    <w:rsid w:val="009E0A08"/>
    <w:rsid w:val="009E0A4F"/>
    <w:rsid w:val="009E0AA8"/>
    <w:rsid w:val="009E0B79"/>
    <w:rsid w:val="009E0BD5"/>
    <w:rsid w:val="009E0BFE"/>
    <w:rsid w:val="009E0CE5"/>
    <w:rsid w:val="009E0FF5"/>
    <w:rsid w:val="009E1179"/>
    <w:rsid w:val="009E11DB"/>
    <w:rsid w:val="009E13EB"/>
    <w:rsid w:val="009E16E1"/>
    <w:rsid w:val="009E1879"/>
    <w:rsid w:val="009E1932"/>
    <w:rsid w:val="009E1B25"/>
    <w:rsid w:val="009E1C81"/>
    <w:rsid w:val="009E1E97"/>
    <w:rsid w:val="009E1F26"/>
    <w:rsid w:val="009E1F3D"/>
    <w:rsid w:val="009E1F94"/>
    <w:rsid w:val="009E212D"/>
    <w:rsid w:val="009E2326"/>
    <w:rsid w:val="009E2467"/>
    <w:rsid w:val="009E2555"/>
    <w:rsid w:val="009E25E8"/>
    <w:rsid w:val="009E280E"/>
    <w:rsid w:val="009E28DB"/>
    <w:rsid w:val="009E2916"/>
    <w:rsid w:val="009E293C"/>
    <w:rsid w:val="009E2A4B"/>
    <w:rsid w:val="009E2BB7"/>
    <w:rsid w:val="009E2C6E"/>
    <w:rsid w:val="009E307E"/>
    <w:rsid w:val="009E3222"/>
    <w:rsid w:val="009E3368"/>
    <w:rsid w:val="009E337C"/>
    <w:rsid w:val="009E34A4"/>
    <w:rsid w:val="009E3513"/>
    <w:rsid w:val="009E378F"/>
    <w:rsid w:val="009E3836"/>
    <w:rsid w:val="009E38C8"/>
    <w:rsid w:val="009E3B24"/>
    <w:rsid w:val="009E3BF0"/>
    <w:rsid w:val="009E3CE4"/>
    <w:rsid w:val="009E3E80"/>
    <w:rsid w:val="009E3F81"/>
    <w:rsid w:val="009E3FC2"/>
    <w:rsid w:val="009E44EB"/>
    <w:rsid w:val="009E45B9"/>
    <w:rsid w:val="009E47DF"/>
    <w:rsid w:val="009E4855"/>
    <w:rsid w:val="009E4882"/>
    <w:rsid w:val="009E4904"/>
    <w:rsid w:val="009E493E"/>
    <w:rsid w:val="009E4992"/>
    <w:rsid w:val="009E49EF"/>
    <w:rsid w:val="009E4BBC"/>
    <w:rsid w:val="009E4BCA"/>
    <w:rsid w:val="009E4CB1"/>
    <w:rsid w:val="009E4D8E"/>
    <w:rsid w:val="009E4E59"/>
    <w:rsid w:val="009E5026"/>
    <w:rsid w:val="009E5133"/>
    <w:rsid w:val="009E517D"/>
    <w:rsid w:val="009E53CF"/>
    <w:rsid w:val="009E543E"/>
    <w:rsid w:val="009E545C"/>
    <w:rsid w:val="009E558A"/>
    <w:rsid w:val="009E562D"/>
    <w:rsid w:val="009E5630"/>
    <w:rsid w:val="009E59FC"/>
    <w:rsid w:val="009E5B89"/>
    <w:rsid w:val="009E5D3E"/>
    <w:rsid w:val="009E5E00"/>
    <w:rsid w:val="009E60CB"/>
    <w:rsid w:val="009E616D"/>
    <w:rsid w:val="009E62BE"/>
    <w:rsid w:val="009E6684"/>
    <w:rsid w:val="009E6733"/>
    <w:rsid w:val="009E6827"/>
    <w:rsid w:val="009E6976"/>
    <w:rsid w:val="009E69A6"/>
    <w:rsid w:val="009E6A30"/>
    <w:rsid w:val="009E6ABB"/>
    <w:rsid w:val="009E6D51"/>
    <w:rsid w:val="009E6F98"/>
    <w:rsid w:val="009E708A"/>
    <w:rsid w:val="009E708C"/>
    <w:rsid w:val="009E7205"/>
    <w:rsid w:val="009E7263"/>
    <w:rsid w:val="009E7340"/>
    <w:rsid w:val="009E7378"/>
    <w:rsid w:val="009E7416"/>
    <w:rsid w:val="009E750A"/>
    <w:rsid w:val="009E7594"/>
    <w:rsid w:val="009E77B6"/>
    <w:rsid w:val="009E78D3"/>
    <w:rsid w:val="009E79DD"/>
    <w:rsid w:val="009E7C86"/>
    <w:rsid w:val="009E7C91"/>
    <w:rsid w:val="009E7C9D"/>
    <w:rsid w:val="009E7CEB"/>
    <w:rsid w:val="009E7DEF"/>
    <w:rsid w:val="009E7EE8"/>
    <w:rsid w:val="009F01E3"/>
    <w:rsid w:val="009F0237"/>
    <w:rsid w:val="009F03EF"/>
    <w:rsid w:val="009F04EB"/>
    <w:rsid w:val="009F05B2"/>
    <w:rsid w:val="009F05EE"/>
    <w:rsid w:val="009F06DC"/>
    <w:rsid w:val="009F07F7"/>
    <w:rsid w:val="009F0849"/>
    <w:rsid w:val="009F08B6"/>
    <w:rsid w:val="009F08C4"/>
    <w:rsid w:val="009F090C"/>
    <w:rsid w:val="009F0A6B"/>
    <w:rsid w:val="009F0AD6"/>
    <w:rsid w:val="009F0B7F"/>
    <w:rsid w:val="009F0BFD"/>
    <w:rsid w:val="009F0C16"/>
    <w:rsid w:val="009F0EC8"/>
    <w:rsid w:val="009F0F6F"/>
    <w:rsid w:val="009F0F72"/>
    <w:rsid w:val="009F107A"/>
    <w:rsid w:val="009F1363"/>
    <w:rsid w:val="009F147A"/>
    <w:rsid w:val="009F1525"/>
    <w:rsid w:val="009F15CA"/>
    <w:rsid w:val="009F160D"/>
    <w:rsid w:val="009F1786"/>
    <w:rsid w:val="009F17F6"/>
    <w:rsid w:val="009F19DE"/>
    <w:rsid w:val="009F1A68"/>
    <w:rsid w:val="009F1C1C"/>
    <w:rsid w:val="009F1D10"/>
    <w:rsid w:val="009F1DDE"/>
    <w:rsid w:val="009F1E1E"/>
    <w:rsid w:val="009F2262"/>
    <w:rsid w:val="009F22F4"/>
    <w:rsid w:val="009F242A"/>
    <w:rsid w:val="009F24A9"/>
    <w:rsid w:val="009F24C3"/>
    <w:rsid w:val="009F2587"/>
    <w:rsid w:val="009F2839"/>
    <w:rsid w:val="009F2C4E"/>
    <w:rsid w:val="009F2D6F"/>
    <w:rsid w:val="009F2F50"/>
    <w:rsid w:val="009F2FAC"/>
    <w:rsid w:val="009F32F6"/>
    <w:rsid w:val="009F333A"/>
    <w:rsid w:val="009F3355"/>
    <w:rsid w:val="009F3535"/>
    <w:rsid w:val="009F36E9"/>
    <w:rsid w:val="009F370B"/>
    <w:rsid w:val="009F374D"/>
    <w:rsid w:val="009F37E4"/>
    <w:rsid w:val="009F3884"/>
    <w:rsid w:val="009F3995"/>
    <w:rsid w:val="009F3BCB"/>
    <w:rsid w:val="009F4180"/>
    <w:rsid w:val="009F4271"/>
    <w:rsid w:val="009F4413"/>
    <w:rsid w:val="009F44B7"/>
    <w:rsid w:val="009F45AE"/>
    <w:rsid w:val="009F464E"/>
    <w:rsid w:val="009F4664"/>
    <w:rsid w:val="009F4872"/>
    <w:rsid w:val="009F4948"/>
    <w:rsid w:val="009F4AA9"/>
    <w:rsid w:val="009F4BB0"/>
    <w:rsid w:val="009F4BB5"/>
    <w:rsid w:val="009F4D00"/>
    <w:rsid w:val="009F4D04"/>
    <w:rsid w:val="009F4E00"/>
    <w:rsid w:val="009F4EF5"/>
    <w:rsid w:val="009F4F84"/>
    <w:rsid w:val="009F4F9A"/>
    <w:rsid w:val="009F4FE2"/>
    <w:rsid w:val="009F5033"/>
    <w:rsid w:val="009F5115"/>
    <w:rsid w:val="009F5214"/>
    <w:rsid w:val="009F542E"/>
    <w:rsid w:val="009F544B"/>
    <w:rsid w:val="009F5579"/>
    <w:rsid w:val="009F566B"/>
    <w:rsid w:val="009F5723"/>
    <w:rsid w:val="009F5882"/>
    <w:rsid w:val="009F5A3E"/>
    <w:rsid w:val="009F5AD8"/>
    <w:rsid w:val="009F5B15"/>
    <w:rsid w:val="009F5BA3"/>
    <w:rsid w:val="009F5C5B"/>
    <w:rsid w:val="009F5DE7"/>
    <w:rsid w:val="009F5EB6"/>
    <w:rsid w:val="009F5F36"/>
    <w:rsid w:val="009F602A"/>
    <w:rsid w:val="009F631E"/>
    <w:rsid w:val="009F639A"/>
    <w:rsid w:val="009F6494"/>
    <w:rsid w:val="009F64BE"/>
    <w:rsid w:val="009F6666"/>
    <w:rsid w:val="009F66DA"/>
    <w:rsid w:val="009F688B"/>
    <w:rsid w:val="009F697B"/>
    <w:rsid w:val="009F6A50"/>
    <w:rsid w:val="009F6B6F"/>
    <w:rsid w:val="009F6C23"/>
    <w:rsid w:val="009F6C52"/>
    <w:rsid w:val="009F6D89"/>
    <w:rsid w:val="009F72E8"/>
    <w:rsid w:val="009F767E"/>
    <w:rsid w:val="009F781A"/>
    <w:rsid w:val="009F797D"/>
    <w:rsid w:val="009F7AC4"/>
    <w:rsid w:val="009F7B8B"/>
    <w:rsid w:val="009F7C09"/>
    <w:rsid w:val="009F7EF8"/>
    <w:rsid w:val="009F7FA0"/>
    <w:rsid w:val="009F7FD4"/>
    <w:rsid w:val="00A00122"/>
    <w:rsid w:val="00A00255"/>
    <w:rsid w:val="00A0031C"/>
    <w:rsid w:val="00A003CC"/>
    <w:rsid w:val="00A0044C"/>
    <w:rsid w:val="00A005CE"/>
    <w:rsid w:val="00A00606"/>
    <w:rsid w:val="00A00720"/>
    <w:rsid w:val="00A0073F"/>
    <w:rsid w:val="00A007B9"/>
    <w:rsid w:val="00A007DD"/>
    <w:rsid w:val="00A008A3"/>
    <w:rsid w:val="00A00A7F"/>
    <w:rsid w:val="00A00D5F"/>
    <w:rsid w:val="00A00E15"/>
    <w:rsid w:val="00A01186"/>
    <w:rsid w:val="00A01490"/>
    <w:rsid w:val="00A01509"/>
    <w:rsid w:val="00A01578"/>
    <w:rsid w:val="00A01671"/>
    <w:rsid w:val="00A0173D"/>
    <w:rsid w:val="00A01751"/>
    <w:rsid w:val="00A017E1"/>
    <w:rsid w:val="00A01B01"/>
    <w:rsid w:val="00A01CA0"/>
    <w:rsid w:val="00A01DCA"/>
    <w:rsid w:val="00A01DFA"/>
    <w:rsid w:val="00A01F83"/>
    <w:rsid w:val="00A021B2"/>
    <w:rsid w:val="00A021E1"/>
    <w:rsid w:val="00A021F6"/>
    <w:rsid w:val="00A02216"/>
    <w:rsid w:val="00A0231C"/>
    <w:rsid w:val="00A024A7"/>
    <w:rsid w:val="00A024C5"/>
    <w:rsid w:val="00A024D2"/>
    <w:rsid w:val="00A0253E"/>
    <w:rsid w:val="00A02627"/>
    <w:rsid w:val="00A0277B"/>
    <w:rsid w:val="00A02789"/>
    <w:rsid w:val="00A027DA"/>
    <w:rsid w:val="00A02A7A"/>
    <w:rsid w:val="00A02AE1"/>
    <w:rsid w:val="00A02D6F"/>
    <w:rsid w:val="00A02DB2"/>
    <w:rsid w:val="00A02ED3"/>
    <w:rsid w:val="00A02F3D"/>
    <w:rsid w:val="00A03024"/>
    <w:rsid w:val="00A03055"/>
    <w:rsid w:val="00A0311B"/>
    <w:rsid w:val="00A034AC"/>
    <w:rsid w:val="00A03570"/>
    <w:rsid w:val="00A03597"/>
    <w:rsid w:val="00A039AA"/>
    <w:rsid w:val="00A039D5"/>
    <w:rsid w:val="00A03D22"/>
    <w:rsid w:val="00A03D9E"/>
    <w:rsid w:val="00A03E5A"/>
    <w:rsid w:val="00A04001"/>
    <w:rsid w:val="00A0403F"/>
    <w:rsid w:val="00A04050"/>
    <w:rsid w:val="00A0427F"/>
    <w:rsid w:val="00A0431C"/>
    <w:rsid w:val="00A0432D"/>
    <w:rsid w:val="00A045FB"/>
    <w:rsid w:val="00A04617"/>
    <w:rsid w:val="00A048C9"/>
    <w:rsid w:val="00A04998"/>
    <w:rsid w:val="00A04B5B"/>
    <w:rsid w:val="00A04D7D"/>
    <w:rsid w:val="00A04EFC"/>
    <w:rsid w:val="00A051DC"/>
    <w:rsid w:val="00A051F3"/>
    <w:rsid w:val="00A0520E"/>
    <w:rsid w:val="00A055D9"/>
    <w:rsid w:val="00A05774"/>
    <w:rsid w:val="00A05848"/>
    <w:rsid w:val="00A05879"/>
    <w:rsid w:val="00A058E9"/>
    <w:rsid w:val="00A05CD1"/>
    <w:rsid w:val="00A05DC6"/>
    <w:rsid w:val="00A05E6D"/>
    <w:rsid w:val="00A060E5"/>
    <w:rsid w:val="00A06101"/>
    <w:rsid w:val="00A062E5"/>
    <w:rsid w:val="00A062FD"/>
    <w:rsid w:val="00A06394"/>
    <w:rsid w:val="00A06395"/>
    <w:rsid w:val="00A063A1"/>
    <w:rsid w:val="00A0649F"/>
    <w:rsid w:val="00A06731"/>
    <w:rsid w:val="00A0679C"/>
    <w:rsid w:val="00A067D1"/>
    <w:rsid w:val="00A067E8"/>
    <w:rsid w:val="00A06AB0"/>
    <w:rsid w:val="00A06B3F"/>
    <w:rsid w:val="00A06B54"/>
    <w:rsid w:val="00A06E38"/>
    <w:rsid w:val="00A07022"/>
    <w:rsid w:val="00A07059"/>
    <w:rsid w:val="00A07103"/>
    <w:rsid w:val="00A071B3"/>
    <w:rsid w:val="00A071BE"/>
    <w:rsid w:val="00A0730D"/>
    <w:rsid w:val="00A0768E"/>
    <w:rsid w:val="00A076A8"/>
    <w:rsid w:val="00A077BC"/>
    <w:rsid w:val="00A0783C"/>
    <w:rsid w:val="00A078AD"/>
    <w:rsid w:val="00A07971"/>
    <w:rsid w:val="00A07A9D"/>
    <w:rsid w:val="00A07B5F"/>
    <w:rsid w:val="00A07C3B"/>
    <w:rsid w:val="00A07D0B"/>
    <w:rsid w:val="00A07EEE"/>
    <w:rsid w:val="00A07EFE"/>
    <w:rsid w:val="00A07FCD"/>
    <w:rsid w:val="00A10255"/>
    <w:rsid w:val="00A1061E"/>
    <w:rsid w:val="00A1068C"/>
    <w:rsid w:val="00A10797"/>
    <w:rsid w:val="00A108E4"/>
    <w:rsid w:val="00A108FF"/>
    <w:rsid w:val="00A10A63"/>
    <w:rsid w:val="00A10B0D"/>
    <w:rsid w:val="00A10C57"/>
    <w:rsid w:val="00A10C80"/>
    <w:rsid w:val="00A10CD2"/>
    <w:rsid w:val="00A10D58"/>
    <w:rsid w:val="00A10D67"/>
    <w:rsid w:val="00A10F18"/>
    <w:rsid w:val="00A11112"/>
    <w:rsid w:val="00A1131D"/>
    <w:rsid w:val="00A11499"/>
    <w:rsid w:val="00A114F4"/>
    <w:rsid w:val="00A115CD"/>
    <w:rsid w:val="00A117D6"/>
    <w:rsid w:val="00A11B30"/>
    <w:rsid w:val="00A11C75"/>
    <w:rsid w:val="00A11DB0"/>
    <w:rsid w:val="00A11FA7"/>
    <w:rsid w:val="00A11FCF"/>
    <w:rsid w:val="00A12081"/>
    <w:rsid w:val="00A120C4"/>
    <w:rsid w:val="00A12198"/>
    <w:rsid w:val="00A121CA"/>
    <w:rsid w:val="00A12791"/>
    <w:rsid w:val="00A127A4"/>
    <w:rsid w:val="00A12902"/>
    <w:rsid w:val="00A129CB"/>
    <w:rsid w:val="00A12B3A"/>
    <w:rsid w:val="00A12B93"/>
    <w:rsid w:val="00A12BC8"/>
    <w:rsid w:val="00A12D67"/>
    <w:rsid w:val="00A12DB4"/>
    <w:rsid w:val="00A1331D"/>
    <w:rsid w:val="00A1358B"/>
    <w:rsid w:val="00A13624"/>
    <w:rsid w:val="00A1374E"/>
    <w:rsid w:val="00A13835"/>
    <w:rsid w:val="00A13960"/>
    <w:rsid w:val="00A13A72"/>
    <w:rsid w:val="00A13CE7"/>
    <w:rsid w:val="00A13D52"/>
    <w:rsid w:val="00A1427C"/>
    <w:rsid w:val="00A14352"/>
    <w:rsid w:val="00A1436C"/>
    <w:rsid w:val="00A145CE"/>
    <w:rsid w:val="00A1466B"/>
    <w:rsid w:val="00A1466D"/>
    <w:rsid w:val="00A14766"/>
    <w:rsid w:val="00A14859"/>
    <w:rsid w:val="00A1487F"/>
    <w:rsid w:val="00A148A7"/>
    <w:rsid w:val="00A149D4"/>
    <w:rsid w:val="00A14AF6"/>
    <w:rsid w:val="00A14B72"/>
    <w:rsid w:val="00A14BA1"/>
    <w:rsid w:val="00A14C29"/>
    <w:rsid w:val="00A14E31"/>
    <w:rsid w:val="00A1506C"/>
    <w:rsid w:val="00A1524E"/>
    <w:rsid w:val="00A15504"/>
    <w:rsid w:val="00A1574C"/>
    <w:rsid w:val="00A15830"/>
    <w:rsid w:val="00A15907"/>
    <w:rsid w:val="00A15908"/>
    <w:rsid w:val="00A15A89"/>
    <w:rsid w:val="00A15BFD"/>
    <w:rsid w:val="00A15C35"/>
    <w:rsid w:val="00A15C6B"/>
    <w:rsid w:val="00A15D8C"/>
    <w:rsid w:val="00A15F60"/>
    <w:rsid w:val="00A1606A"/>
    <w:rsid w:val="00A160D4"/>
    <w:rsid w:val="00A160DA"/>
    <w:rsid w:val="00A16128"/>
    <w:rsid w:val="00A1614C"/>
    <w:rsid w:val="00A163E8"/>
    <w:rsid w:val="00A1642D"/>
    <w:rsid w:val="00A164CE"/>
    <w:rsid w:val="00A16616"/>
    <w:rsid w:val="00A166CF"/>
    <w:rsid w:val="00A16742"/>
    <w:rsid w:val="00A16859"/>
    <w:rsid w:val="00A168B7"/>
    <w:rsid w:val="00A16945"/>
    <w:rsid w:val="00A1696B"/>
    <w:rsid w:val="00A16A6F"/>
    <w:rsid w:val="00A16B89"/>
    <w:rsid w:val="00A16C03"/>
    <w:rsid w:val="00A16C42"/>
    <w:rsid w:val="00A16DF1"/>
    <w:rsid w:val="00A16EA0"/>
    <w:rsid w:val="00A16ECE"/>
    <w:rsid w:val="00A170C7"/>
    <w:rsid w:val="00A172CF"/>
    <w:rsid w:val="00A1750A"/>
    <w:rsid w:val="00A17519"/>
    <w:rsid w:val="00A17603"/>
    <w:rsid w:val="00A17729"/>
    <w:rsid w:val="00A177F6"/>
    <w:rsid w:val="00A17929"/>
    <w:rsid w:val="00A179A2"/>
    <w:rsid w:val="00A17F5D"/>
    <w:rsid w:val="00A20331"/>
    <w:rsid w:val="00A205F2"/>
    <w:rsid w:val="00A20633"/>
    <w:rsid w:val="00A20675"/>
    <w:rsid w:val="00A207FF"/>
    <w:rsid w:val="00A20916"/>
    <w:rsid w:val="00A20D2D"/>
    <w:rsid w:val="00A20E23"/>
    <w:rsid w:val="00A20E49"/>
    <w:rsid w:val="00A20EF7"/>
    <w:rsid w:val="00A20F25"/>
    <w:rsid w:val="00A20FD8"/>
    <w:rsid w:val="00A21208"/>
    <w:rsid w:val="00A21284"/>
    <w:rsid w:val="00A212E0"/>
    <w:rsid w:val="00A2167C"/>
    <w:rsid w:val="00A217D4"/>
    <w:rsid w:val="00A218AA"/>
    <w:rsid w:val="00A218AC"/>
    <w:rsid w:val="00A21E1F"/>
    <w:rsid w:val="00A21EAE"/>
    <w:rsid w:val="00A21F51"/>
    <w:rsid w:val="00A22037"/>
    <w:rsid w:val="00A22091"/>
    <w:rsid w:val="00A2209A"/>
    <w:rsid w:val="00A22259"/>
    <w:rsid w:val="00A22348"/>
    <w:rsid w:val="00A2235B"/>
    <w:rsid w:val="00A2235C"/>
    <w:rsid w:val="00A223D2"/>
    <w:rsid w:val="00A223DF"/>
    <w:rsid w:val="00A228BE"/>
    <w:rsid w:val="00A22A40"/>
    <w:rsid w:val="00A22E07"/>
    <w:rsid w:val="00A22F37"/>
    <w:rsid w:val="00A22F89"/>
    <w:rsid w:val="00A22FE9"/>
    <w:rsid w:val="00A2306A"/>
    <w:rsid w:val="00A2306D"/>
    <w:rsid w:val="00A23164"/>
    <w:rsid w:val="00A2350C"/>
    <w:rsid w:val="00A23763"/>
    <w:rsid w:val="00A237D0"/>
    <w:rsid w:val="00A237E6"/>
    <w:rsid w:val="00A239FF"/>
    <w:rsid w:val="00A23A16"/>
    <w:rsid w:val="00A23A27"/>
    <w:rsid w:val="00A23CC5"/>
    <w:rsid w:val="00A23D68"/>
    <w:rsid w:val="00A23D6A"/>
    <w:rsid w:val="00A23DFD"/>
    <w:rsid w:val="00A23E40"/>
    <w:rsid w:val="00A2402B"/>
    <w:rsid w:val="00A24070"/>
    <w:rsid w:val="00A24153"/>
    <w:rsid w:val="00A241E8"/>
    <w:rsid w:val="00A242F8"/>
    <w:rsid w:val="00A2438F"/>
    <w:rsid w:val="00A24448"/>
    <w:rsid w:val="00A246AB"/>
    <w:rsid w:val="00A246FF"/>
    <w:rsid w:val="00A24884"/>
    <w:rsid w:val="00A249FC"/>
    <w:rsid w:val="00A24AF7"/>
    <w:rsid w:val="00A24BDB"/>
    <w:rsid w:val="00A24DF2"/>
    <w:rsid w:val="00A24EDB"/>
    <w:rsid w:val="00A24FCC"/>
    <w:rsid w:val="00A25006"/>
    <w:rsid w:val="00A25121"/>
    <w:rsid w:val="00A25173"/>
    <w:rsid w:val="00A25557"/>
    <w:rsid w:val="00A25605"/>
    <w:rsid w:val="00A256CD"/>
    <w:rsid w:val="00A2589C"/>
    <w:rsid w:val="00A258A9"/>
    <w:rsid w:val="00A258F5"/>
    <w:rsid w:val="00A25990"/>
    <w:rsid w:val="00A25A6F"/>
    <w:rsid w:val="00A25A75"/>
    <w:rsid w:val="00A25AAE"/>
    <w:rsid w:val="00A25B5B"/>
    <w:rsid w:val="00A25B90"/>
    <w:rsid w:val="00A25CEF"/>
    <w:rsid w:val="00A25DE2"/>
    <w:rsid w:val="00A25F41"/>
    <w:rsid w:val="00A25F6C"/>
    <w:rsid w:val="00A261DD"/>
    <w:rsid w:val="00A2623D"/>
    <w:rsid w:val="00A2628A"/>
    <w:rsid w:val="00A26732"/>
    <w:rsid w:val="00A267AF"/>
    <w:rsid w:val="00A26887"/>
    <w:rsid w:val="00A26987"/>
    <w:rsid w:val="00A269F5"/>
    <w:rsid w:val="00A26BD2"/>
    <w:rsid w:val="00A26BDB"/>
    <w:rsid w:val="00A26C0A"/>
    <w:rsid w:val="00A26D3B"/>
    <w:rsid w:val="00A26DBE"/>
    <w:rsid w:val="00A26DD5"/>
    <w:rsid w:val="00A26F22"/>
    <w:rsid w:val="00A26F4F"/>
    <w:rsid w:val="00A271D1"/>
    <w:rsid w:val="00A27537"/>
    <w:rsid w:val="00A27541"/>
    <w:rsid w:val="00A27627"/>
    <w:rsid w:val="00A2778F"/>
    <w:rsid w:val="00A277B9"/>
    <w:rsid w:val="00A27A8B"/>
    <w:rsid w:val="00A27EE7"/>
    <w:rsid w:val="00A3003A"/>
    <w:rsid w:val="00A3009F"/>
    <w:rsid w:val="00A300D2"/>
    <w:rsid w:val="00A3034F"/>
    <w:rsid w:val="00A30479"/>
    <w:rsid w:val="00A3061B"/>
    <w:rsid w:val="00A30634"/>
    <w:rsid w:val="00A30813"/>
    <w:rsid w:val="00A3089D"/>
    <w:rsid w:val="00A3091D"/>
    <w:rsid w:val="00A3092A"/>
    <w:rsid w:val="00A3098B"/>
    <w:rsid w:val="00A30A34"/>
    <w:rsid w:val="00A30A3E"/>
    <w:rsid w:val="00A30ADA"/>
    <w:rsid w:val="00A30D48"/>
    <w:rsid w:val="00A30E09"/>
    <w:rsid w:val="00A30E97"/>
    <w:rsid w:val="00A30E9D"/>
    <w:rsid w:val="00A3101D"/>
    <w:rsid w:val="00A3104E"/>
    <w:rsid w:val="00A310BC"/>
    <w:rsid w:val="00A31309"/>
    <w:rsid w:val="00A31322"/>
    <w:rsid w:val="00A31387"/>
    <w:rsid w:val="00A316EE"/>
    <w:rsid w:val="00A31936"/>
    <w:rsid w:val="00A31A11"/>
    <w:rsid w:val="00A31B91"/>
    <w:rsid w:val="00A31C05"/>
    <w:rsid w:val="00A31E21"/>
    <w:rsid w:val="00A31F06"/>
    <w:rsid w:val="00A31F42"/>
    <w:rsid w:val="00A32087"/>
    <w:rsid w:val="00A3232C"/>
    <w:rsid w:val="00A323B9"/>
    <w:rsid w:val="00A32417"/>
    <w:rsid w:val="00A32600"/>
    <w:rsid w:val="00A326E6"/>
    <w:rsid w:val="00A3283B"/>
    <w:rsid w:val="00A32868"/>
    <w:rsid w:val="00A328B5"/>
    <w:rsid w:val="00A328CE"/>
    <w:rsid w:val="00A32B84"/>
    <w:rsid w:val="00A32B9B"/>
    <w:rsid w:val="00A32CC9"/>
    <w:rsid w:val="00A32CCF"/>
    <w:rsid w:val="00A32F4F"/>
    <w:rsid w:val="00A330DE"/>
    <w:rsid w:val="00A33108"/>
    <w:rsid w:val="00A331C5"/>
    <w:rsid w:val="00A33213"/>
    <w:rsid w:val="00A33290"/>
    <w:rsid w:val="00A3343A"/>
    <w:rsid w:val="00A334F4"/>
    <w:rsid w:val="00A3377D"/>
    <w:rsid w:val="00A337A6"/>
    <w:rsid w:val="00A337E0"/>
    <w:rsid w:val="00A3380B"/>
    <w:rsid w:val="00A3380C"/>
    <w:rsid w:val="00A3391B"/>
    <w:rsid w:val="00A339D7"/>
    <w:rsid w:val="00A339ED"/>
    <w:rsid w:val="00A33A65"/>
    <w:rsid w:val="00A33AFB"/>
    <w:rsid w:val="00A33B3C"/>
    <w:rsid w:val="00A33C4D"/>
    <w:rsid w:val="00A33F51"/>
    <w:rsid w:val="00A34080"/>
    <w:rsid w:val="00A34182"/>
    <w:rsid w:val="00A341DD"/>
    <w:rsid w:val="00A34254"/>
    <w:rsid w:val="00A343F3"/>
    <w:rsid w:val="00A34425"/>
    <w:rsid w:val="00A34481"/>
    <w:rsid w:val="00A346F0"/>
    <w:rsid w:val="00A34711"/>
    <w:rsid w:val="00A348A3"/>
    <w:rsid w:val="00A34A71"/>
    <w:rsid w:val="00A34B03"/>
    <w:rsid w:val="00A34B16"/>
    <w:rsid w:val="00A34B95"/>
    <w:rsid w:val="00A34D4B"/>
    <w:rsid w:val="00A34EBF"/>
    <w:rsid w:val="00A34ECA"/>
    <w:rsid w:val="00A34EDD"/>
    <w:rsid w:val="00A3539E"/>
    <w:rsid w:val="00A353CA"/>
    <w:rsid w:val="00A35620"/>
    <w:rsid w:val="00A3584D"/>
    <w:rsid w:val="00A358A6"/>
    <w:rsid w:val="00A35A31"/>
    <w:rsid w:val="00A35A32"/>
    <w:rsid w:val="00A35A67"/>
    <w:rsid w:val="00A35A99"/>
    <w:rsid w:val="00A35CB8"/>
    <w:rsid w:val="00A35D75"/>
    <w:rsid w:val="00A35F2B"/>
    <w:rsid w:val="00A3610B"/>
    <w:rsid w:val="00A361CB"/>
    <w:rsid w:val="00A36397"/>
    <w:rsid w:val="00A363A9"/>
    <w:rsid w:val="00A36626"/>
    <w:rsid w:val="00A366F9"/>
    <w:rsid w:val="00A36806"/>
    <w:rsid w:val="00A368C1"/>
    <w:rsid w:val="00A3698F"/>
    <w:rsid w:val="00A36A93"/>
    <w:rsid w:val="00A36AA5"/>
    <w:rsid w:val="00A36AC0"/>
    <w:rsid w:val="00A36C20"/>
    <w:rsid w:val="00A36E62"/>
    <w:rsid w:val="00A36F09"/>
    <w:rsid w:val="00A36FB5"/>
    <w:rsid w:val="00A3709F"/>
    <w:rsid w:val="00A3715F"/>
    <w:rsid w:val="00A373FC"/>
    <w:rsid w:val="00A3745B"/>
    <w:rsid w:val="00A3764C"/>
    <w:rsid w:val="00A376EB"/>
    <w:rsid w:val="00A37967"/>
    <w:rsid w:val="00A37A49"/>
    <w:rsid w:val="00A37BBB"/>
    <w:rsid w:val="00A37D55"/>
    <w:rsid w:val="00A37ED9"/>
    <w:rsid w:val="00A37FFE"/>
    <w:rsid w:val="00A400D0"/>
    <w:rsid w:val="00A40140"/>
    <w:rsid w:val="00A403A3"/>
    <w:rsid w:val="00A4042F"/>
    <w:rsid w:val="00A407B9"/>
    <w:rsid w:val="00A40B96"/>
    <w:rsid w:val="00A40BF5"/>
    <w:rsid w:val="00A40BF8"/>
    <w:rsid w:val="00A40E7C"/>
    <w:rsid w:val="00A40F81"/>
    <w:rsid w:val="00A4100E"/>
    <w:rsid w:val="00A411C5"/>
    <w:rsid w:val="00A411DD"/>
    <w:rsid w:val="00A41283"/>
    <w:rsid w:val="00A412F2"/>
    <w:rsid w:val="00A413EB"/>
    <w:rsid w:val="00A416EA"/>
    <w:rsid w:val="00A41741"/>
    <w:rsid w:val="00A41A44"/>
    <w:rsid w:val="00A41B70"/>
    <w:rsid w:val="00A41CC1"/>
    <w:rsid w:val="00A41D81"/>
    <w:rsid w:val="00A41F3C"/>
    <w:rsid w:val="00A421F6"/>
    <w:rsid w:val="00A42210"/>
    <w:rsid w:val="00A42263"/>
    <w:rsid w:val="00A422B6"/>
    <w:rsid w:val="00A422C8"/>
    <w:rsid w:val="00A42316"/>
    <w:rsid w:val="00A42331"/>
    <w:rsid w:val="00A4238B"/>
    <w:rsid w:val="00A423BD"/>
    <w:rsid w:val="00A4246F"/>
    <w:rsid w:val="00A4254F"/>
    <w:rsid w:val="00A4257A"/>
    <w:rsid w:val="00A425D6"/>
    <w:rsid w:val="00A42606"/>
    <w:rsid w:val="00A42785"/>
    <w:rsid w:val="00A4291C"/>
    <w:rsid w:val="00A429E9"/>
    <w:rsid w:val="00A42B73"/>
    <w:rsid w:val="00A42D2D"/>
    <w:rsid w:val="00A42E13"/>
    <w:rsid w:val="00A42FE4"/>
    <w:rsid w:val="00A43629"/>
    <w:rsid w:val="00A4371B"/>
    <w:rsid w:val="00A43838"/>
    <w:rsid w:val="00A439F4"/>
    <w:rsid w:val="00A43B5B"/>
    <w:rsid w:val="00A43D8B"/>
    <w:rsid w:val="00A43EEA"/>
    <w:rsid w:val="00A43F5C"/>
    <w:rsid w:val="00A440A7"/>
    <w:rsid w:val="00A441D4"/>
    <w:rsid w:val="00A4434A"/>
    <w:rsid w:val="00A4443E"/>
    <w:rsid w:val="00A44623"/>
    <w:rsid w:val="00A44734"/>
    <w:rsid w:val="00A4473A"/>
    <w:rsid w:val="00A44999"/>
    <w:rsid w:val="00A44A62"/>
    <w:rsid w:val="00A44E52"/>
    <w:rsid w:val="00A44E5C"/>
    <w:rsid w:val="00A44F1A"/>
    <w:rsid w:val="00A44F66"/>
    <w:rsid w:val="00A45075"/>
    <w:rsid w:val="00A45132"/>
    <w:rsid w:val="00A4517A"/>
    <w:rsid w:val="00A452A2"/>
    <w:rsid w:val="00A4536C"/>
    <w:rsid w:val="00A454EA"/>
    <w:rsid w:val="00A457F9"/>
    <w:rsid w:val="00A45841"/>
    <w:rsid w:val="00A458E8"/>
    <w:rsid w:val="00A459C7"/>
    <w:rsid w:val="00A45AB6"/>
    <w:rsid w:val="00A45B53"/>
    <w:rsid w:val="00A45B8E"/>
    <w:rsid w:val="00A45C56"/>
    <w:rsid w:val="00A45FC2"/>
    <w:rsid w:val="00A4617E"/>
    <w:rsid w:val="00A461EF"/>
    <w:rsid w:val="00A462B3"/>
    <w:rsid w:val="00A46343"/>
    <w:rsid w:val="00A465A1"/>
    <w:rsid w:val="00A465A4"/>
    <w:rsid w:val="00A46642"/>
    <w:rsid w:val="00A467FE"/>
    <w:rsid w:val="00A46815"/>
    <w:rsid w:val="00A468DA"/>
    <w:rsid w:val="00A46A5B"/>
    <w:rsid w:val="00A46C31"/>
    <w:rsid w:val="00A46CA5"/>
    <w:rsid w:val="00A46EE7"/>
    <w:rsid w:val="00A46F50"/>
    <w:rsid w:val="00A46FD4"/>
    <w:rsid w:val="00A4701F"/>
    <w:rsid w:val="00A472F1"/>
    <w:rsid w:val="00A4735F"/>
    <w:rsid w:val="00A47375"/>
    <w:rsid w:val="00A47C33"/>
    <w:rsid w:val="00A47F0F"/>
    <w:rsid w:val="00A47F3F"/>
    <w:rsid w:val="00A50158"/>
    <w:rsid w:val="00A50380"/>
    <w:rsid w:val="00A50B13"/>
    <w:rsid w:val="00A50B6B"/>
    <w:rsid w:val="00A50BAD"/>
    <w:rsid w:val="00A50BCA"/>
    <w:rsid w:val="00A50C0B"/>
    <w:rsid w:val="00A50D39"/>
    <w:rsid w:val="00A50DE8"/>
    <w:rsid w:val="00A51010"/>
    <w:rsid w:val="00A51188"/>
    <w:rsid w:val="00A514CD"/>
    <w:rsid w:val="00A515A2"/>
    <w:rsid w:val="00A515F4"/>
    <w:rsid w:val="00A51752"/>
    <w:rsid w:val="00A518BC"/>
    <w:rsid w:val="00A518CD"/>
    <w:rsid w:val="00A51AB2"/>
    <w:rsid w:val="00A51AE4"/>
    <w:rsid w:val="00A51B39"/>
    <w:rsid w:val="00A51C7A"/>
    <w:rsid w:val="00A51CDD"/>
    <w:rsid w:val="00A51DCE"/>
    <w:rsid w:val="00A52143"/>
    <w:rsid w:val="00A52275"/>
    <w:rsid w:val="00A5279C"/>
    <w:rsid w:val="00A528EB"/>
    <w:rsid w:val="00A5292F"/>
    <w:rsid w:val="00A52A76"/>
    <w:rsid w:val="00A52AB0"/>
    <w:rsid w:val="00A52BCB"/>
    <w:rsid w:val="00A52C35"/>
    <w:rsid w:val="00A52D24"/>
    <w:rsid w:val="00A52F9D"/>
    <w:rsid w:val="00A530DE"/>
    <w:rsid w:val="00A534E6"/>
    <w:rsid w:val="00A538C8"/>
    <w:rsid w:val="00A539BE"/>
    <w:rsid w:val="00A539F4"/>
    <w:rsid w:val="00A53A1D"/>
    <w:rsid w:val="00A53AD4"/>
    <w:rsid w:val="00A53B77"/>
    <w:rsid w:val="00A53CCF"/>
    <w:rsid w:val="00A53DA8"/>
    <w:rsid w:val="00A54071"/>
    <w:rsid w:val="00A5422E"/>
    <w:rsid w:val="00A542E1"/>
    <w:rsid w:val="00A54557"/>
    <w:rsid w:val="00A545A2"/>
    <w:rsid w:val="00A5491F"/>
    <w:rsid w:val="00A54A66"/>
    <w:rsid w:val="00A54AEA"/>
    <w:rsid w:val="00A54BFC"/>
    <w:rsid w:val="00A54E66"/>
    <w:rsid w:val="00A54F4C"/>
    <w:rsid w:val="00A55228"/>
    <w:rsid w:val="00A5523F"/>
    <w:rsid w:val="00A55333"/>
    <w:rsid w:val="00A55351"/>
    <w:rsid w:val="00A5536D"/>
    <w:rsid w:val="00A55393"/>
    <w:rsid w:val="00A553BB"/>
    <w:rsid w:val="00A553BF"/>
    <w:rsid w:val="00A5541C"/>
    <w:rsid w:val="00A55457"/>
    <w:rsid w:val="00A55507"/>
    <w:rsid w:val="00A55549"/>
    <w:rsid w:val="00A555B1"/>
    <w:rsid w:val="00A555B4"/>
    <w:rsid w:val="00A55655"/>
    <w:rsid w:val="00A55741"/>
    <w:rsid w:val="00A55780"/>
    <w:rsid w:val="00A557FC"/>
    <w:rsid w:val="00A559A4"/>
    <w:rsid w:val="00A55A49"/>
    <w:rsid w:val="00A55BAB"/>
    <w:rsid w:val="00A55CC0"/>
    <w:rsid w:val="00A55D69"/>
    <w:rsid w:val="00A55DD1"/>
    <w:rsid w:val="00A55E36"/>
    <w:rsid w:val="00A55EE4"/>
    <w:rsid w:val="00A56320"/>
    <w:rsid w:val="00A56393"/>
    <w:rsid w:val="00A566A0"/>
    <w:rsid w:val="00A56752"/>
    <w:rsid w:val="00A5675D"/>
    <w:rsid w:val="00A56EE7"/>
    <w:rsid w:val="00A5713F"/>
    <w:rsid w:val="00A572C2"/>
    <w:rsid w:val="00A572D6"/>
    <w:rsid w:val="00A575D4"/>
    <w:rsid w:val="00A57716"/>
    <w:rsid w:val="00A5774A"/>
    <w:rsid w:val="00A57759"/>
    <w:rsid w:val="00A57879"/>
    <w:rsid w:val="00A57A1C"/>
    <w:rsid w:val="00A57C94"/>
    <w:rsid w:val="00A57DFF"/>
    <w:rsid w:val="00A57E22"/>
    <w:rsid w:val="00A57F1B"/>
    <w:rsid w:val="00A605BE"/>
    <w:rsid w:val="00A605C4"/>
    <w:rsid w:val="00A60734"/>
    <w:rsid w:val="00A6082B"/>
    <w:rsid w:val="00A6090A"/>
    <w:rsid w:val="00A60B3C"/>
    <w:rsid w:val="00A60C3C"/>
    <w:rsid w:val="00A60C93"/>
    <w:rsid w:val="00A61203"/>
    <w:rsid w:val="00A612A1"/>
    <w:rsid w:val="00A61326"/>
    <w:rsid w:val="00A61333"/>
    <w:rsid w:val="00A614F4"/>
    <w:rsid w:val="00A61A13"/>
    <w:rsid w:val="00A61CB1"/>
    <w:rsid w:val="00A61E07"/>
    <w:rsid w:val="00A61EF6"/>
    <w:rsid w:val="00A61F5E"/>
    <w:rsid w:val="00A61FC2"/>
    <w:rsid w:val="00A620B2"/>
    <w:rsid w:val="00A6226D"/>
    <w:rsid w:val="00A62283"/>
    <w:rsid w:val="00A62745"/>
    <w:rsid w:val="00A62821"/>
    <w:rsid w:val="00A6286B"/>
    <w:rsid w:val="00A628C0"/>
    <w:rsid w:val="00A628D4"/>
    <w:rsid w:val="00A62982"/>
    <w:rsid w:val="00A62B8E"/>
    <w:rsid w:val="00A62D07"/>
    <w:rsid w:val="00A62DD4"/>
    <w:rsid w:val="00A62E5E"/>
    <w:rsid w:val="00A62EFB"/>
    <w:rsid w:val="00A62F16"/>
    <w:rsid w:val="00A6315C"/>
    <w:rsid w:val="00A631BF"/>
    <w:rsid w:val="00A632A1"/>
    <w:rsid w:val="00A6332E"/>
    <w:rsid w:val="00A63355"/>
    <w:rsid w:val="00A633FC"/>
    <w:rsid w:val="00A6360E"/>
    <w:rsid w:val="00A637CB"/>
    <w:rsid w:val="00A6387B"/>
    <w:rsid w:val="00A639EC"/>
    <w:rsid w:val="00A63B81"/>
    <w:rsid w:val="00A63C16"/>
    <w:rsid w:val="00A63E40"/>
    <w:rsid w:val="00A64644"/>
    <w:rsid w:val="00A646C7"/>
    <w:rsid w:val="00A64734"/>
    <w:rsid w:val="00A6475F"/>
    <w:rsid w:val="00A64774"/>
    <w:rsid w:val="00A647DF"/>
    <w:rsid w:val="00A6486A"/>
    <w:rsid w:val="00A649E5"/>
    <w:rsid w:val="00A649F1"/>
    <w:rsid w:val="00A64BC0"/>
    <w:rsid w:val="00A64BD6"/>
    <w:rsid w:val="00A64CA4"/>
    <w:rsid w:val="00A64DBF"/>
    <w:rsid w:val="00A64E20"/>
    <w:rsid w:val="00A650B9"/>
    <w:rsid w:val="00A650FE"/>
    <w:rsid w:val="00A65252"/>
    <w:rsid w:val="00A65274"/>
    <w:rsid w:val="00A652F9"/>
    <w:rsid w:val="00A653A8"/>
    <w:rsid w:val="00A653FE"/>
    <w:rsid w:val="00A654A8"/>
    <w:rsid w:val="00A6556F"/>
    <w:rsid w:val="00A65683"/>
    <w:rsid w:val="00A656E6"/>
    <w:rsid w:val="00A657BB"/>
    <w:rsid w:val="00A657EE"/>
    <w:rsid w:val="00A65819"/>
    <w:rsid w:val="00A65A62"/>
    <w:rsid w:val="00A65E23"/>
    <w:rsid w:val="00A660D9"/>
    <w:rsid w:val="00A66132"/>
    <w:rsid w:val="00A661BB"/>
    <w:rsid w:val="00A66344"/>
    <w:rsid w:val="00A66436"/>
    <w:rsid w:val="00A66457"/>
    <w:rsid w:val="00A66646"/>
    <w:rsid w:val="00A66701"/>
    <w:rsid w:val="00A66739"/>
    <w:rsid w:val="00A668B4"/>
    <w:rsid w:val="00A66A2E"/>
    <w:rsid w:val="00A66A4C"/>
    <w:rsid w:val="00A66BB8"/>
    <w:rsid w:val="00A66D32"/>
    <w:rsid w:val="00A66D47"/>
    <w:rsid w:val="00A66E8F"/>
    <w:rsid w:val="00A670B6"/>
    <w:rsid w:val="00A670C9"/>
    <w:rsid w:val="00A67202"/>
    <w:rsid w:val="00A672C7"/>
    <w:rsid w:val="00A67319"/>
    <w:rsid w:val="00A674EC"/>
    <w:rsid w:val="00A67500"/>
    <w:rsid w:val="00A67899"/>
    <w:rsid w:val="00A678B9"/>
    <w:rsid w:val="00A678CD"/>
    <w:rsid w:val="00A67BB1"/>
    <w:rsid w:val="00A67C6F"/>
    <w:rsid w:val="00A67CE8"/>
    <w:rsid w:val="00A67E19"/>
    <w:rsid w:val="00A67E32"/>
    <w:rsid w:val="00A67E82"/>
    <w:rsid w:val="00A70043"/>
    <w:rsid w:val="00A700CD"/>
    <w:rsid w:val="00A701A1"/>
    <w:rsid w:val="00A701A9"/>
    <w:rsid w:val="00A70245"/>
    <w:rsid w:val="00A7026F"/>
    <w:rsid w:val="00A702AE"/>
    <w:rsid w:val="00A7042C"/>
    <w:rsid w:val="00A704BC"/>
    <w:rsid w:val="00A7081C"/>
    <w:rsid w:val="00A70855"/>
    <w:rsid w:val="00A7086B"/>
    <w:rsid w:val="00A70885"/>
    <w:rsid w:val="00A70894"/>
    <w:rsid w:val="00A70903"/>
    <w:rsid w:val="00A7097D"/>
    <w:rsid w:val="00A70A4E"/>
    <w:rsid w:val="00A70AF1"/>
    <w:rsid w:val="00A70B9C"/>
    <w:rsid w:val="00A70BCF"/>
    <w:rsid w:val="00A70C85"/>
    <w:rsid w:val="00A70CB1"/>
    <w:rsid w:val="00A70D51"/>
    <w:rsid w:val="00A70E64"/>
    <w:rsid w:val="00A70FCB"/>
    <w:rsid w:val="00A70FD3"/>
    <w:rsid w:val="00A71029"/>
    <w:rsid w:val="00A7108A"/>
    <w:rsid w:val="00A710FF"/>
    <w:rsid w:val="00A711BC"/>
    <w:rsid w:val="00A7120D"/>
    <w:rsid w:val="00A7122B"/>
    <w:rsid w:val="00A71233"/>
    <w:rsid w:val="00A7156B"/>
    <w:rsid w:val="00A7196A"/>
    <w:rsid w:val="00A7196D"/>
    <w:rsid w:val="00A7199C"/>
    <w:rsid w:val="00A71A48"/>
    <w:rsid w:val="00A71CCE"/>
    <w:rsid w:val="00A71D7A"/>
    <w:rsid w:val="00A71E4D"/>
    <w:rsid w:val="00A72007"/>
    <w:rsid w:val="00A722ED"/>
    <w:rsid w:val="00A72439"/>
    <w:rsid w:val="00A724E9"/>
    <w:rsid w:val="00A728BC"/>
    <w:rsid w:val="00A72ADB"/>
    <w:rsid w:val="00A72B34"/>
    <w:rsid w:val="00A72D18"/>
    <w:rsid w:val="00A72EB4"/>
    <w:rsid w:val="00A72F83"/>
    <w:rsid w:val="00A72FBD"/>
    <w:rsid w:val="00A73095"/>
    <w:rsid w:val="00A730F0"/>
    <w:rsid w:val="00A732E6"/>
    <w:rsid w:val="00A733E7"/>
    <w:rsid w:val="00A734E3"/>
    <w:rsid w:val="00A73523"/>
    <w:rsid w:val="00A736EA"/>
    <w:rsid w:val="00A73B8F"/>
    <w:rsid w:val="00A73DD5"/>
    <w:rsid w:val="00A73E12"/>
    <w:rsid w:val="00A73E30"/>
    <w:rsid w:val="00A73E73"/>
    <w:rsid w:val="00A74076"/>
    <w:rsid w:val="00A74169"/>
    <w:rsid w:val="00A74317"/>
    <w:rsid w:val="00A743FE"/>
    <w:rsid w:val="00A74604"/>
    <w:rsid w:val="00A74711"/>
    <w:rsid w:val="00A74BA9"/>
    <w:rsid w:val="00A74CC2"/>
    <w:rsid w:val="00A74E2A"/>
    <w:rsid w:val="00A75182"/>
    <w:rsid w:val="00A751DE"/>
    <w:rsid w:val="00A751F6"/>
    <w:rsid w:val="00A7522E"/>
    <w:rsid w:val="00A752A3"/>
    <w:rsid w:val="00A75375"/>
    <w:rsid w:val="00A75675"/>
    <w:rsid w:val="00A757F4"/>
    <w:rsid w:val="00A758E1"/>
    <w:rsid w:val="00A75A05"/>
    <w:rsid w:val="00A75B17"/>
    <w:rsid w:val="00A75DD5"/>
    <w:rsid w:val="00A75E5B"/>
    <w:rsid w:val="00A76106"/>
    <w:rsid w:val="00A76107"/>
    <w:rsid w:val="00A7617A"/>
    <w:rsid w:val="00A76216"/>
    <w:rsid w:val="00A764F8"/>
    <w:rsid w:val="00A76628"/>
    <w:rsid w:val="00A76715"/>
    <w:rsid w:val="00A76A10"/>
    <w:rsid w:val="00A76B28"/>
    <w:rsid w:val="00A76B67"/>
    <w:rsid w:val="00A76D44"/>
    <w:rsid w:val="00A77163"/>
    <w:rsid w:val="00A77332"/>
    <w:rsid w:val="00A773EA"/>
    <w:rsid w:val="00A774C5"/>
    <w:rsid w:val="00A775A3"/>
    <w:rsid w:val="00A775B1"/>
    <w:rsid w:val="00A7760C"/>
    <w:rsid w:val="00A77622"/>
    <w:rsid w:val="00A776C1"/>
    <w:rsid w:val="00A77A60"/>
    <w:rsid w:val="00A77C07"/>
    <w:rsid w:val="00A77C9D"/>
    <w:rsid w:val="00A77F5B"/>
    <w:rsid w:val="00A77FA2"/>
    <w:rsid w:val="00A800CA"/>
    <w:rsid w:val="00A8011C"/>
    <w:rsid w:val="00A8014F"/>
    <w:rsid w:val="00A8015D"/>
    <w:rsid w:val="00A8024F"/>
    <w:rsid w:val="00A804F6"/>
    <w:rsid w:val="00A80531"/>
    <w:rsid w:val="00A805A9"/>
    <w:rsid w:val="00A805F6"/>
    <w:rsid w:val="00A808A0"/>
    <w:rsid w:val="00A808E9"/>
    <w:rsid w:val="00A80902"/>
    <w:rsid w:val="00A80966"/>
    <w:rsid w:val="00A80A68"/>
    <w:rsid w:val="00A80BC9"/>
    <w:rsid w:val="00A80C3B"/>
    <w:rsid w:val="00A80D51"/>
    <w:rsid w:val="00A80D9A"/>
    <w:rsid w:val="00A80DD0"/>
    <w:rsid w:val="00A80F06"/>
    <w:rsid w:val="00A80F3C"/>
    <w:rsid w:val="00A81059"/>
    <w:rsid w:val="00A8117B"/>
    <w:rsid w:val="00A811BA"/>
    <w:rsid w:val="00A8122F"/>
    <w:rsid w:val="00A81344"/>
    <w:rsid w:val="00A815DA"/>
    <w:rsid w:val="00A816EC"/>
    <w:rsid w:val="00A817F7"/>
    <w:rsid w:val="00A8199A"/>
    <w:rsid w:val="00A81ACB"/>
    <w:rsid w:val="00A81B45"/>
    <w:rsid w:val="00A81B97"/>
    <w:rsid w:val="00A81D2C"/>
    <w:rsid w:val="00A81F3C"/>
    <w:rsid w:val="00A81FBC"/>
    <w:rsid w:val="00A82086"/>
    <w:rsid w:val="00A82171"/>
    <w:rsid w:val="00A823F0"/>
    <w:rsid w:val="00A82776"/>
    <w:rsid w:val="00A827FA"/>
    <w:rsid w:val="00A82851"/>
    <w:rsid w:val="00A82C2B"/>
    <w:rsid w:val="00A82CF2"/>
    <w:rsid w:val="00A82D67"/>
    <w:rsid w:val="00A82EE5"/>
    <w:rsid w:val="00A82F62"/>
    <w:rsid w:val="00A832BA"/>
    <w:rsid w:val="00A832CB"/>
    <w:rsid w:val="00A83481"/>
    <w:rsid w:val="00A83527"/>
    <w:rsid w:val="00A8362B"/>
    <w:rsid w:val="00A83B75"/>
    <w:rsid w:val="00A83F82"/>
    <w:rsid w:val="00A83F9E"/>
    <w:rsid w:val="00A840D7"/>
    <w:rsid w:val="00A8435B"/>
    <w:rsid w:val="00A84371"/>
    <w:rsid w:val="00A8450C"/>
    <w:rsid w:val="00A84741"/>
    <w:rsid w:val="00A8476A"/>
    <w:rsid w:val="00A84859"/>
    <w:rsid w:val="00A84894"/>
    <w:rsid w:val="00A848E7"/>
    <w:rsid w:val="00A849B0"/>
    <w:rsid w:val="00A849CB"/>
    <w:rsid w:val="00A84C26"/>
    <w:rsid w:val="00A84CD1"/>
    <w:rsid w:val="00A84CF2"/>
    <w:rsid w:val="00A84CFB"/>
    <w:rsid w:val="00A84DAB"/>
    <w:rsid w:val="00A84DAF"/>
    <w:rsid w:val="00A84E4F"/>
    <w:rsid w:val="00A84E86"/>
    <w:rsid w:val="00A84EB7"/>
    <w:rsid w:val="00A85120"/>
    <w:rsid w:val="00A851A8"/>
    <w:rsid w:val="00A85355"/>
    <w:rsid w:val="00A85360"/>
    <w:rsid w:val="00A855FB"/>
    <w:rsid w:val="00A85747"/>
    <w:rsid w:val="00A858AD"/>
    <w:rsid w:val="00A85AB0"/>
    <w:rsid w:val="00A85B49"/>
    <w:rsid w:val="00A85E1A"/>
    <w:rsid w:val="00A85F44"/>
    <w:rsid w:val="00A85F8C"/>
    <w:rsid w:val="00A86016"/>
    <w:rsid w:val="00A86086"/>
    <w:rsid w:val="00A861AD"/>
    <w:rsid w:val="00A8648D"/>
    <w:rsid w:val="00A864EA"/>
    <w:rsid w:val="00A865D3"/>
    <w:rsid w:val="00A866B5"/>
    <w:rsid w:val="00A86A24"/>
    <w:rsid w:val="00A86B88"/>
    <w:rsid w:val="00A86CBD"/>
    <w:rsid w:val="00A86D0D"/>
    <w:rsid w:val="00A86DE1"/>
    <w:rsid w:val="00A86E2F"/>
    <w:rsid w:val="00A86EA1"/>
    <w:rsid w:val="00A86F6E"/>
    <w:rsid w:val="00A87007"/>
    <w:rsid w:val="00A870EB"/>
    <w:rsid w:val="00A871C0"/>
    <w:rsid w:val="00A873FB"/>
    <w:rsid w:val="00A87522"/>
    <w:rsid w:val="00A875F2"/>
    <w:rsid w:val="00A8762E"/>
    <w:rsid w:val="00A8781F"/>
    <w:rsid w:val="00A878B3"/>
    <w:rsid w:val="00A8799E"/>
    <w:rsid w:val="00A87C18"/>
    <w:rsid w:val="00A87C9F"/>
    <w:rsid w:val="00A87FA3"/>
    <w:rsid w:val="00A87FC0"/>
    <w:rsid w:val="00A87FE4"/>
    <w:rsid w:val="00A87FEE"/>
    <w:rsid w:val="00A9019D"/>
    <w:rsid w:val="00A9055C"/>
    <w:rsid w:val="00A90594"/>
    <w:rsid w:val="00A90595"/>
    <w:rsid w:val="00A905EE"/>
    <w:rsid w:val="00A90603"/>
    <w:rsid w:val="00A9071E"/>
    <w:rsid w:val="00A907E0"/>
    <w:rsid w:val="00A90862"/>
    <w:rsid w:val="00A90912"/>
    <w:rsid w:val="00A90927"/>
    <w:rsid w:val="00A90AB5"/>
    <w:rsid w:val="00A90C27"/>
    <w:rsid w:val="00A90CFA"/>
    <w:rsid w:val="00A90F7E"/>
    <w:rsid w:val="00A910FC"/>
    <w:rsid w:val="00A91131"/>
    <w:rsid w:val="00A91430"/>
    <w:rsid w:val="00A915BD"/>
    <w:rsid w:val="00A91601"/>
    <w:rsid w:val="00A9164D"/>
    <w:rsid w:val="00A9180C"/>
    <w:rsid w:val="00A918A3"/>
    <w:rsid w:val="00A918B9"/>
    <w:rsid w:val="00A91990"/>
    <w:rsid w:val="00A919AE"/>
    <w:rsid w:val="00A91AD6"/>
    <w:rsid w:val="00A91BEF"/>
    <w:rsid w:val="00A91FD4"/>
    <w:rsid w:val="00A9204E"/>
    <w:rsid w:val="00A921C9"/>
    <w:rsid w:val="00A9230E"/>
    <w:rsid w:val="00A92326"/>
    <w:rsid w:val="00A9263E"/>
    <w:rsid w:val="00A92A65"/>
    <w:rsid w:val="00A92ADE"/>
    <w:rsid w:val="00A92E1F"/>
    <w:rsid w:val="00A93036"/>
    <w:rsid w:val="00A93140"/>
    <w:rsid w:val="00A931D9"/>
    <w:rsid w:val="00A93589"/>
    <w:rsid w:val="00A93617"/>
    <w:rsid w:val="00A936AF"/>
    <w:rsid w:val="00A93763"/>
    <w:rsid w:val="00A93BE7"/>
    <w:rsid w:val="00A93D10"/>
    <w:rsid w:val="00A93D74"/>
    <w:rsid w:val="00A93E83"/>
    <w:rsid w:val="00A93EB4"/>
    <w:rsid w:val="00A93F4A"/>
    <w:rsid w:val="00A94619"/>
    <w:rsid w:val="00A94ACA"/>
    <w:rsid w:val="00A94C17"/>
    <w:rsid w:val="00A94D09"/>
    <w:rsid w:val="00A94F9E"/>
    <w:rsid w:val="00A94FC0"/>
    <w:rsid w:val="00A950BC"/>
    <w:rsid w:val="00A95208"/>
    <w:rsid w:val="00A95410"/>
    <w:rsid w:val="00A9578F"/>
    <w:rsid w:val="00A95882"/>
    <w:rsid w:val="00A95953"/>
    <w:rsid w:val="00A9597B"/>
    <w:rsid w:val="00A95B75"/>
    <w:rsid w:val="00A95C67"/>
    <w:rsid w:val="00A95C68"/>
    <w:rsid w:val="00A95CCB"/>
    <w:rsid w:val="00A95DD2"/>
    <w:rsid w:val="00A95F66"/>
    <w:rsid w:val="00A9642E"/>
    <w:rsid w:val="00A967F4"/>
    <w:rsid w:val="00A9693C"/>
    <w:rsid w:val="00A969D3"/>
    <w:rsid w:val="00A96B3D"/>
    <w:rsid w:val="00A96DA2"/>
    <w:rsid w:val="00A9707E"/>
    <w:rsid w:val="00A9711E"/>
    <w:rsid w:val="00A97151"/>
    <w:rsid w:val="00A97185"/>
    <w:rsid w:val="00A971EA"/>
    <w:rsid w:val="00A97232"/>
    <w:rsid w:val="00A9725B"/>
    <w:rsid w:val="00A972CF"/>
    <w:rsid w:val="00A9738F"/>
    <w:rsid w:val="00A973B4"/>
    <w:rsid w:val="00A97470"/>
    <w:rsid w:val="00A974A7"/>
    <w:rsid w:val="00A97503"/>
    <w:rsid w:val="00A97523"/>
    <w:rsid w:val="00A97658"/>
    <w:rsid w:val="00A976A6"/>
    <w:rsid w:val="00A976C3"/>
    <w:rsid w:val="00A977F6"/>
    <w:rsid w:val="00A97808"/>
    <w:rsid w:val="00A97979"/>
    <w:rsid w:val="00A979D6"/>
    <w:rsid w:val="00A97A92"/>
    <w:rsid w:val="00A97D20"/>
    <w:rsid w:val="00A97D52"/>
    <w:rsid w:val="00A97E1C"/>
    <w:rsid w:val="00AA002D"/>
    <w:rsid w:val="00AA0055"/>
    <w:rsid w:val="00AA00E9"/>
    <w:rsid w:val="00AA014F"/>
    <w:rsid w:val="00AA018E"/>
    <w:rsid w:val="00AA01F8"/>
    <w:rsid w:val="00AA0232"/>
    <w:rsid w:val="00AA05AE"/>
    <w:rsid w:val="00AA0688"/>
    <w:rsid w:val="00AA081E"/>
    <w:rsid w:val="00AA09D6"/>
    <w:rsid w:val="00AA0B1D"/>
    <w:rsid w:val="00AA0B74"/>
    <w:rsid w:val="00AA0B7F"/>
    <w:rsid w:val="00AA0C73"/>
    <w:rsid w:val="00AA0CB0"/>
    <w:rsid w:val="00AA11D8"/>
    <w:rsid w:val="00AA1247"/>
    <w:rsid w:val="00AA1249"/>
    <w:rsid w:val="00AA13E9"/>
    <w:rsid w:val="00AA1798"/>
    <w:rsid w:val="00AA19DE"/>
    <w:rsid w:val="00AA19F3"/>
    <w:rsid w:val="00AA1A3D"/>
    <w:rsid w:val="00AA1E42"/>
    <w:rsid w:val="00AA1E95"/>
    <w:rsid w:val="00AA22E7"/>
    <w:rsid w:val="00AA2405"/>
    <w:rsid w:val="00AA2414"/>
    <w:rsid w:val="00AA2669"/>
    <w:rsid w:val="00AA26BF"/>
    <w:rsid w:val="00AA2719"/>
    <w:rsid w:val="00AA2754"/>
    <w:rsid w:val="00AA27BF"/>
    <w:rsid w:val="00AA281C"/>
    <w:rsid w:val="00AA28BD"/>
    <w:rsid w:val="00AA2B2B"/>
    <w:rsid w:val="00AA2BFA"/>
    <w:rsid w:val="00AA2CAB"/>
    <w:rsid w:val="00AA3313"/>
    <w:rsid w:val="00AA3382"/>
    <w:rsid w:val="00AA3398"/>
    <w:rsid w:val="00AA349F"/>
    <w:rsid w:val="00AA34DB"/>
    <w:rsid w:val="00AA37BA"/>
    <w:rsid w:val="00AA3859"/>
    <w:rsid w:val="00AA3CF9"/>
    <w:rsid w:val="00AA3D34"/>
    <w:rsid w:val="00AA3D81"/>
    <w:rsid w:val="00AA3D86"/>
    <w:rsid w:val="00AA3DC5"/>
    <w:rsid w:val="00AA3FFC"/>
    <w:rsid w:val="00AA4216"/>
    <w:rsid w:val="00AA4811"/>
    <w:rsid w:val="00AA48FA"/>
    <w:rsid w:val="00AA495E"/>
    <w:rsid w:val="00AA4AC7"/>
    <w:rsid w:val="00AA4BCA"/>
    <w:rsid w:val="00AA4BCE"/>
    <w:rsid w:val="00AA4D45"/>
    <w:rsid w:val="00AA4F50"/>
    <w:rsid w:val="00AA52A1"/>
    <w:rsid w:val="00AA5323"/>
    <w:rsid w:val="00AA546F"/>
    <w:rsid w:val="00AA5539"/>
    <w:rsid w:val="00AA556D"/>
    <w:rsid w:val="00AA5654"/>
    <w:rsid w:val="00AA57AC"/>
    <w:rsid w:val="00AA57E3"/>
    <w:rsid w:val="00AA59C1"/>
    <w:rsid w:val="00AA5A62"/>
    <w:rsid w:val="00AA5C11"/>
    <w:rsid w:val="00AA5D0A"/>
    <w:rsid w:val="00AA5D8A"/>
    <w:rsid w:val="00AA60D6"/>
    <w:rsid w:val="00AA615F"/>
    <w:rsid w:val="00AA616F"/>
    <w:rsid w:val="00AA631F"/>
    <w:rsid w:val="00AA66A6"/>
    <w:rsid w:val="00AA674A"/>
    <w:rsid w:val="00AA6866"/>
    <w:rsid w:val="00AA6899"/>
    <w:rsid w:val="00AA69FC"/>
    <w:rsid w:val="00AA6A0C"/>
    <w:rsid w:val="00AA6A4C"/>
    <w:rsid w:val="00AA6B25"/>
    <w:rsid w:val="00AA6BA1"/>
    <w:rsid w:val="00AA6D69"/>
    <w:rsid w:val="00AA707F"/>
    <w:rsid w:val="00AA71D0"/>
    <w:rsid w:val="00AA72D6"/>
    <w:rsid w:val="00AA73E2"/>
    <w:rsid w:val="00AA74A3"/>
    <w:rsid w:val="00AA759F"/>
    <w:rsid w:val="00AA764C"/>
    <w:rsid w:val="00AA7865"/>
    <w:rsid w:val="00AA7871"/>
    <w:rsid w:val="00AA7C17"/>
    <w:rsid w:val="00AA7DC8"/>
    <w:rsid w:val="00AA7EEE"/>
    <w:rsid w:val="00AB0028"/>
    <w:rsid w:val="00AB00B5"/>
    <w:rsid w:val="00AB01B9"/>
    <w:rsid w:val="00AB0372"/>
    <w:rsid w:val="00AB03CE"/>
    <w:rsid w:val="00AB03DF"/>
    <w:rsid w:val="00AB0429"/>
    <w:rsid w:val="00AB04F4"/>
    <w:rsid w:val="00AB053F"/>
    <w:rsid w:val="00AB056F"/>
    <w:rsid w:val="00AB0571"/>
    <w:rsid w:val="00AB06D5"/>
    <w:rsid w:val="00AB0860"/>
    <w:rsid w:val="00AB0873"/>
    <w:rsid w:val="00AB08CD"/>
    <w:rsid w:val="00AB092F"/>
    <w:rsid w:val="00AB0B42"/>
    <w:rsid w:val="00AB0BF9"/>
    <w:rsid w:val="00AB0CED"/>
    <w:rsid w:val="00AB0E0E"/>
    <w:rsid w:val="00AB1234"/>
    <w:rsid w:val="00AB12E5"/>
    <w:rsid w:val="00AB144E"/>
    <w:rsid w:val="00AB1463"/>
    <w:rsid w:val="00AB1471"/>
    <w:rsid w:val="00AB147D"/>
    <w:rsid w:val="00AB1558"/>
    <w:rsid w:val="00AB15A1"/>
    <w:rsid w:val="00AB1674"/>
    <w:rsid w:val="00AB1814"/>
    <w:rsid w:val="00AB19C0"/>
    <w:rsid w:val="00AB19CC"/>
    <w:rsid w:val="00AB19EA"/>
    <w:rsid w:val="00AB1A91"/>
    <w:rsid w:val="00AB1C4A"/>
    <w:rsid w:val="00AB1E20"/>
    <w:rsid w:val="00AB1EB8"/>
    <w:rsid w:val="00AB2064"/>
    <w:rsid w:val="00AB2089"/>
    <w:rsid w:val="00AB20C6"/>
    <w:rsid w:val="00AB21C7"/>
    <w:rsid w:val="00AB2262"/>
    <w:rsid w:val="00AB227F"/>
    <w:rsid w:val="00AB228B"/>
    <w:rsid w:val="00AB24B4"/>
    <w:rsid w:val="00AB24FA"/>
    <w:rsid w:val="00AB2507"/>
    <w:rsid w:val="00AB256D"/>
    <w:rsid w:val="00AB262E"/>
    <w:rsid w:val="00AB26AE"/>
    <w:rsid w:val="00AB26D1"/>
    <w:rsid w:val="00AB2781"/>
    <w:rsid w:val="00AB2785"/>
    <w:rsid w:val="00AB27B1"/>
    <w:rsid w:val="00AB27B7"/>
    <w:rsid w:val="00AB28DA"/>
    <w:rsid w:val="00AB2C49"/>
    <w:rsid w:val="00AB2ED5"/>
    <w:rsid w:val="00AB2EF9"/>
    <w:rsid w:val="00AB2FCA"/>
    <w:rsid w:val="00AB3062"/>
    <w:rsid w:val="00AB3291"/>
    <w:rsid w:val="00AB338B"/>
    <w:rsid w:val="00AB340C"/>
    <w:rsid w:val="00AB3617"/>
    <w:rsid w:val="00AB364B"/>
    <w:rsid w:val="00AB36C6"/>
    <w:rsid w:val="00AB3744"/>
    <w:rsid w:val="00AB38FB"/>
    <w:rsid w:val="00AB3A5A"/>
    <w:rsid w:val="00AB3A92"/>
    <w:rsid w:val="00AB3B87"/>
    <w:rsid w:val="00AB3BDC"/>
    <w:rsid w:val="00AB3C91"/>
    <w:rsid w:val="00AB3EBE"/>
    <w:rsid w:val="00AB3ED6"/>
    <w:rsid w:val="00AB408C"/>
    <w:rsid w:val="00AB436B"/>
    <w:rsid w:val="00AB4487"/>
    <w:rsid w:val="00AB459A"/>
    <w:rsid w:val="00AB470E"/>
    <w:rsid w:val="00AB4A0E"/>
    <w:rsid w:val="00AB4A5F"/>
    <w:rsid w:val="00AB4A87"/>
    <w:rsid w:val="00AB4B16"/>
    <w:rsid w:val="00AB4CBE"/>
    <w:rsid w:val="00AB4E4D"/>
    <w:rsid w:val="00AB4E63"/>
    <w:rsid w:val="00AB4E95"/>
    <w:rsid w:val="00AB5170"/>
    <w:rsid w:val="00AB5227"/>
    <w:rsid w:val="00AB5340"/>
    <w:rsid w:val="00AB53FB"/>
    <w:rsid w:val="00AB5421"/>
    <w:rsid w:val="00AB542F"/>
    <w:rsid w:val="00AB56D0"/>
    <w:rsid w:val="00AB56D2"/>
    <w:rsid w:val="00AB5870"/>
    <w:rsid w:val="00AB59DB"/>
    <w:rsid w:val="00AB59FA"/>
    <w:rsid w:val="00AB5AF5"/>
    <w:rsid w:val="00AB5B7A"/>
    <w:rsid w:val="00AB5BF2"/>
    <w:rsid w:val="00AB5C73"/>
    <w:rsid w:val="00AB5D50"/>
    <w:rsid w:val="00AB5FE2"/>
    <w:rsid w:val="00AB6036"/>
    <w:rsid w:val="00AB61C4"/>
    <w:rsid w:val="00AB6211"/>
    <w:rsid w:val="00AB65DC"/>
    <w:rsid w:val="00AB66F8"/>
    <w:rsid w:val="00AB67D1"/>
    <w:rsid w:val="00AB6847"/>
    <w:rsid w:val="00AB6939"/>
    <w:rsid w:val="00AB6AD6"/>
    <w:rsid w:val="00AB6B06"/>
    <w:rsid w:val="00AB6B24"/>
    <w:rsid w:val="00AB6CC2"/>
    <w:rsid w:val="00AB6D21"/>
    <w:rsid w:val="00AB704B"/>
    <w:rsid w:val="00AB7212"/>
    <w:rsid w:val="00AB7405"/>
    <w:rsid w:val="00AB76E2"/>
    <w:rsid w:val="00AB77CE"/>
    <w:rsid w:val="00AB77DE"/>
    <w:rsid w:val="00AB78C1"/>
    <w:rsid w:val="00AB78F5"/>
    <w:rsid w:val="00AB7A5D"/>
    <w:rsid w:val="00AB7AEE"/>
    <w:rsid w:val="00AB7B8E"/>
    <w:rsid w:val="00AB7BFC"/>
    <w:rsid w:val="00AB7C39"/>
    <w:rsid w:val="00AB7E12"/>
    <w:rsid w:val="00AB7E43"/>
    <w:rsid w:val="00AB7E5F"/>
    <w:rsid w:val="00AB7FF6"/>
    <w:rsid w:val="00AC0025"/>
    <w:rsid w:val="00AC00DD"/>
    <w:rsid w:val="00AC0160"/>
    <w:rsid w:val="00AC01D9"/>
    <w:rsid w:val="00AC023A"/>
    <w:rsid w:val="00AC034F"/>
    <w:rsid w:val="00AC04C4"/>
    <w:rsid w:val="00AC0592"/>
    <w:rsid w:val="00AC0713"/>
    <w:rsid w:val="00AC071C"/>
    <w:rsid w:val="00AC0B1E"/>
    <w:rsid w:val="00AC0BDF"/>
    <w:rsid w:val="00AC0D20"/>
    <w:rsid w:val="00AC0E26"/>
    <w:rsid w:val="00AC0E59"/>
    <w:rsid w:val="00AC10D4"/>
    <w:rsid w:val="00AC1116"/>
    <w:rsid w:val="00AC126D"/>
    <w:rsid w:val="00AC133B"/>
    <w:rsid w:val="00AC13C5"/>
    <w:rsid w:val="00AC141E"/>
    <w:rsid w:val="00AC144B"/>
    <w:rsid w:val="00AC1574"/>
    <w:rsid w:val="00AC1584"/>
    <w:rsid w:val="00AC1808"/>
    <w:rsid w:val="00AC19B9"/>
    <w:rsid w:val="00AC1A45"/>
    <w:rsid w:val="00AC1B12"/>
    <w:rsid w:val="00AC1C3A"/>
    <w:rsid w:val="00AC1C58"/>
    <w:rsid w:val="00AC1F19"/>
    <w:rsid w:val="00AC1F4E"/>
    <w:rsid w:val="00AC1F7D"/>
    <w:rsid w:val="00AC23AE"/>
    <w:rsid w:val="00AC2479"/>
    <w:rsid w:val="00AC2737"/>
    <w:rsid w:val="00AC278F"/>
    <w:rsid w:val="00AC2909"/>
    <w:rsid w:val="00AC290C"/>
    <w:rsid w:val="00AC298D"/>
    <w:rsid w:val="00AC2A08"/>
    <w:rsid w:val="00AC2BA7"/>
    <w:rsid w:val="00AC2BD2"/>
    <w:rsid w:val="00AC2D73"/>
    <w:rsid w:val="00AC2E75"/>
    <w:rsid w:val="00AC3039"/>
    <w:rsid w:val="00AC315D"/>
    <w:rsid w:val="00AC34C3"/>
    <w:rsid w:val="00AC368F"/>
    <w:rsid w:val="00AC3897"/>
    <w:rsid w:val="00AC39C7"/>
    <w:rsid w:val="00AC3A85"/>
    <w:rsid w:val="00AC3BB0"/>
    <w:rsid w:val="00AC3F57"/>
    <w:rsid w:val="00AC40EB"/>
    <w:rsid w:val="00AC410C"/>
    <w:rsid w:val="00AC41A4"/>
    <w:rsid w:val="00AC4223"/>
    <w:rsid w:val="00AC42EE"/>
    <w:rsid w:val="00AC443B"/>
    <w:rsid w:val="00AC4492"/>
    <w:rsid w:val="00AC4639"/>
    <w:rsid w:val="00AC467B"/>
    <w:rsid w:val="00AC4695"/>
    <w:rsid w:val="00AC4820"/>
    <w:rsid w:val="00AC4961"/>
    <w:rsid w:val="00AC4BD2"/>
    <w:rsid w:val="00AC4E20"/>
    <w:rsid w:val="00AC50FE"/>
    <w:rsid w:val="00AC51E3"/>
    <w:rsid w:val="00AC52BC"/>
    <w:rsid w:val="00AC54A4"/>
    <w:rsid w:val="00AC56CD"/>
    <w:rsid w:val="00AC58E4"/>
    <w:rsid w:val="00AC5998"/>
    <w:rsid w:val="00AC59AD"/>
    <w:rsid w:val="00AC5A75"/>
    <w:rsid w:val="00AC5B37"/>
    <w:rsid w:val="00AC5BD9"/>
    <w:rsid w:val="00AC5F24"/>
    <w:rsid w:val="00AC6098"/>
    <w:rsid w:val="00AC611B"/>
    <w:rsid w:val="00AC61F0"/>
    <w:rsid w:val="00AC6240"/>
    <w:rsid w:val="00AC624F"/>
    <w:rsid w:val="00AC63EE"/>
    <w:rsid w:val="00AC6435"/>
    <w:rsid w:val="00AC6443"/>
    <w:rsid w:val="00AC6468"/>
    <w:rsid w:val="00AC64A5"/>
    <w:rsid w:val="00AC694C"/>
    <w:rsid w:val="00AC69E0"/>
    <w:rsid w:val="00AC6AAC"/>
    <w:rsid w:val="00AC6D80"/>
    <w:rsid w:val="00AC6E0A"/>
    <w:rsid w:val="00AC6F11"/>
    <w:rsid w:val="00AC6F46"/>
    <w:rsid w:val="00AC6F62"/>
    <w:rsid w:val="00AC7121"/>
    <w:rsid w:val="00AC7160"/>
    <w:rsid w:val="00AC735D"/>
    <w:rsid w:val="00AC7394"/>
    <w:rsid w:val="00AC7499"/>
    <w:rsid w:val="00AC74EC"/>
    <w:rsid w:val="00AC7638"/>
    <w:rsid w:val="00AC769D"/>
    <w:rsid w:val="00AC778E"/>
    <w:rsid w:val="00AC7867"/>
    <w:rsid w:val="00AC789E"/>
    <w:rsid w:val="00AC7A10"/>
    <w:rsid w:val="00AC7A26"/>
    <w:rsid w:val="00AC7A85"/>
    <w:rsid w:val="00AC7D19"/>
    <w:rsid w:val="00AC7E5C"/>
    <w:rsid w:val="00AC7E79"/>
    <w:rsid w:val="00AC7F21"/>
    <w:rsid w:val="00AC7F3B"/>
    <w:rsid w:val="00AC7FE1"/>
    <w:rsid w:val="00AD00FE"/>
    <w:rsid w:val="00AD054E"/>
    <w:rsid w:val="00AD05E6"/>
    <w:rsid w:val="00AD0616"/>
    <w:rsid w:val="00AD06A3"/>
    <w:rsid w:val="00AD06EE"/>
    <w:rsid w:val="00AD0779"/>
    <w:rsid w:val="00AD07FC"/>
    <w:rsid w:val="00AD0C1E"/>
    <w:rsid w:val="00AD0F18"/>
    <w:rsid w:val="00AD0F92"/>
    <w:rsid w:val="00AD1008"/>
    <w:rsid w:val="00AD11FC"/>
    <w:rsid w:val="00AD129F"/>
    <w:rsid w:val="00AD1441"/>
    <w:rsid w:val="00AD153F"/>
    <w:rsid w:val="00AD1650"/>
    <w:rsid w:val="00AD1661"/>
    <w:rsid w:val="00AD16CC"/>
    <w:rsid w:val="00AD1775"/>
    <w:rsid w:val="00AD1846"/>
    <w:rsid w:val="00AD19C2"/>
    <w:rsid w:val="00AD1AF4"/>
    <w:rsid w:val="00AD1B14"/>
    <w:rsid w:val="00AD1FF1"/>
    <w:rsid w:val="00AD22B4"/>
    <w:rsid w:val="00AD24B4"/>
    <w:rsid w:val="00AD256F"/>
    <w:rsid w:val="00AD287B"/>
    <w:rsid w:val="00AD296E"/>
    <w:rsid w:val="00AD29BC"/>
    <w:rsid w:val="00AD29C0"/>
    <w:rsid w:val="00AD2B9B"/>
    <w:rsid w:val="00AD2D0F"/>
    <w:rsid w:val="00AD2E2B"/>
    <w:rsid w:val="00AD2E48"/>
    <w:rsid w:val="00AD2E5C"/>
    <w:rsid w:val="00AD2EAE"/>
    <w:rsid w:val="00AD3004"/>
    <w:rsid w:val="00AD312B"/>
    <w:rsid w:val="00AD324F"/>
    <w:rsid w:val="00AD3298"/>
    <w:rsid w:val="00AD32F7"/>
    <w:rsid w:val="00AD35F8"/>
    <w:rsid w:val="00AD37E7"/>
    <w:rsid w:val="00AD3821"/>
    <w:rsid w:val="00AD384E"/>
    <w:rsid w:val="00AD394D"/>
    <w:rsid w:val="00AD3A08"/>
    <w:rsid w:val="00AD3A52"/>
    <w:rsid w:val="00AD3B59"/>
    <w:rsid w:val="00AD3BD2"/>
    <w:rsid w:val="00AD3D60"/>
    <w:rsid w:val="00AD3DB1"/>
    <w:rsid w:val="00AD3E4A"/>
    <w:rsid w:val="00AD425B"/>
    <w:rsid w:val="00AD42E7"/>
    <w:rsid w:val="00AD430D"/>
    <w:rsid w:val="00AD4377"/>
    <w:rsid w:val="00AD4380"/>
    <w:rsid w:val="00AD4398"/>
    <w:rsid w:val="00AD45C6"/>
    <w:rsid w:val="00AD45D0"/>
    <w:rsid w:val="00AD4734"/>
    <w:rsid w:val="00AD48EE"/>
    <w:rsid w:val="00AD4AB8"/>
    <w:rsid w:val="00AD4AEC"/>
    <w:rsid w:val="00AD4B31"/>
    <w:rsid w:val="00AD4BC5"/>
    <w:rsid w:val="00AD4C10"/>
    <w:rsid w:val="00AD4CAF"/>
    <w:rsid w:val="00AD4D1B"/>
    <w:rsid w:val="00AD4E9B"/>
    <w:rsid w:val="00AD5005"/>
    <w:rsid w:val="00AD5077"/>
    <w:rsid w:val="00AD5139"/>
    <w:rsid w:val="00AD52B1"/>
    <w:rsid w:val="00AD57B0"/>
    <w:rsid w:val="00AD588C"/>
    <w:rsid w:val="00AD5904"/>
    <w:rsid w:val="00AD59CC"/>
    <w:rsid w:val="00AD5A71"/>
    <w:rsid w:val="00AD5C6E"/>
    <w:rsid w:val="00AD5D18"/>
    <w:rsid w:val="00AD5DE3"/>
    <w:rsid w:val="00AD5F09"/>
    <w:rsid w:val="00AD6013"/>
    <w:rsid w:val="00AD617D"/>
    <w:rsid w:val="00AD627E"/>
    <w:rsid w:val="00AD62AA"/>
    <w:rsid w:val="00AD6417"/>
    <w:rsid w:val="00AD6479"/>
    <w:rsid w:val="00AD6554"/>
    <w:rsid w:val="00AD65E1"/>
    <w:rsid w:val="00AD666E"/>
    <w:rsid w:val="00AD6AD4"/>
    <w:rsid w:val="00AD6F22"/>
    <w:rsid w:val="00AD6F23"/>
    <w:rsid w:val="00AD701D"/>
    <w:rsid w:val="00AD7133"/>
    <w:rsid w:val="00AD718E"/>
    <w:rsid w:val="00AD72A9"/>
    <w:rsid w:val="00AD72E2"/>
    <w:rsid w:val="00AD73ED"/>
    <w:rsid w:val="00AD74F3"/>
    <w:rsid w:val="00AD758D"/>
    <w:rsid w:val="00AD75CB"/>
    <w:rsid w:val="00AD7C45"/>
    <w:rsid w:val="00AD7C8E"/>
    <w:rsid w:val="00AD7D0C"/>
    <w:rsid w:val="00AD7E5F"/>
    <w:rsid w:val="00AD7E86"/>
    <w:rsid w:val="00AD7F74"/>
    <w:rsid w:val="00AD7FF4"/>
    <w:rsid w:val="00AE0076"/>
    <w:rsid w:val="00AE04B6"/>
    <w:rsid w:val="00AE0638"/>
    <w:rsid w:val="00AE064E"/>
    <w:rsid w:val="00AE0691"/>
    <w:rsid w:val="00AE06E6"/>
    <w:rsid w:val="00AE0711"/>
    <w:rsid w:val="00AE0907"/>
    <w:rsid w:val="00AE0A28"/>
    <w:rsid w:val="00AE0B15"/>
    <w:rsid w:val="00AE0BAF"/>
    <w:rsid w:val="00AE0C28"/>
    <w:rsid w:val="00AE0C5B"/>
    <w:rsid w:val="00AE1108"/>
    <w:rsid w:val="00AE1534"/>
    <w:rsid w:val="00AE1679"/>
    <w:rsid w:val="00AE167F"/>
    <w:rsid w:val="00AE17CE"/>
    <w:rsid w:val="00AE18A1"/>
    <w:rsid w:val="00AE198E"/>
    <w:rsid w:val="00AE19A8"/>
    <w:rsid w:val="00AE1D5B"/>
    <w:rsid w:val="00AE1F47"/>
    <w:rsid w:val="00AE2372"/>
    <w:rsid w:val="00AE242C"/>
    <w:rsid w:val="00AE2689"/>
    <w:rsid w:val="00AE279D"/>
    <w:rsid w:val="00AE2806"/>
    <w:rsid w:val="00AE28D4"/>
    <w:rsid w:val="00AE2A22"/>
    <w:rsid w:val="00AE2C4B"/>
    <w:rsid w:val="00AE2D28"/>
    <w:rsid w:val="00AE3079"/>
    <w:rsid w:val="00AE30F8"/>
    <w:rsid w:val="00AE31C0"/>
    <w:rsid w:val="00AE327D"/>
    <w:rsid w:val="00AE35AA"/>
    <w:rsid w:val="00AE3818"/>
    <w:rsid w:val="00AE3AD4"/>
    <w:rsid w:val="00AE3AFD"/>
    <w:rsid w:val="00AE3E11"/>
    <w:rsid w:val="00AE3E49"/>
    <w:rsid w:val="00AE3F6A"/>
    <w:rsid w:val="00AE4505"/>
    <w:rsid w:val="00AE466F"/>
    <w:rsid w:val="00AE4877"/>
    <w:rsid w:val="00AE4B40"/>
    <w:rsid w:val="00AE4B73"/>
    <w:rsid w:val="00AE4BA3"/>
    <w:rsid w:val="00AE4C13"/>
    <w:rsid w:val="00AE4C56"/>
    <w:rsid w:val="00AE4C84"/>
    <w:rsid w:val="00AE4D03"/>
    <w:rsid w:val="00AE5043"/>
    <w:rsid w:val="00AE50EA"/>
    <w:rsid w:val="00AE5134"/>
    <w:rsid w:val="00AE5162"/>
    <w:rsid w:val="00AE5185"/>
    <w:rsid w:val="00AE51D0"/>
    <w:rsid w:val="00AE527D"/>
    <w:rsid w:val="00AE535A"/>
    <w:rsid w:val="00AE53A7"/>
    <w:rsid w:val="00AE54C1"/>
    <w:rsid w:val="00AE54DB"/>
    <w:rsid w:val="00AE5587"/>
    <w:rsid w:val="00AE5A13"/>
    <w:rsid w:val="00AE5AE4"/>
    <w:rsid w:val="00AE5AEC"/>
    <w:rsid w:val="00AE5C80"/>
    <w:rsid w:val="00AE5D14"/>
    <w:rsid w:val="00AE5F1C"/>
    <w:rsid w:val="00AE5F78"/>
    <w:rsid w:val="00AE5F9D"/>
    <w:rsid w:val="00AE603E"/>
    <w:rsid w:val="00AE607B"/>
    <w:rsid w:val="00AE60B3"/>
    <w:rsid w:val="00AE623B"/>
    <w:rsid w:val="00AE62AB"/>
    <w:rsid w:val="00AE6343"/>
    <w:rsid w:val="00AE635A"/>
    <w:rsid w:val="00AE6415"/>
    <w:rsid w:val="00AE653D"/>
    <w:rsid w:val="00AE65D7"/>
    <w:rsid w:val="00AE65DF"/>
    <w:rsid w:val="00AE6742"/>
    <w:rsid w:val="00AE6805"/>
    <w:rsid w:val="00AE6808"/>
    <w:rsid w:val="00AE68B0"/>
    <w:rsid w:val="00AE68C9"/>
    <w:rsid w:val="00AE6AF4"/>
    <w:rsid w:val="00AE6B9D"/>
    <w:rsid w:val="00AE6CC0"/>
    <w:rsid w:val="00AE712E"/>
    <w:rsid w:val="00AE7289"/>
    <w:rsid w:val="00AE7503"/>
    <w:rsid w:val="00AE750E"/>
    <w:rsid w:val="00AE7590"/>
    <w:rsid w:val="00AE7670"/>
    <w:rsid w:val="00AE76D1"/>
    <w:rsid w:val="00AE7796"/>
    <w:rsid w:val="00AE77AB"/>
    <w:rsid w:val="00AE7A18"/>
    <w:rsid w:val="00AE7A8F"/>
    <w:rsid w:val="00AE7D05"/>
    <w:rsid w:val="00AE7F01"/>
    <w:rsid w:val="00AE7F48"/>
    <w:rsid w:val="00AE7F52"/>
    <w:rsid w:val="00AE7F93"/>
    <w:rsid w:val="00AE7FF5"/>
    <w:rsid w:val="00AF004D"/>
    <w:rsid w:val="00AF012C"/>
    <w:rsid w:val="00AF01A1"/>
    <w:rsid w:val="00AF041E"/>
    <w:rsid w:val="00AF0587"/>
    <w:rsid w:val="00AF0D71"/>
    <w:rsid w:val="00AF0E06"/>
    <w:rsid w:val="00AF0EDD"/>
    <w:rsid w:val="00AF0EE9"/>
    <w:rsid w:val="00AF0F99"/>
    <w:rsid w:val="00AF0FD4"/>
    <w:rsid w:val="00AF1031"/>
    <w:rsid w:val="00AF117F"/>
    <w:rsid w:val="00AF123C"/>
    <w:rsid w:val="00AF1488"/>
    <w:rsid w:val="00AF14D6"/>
    <w:rsid w:val="00AF15F3"/>
    <w:rsid w:val="00AF179C"/>
    <w:rsid w:val="00AF18B1"/>
    <w:rsid w:val="00AF1BEC"/>
    <w:rsid w:val="00AF1ED9"/>
    <w:rsid w:val="00AF1FFA"/>
    <w:rsid w:val="00AF2027"/>
    <w:rsid w:val="00AF217D"/>
    <w:rsid w:val="00AF2196"/>
    <w:rsid w:val="00AF2489"/>
    <w:rsid w:val="00AF2626"/>
    <w:rsid w:val="00AF2701"/>
    <w:rsid w:val="00AF2815"/>
    <w:rsid w:val="00AF29DC"/>
    <w:rsid w:val="00AF29FA"/>
    <w:rsid w:val="00AF2A09"/>
    <w:rsid w:val="00AF2B14"/>
    <w:rsid w:val="00AF2BAF"/>
    <w:rsid w:val="00AF2CCA"/>
    <w:rsid w:val="00AF2D37"/>
    <w:rsid w:val="00AF2E09"/>
    <w:rsid w:val="00AF2EEA"/>
    <w:rsid w:val="00AF2FFD"/>
    <w:rsid w:val="00AF34B4"/>
    <w:rsid w:val="00AF3589"/>
    <w:rsid w:val="00AF35A1"/>
    <w:rsid w:val="00AF360E"/>
    <w:rsid w:val="00AF3642"/>
    <w:rsid w:val="00AF36F5"/>
    <w:rsid w:val="00AF3764"/>
    <w:rsid w:val="00AF38C6"/>
    <w:rsid w:val="00AF3A58"/>
    <w:rsid w:val="00AF3B38"/>
    <w:rsid w:val="00AF3F2B"/>
    <w:rsid w:val="00AF3FCB"/>
    <w:rsid w:val="00AF40AE"/>
    <w:rsid w:val="00AF4410"/>
    <w:rsid w:val="00AF445E"/>
    <w:rsid w:val="00AF4885"/>
    <w:rsid w:val="00AF48FD"/>
    <w:rsid w:val="00AF49D3"/>
    <w:rsid w:val="00AF4B78"/>
    <w:rsid w:val="00AF4CD0"/>
    <w:rsid w:val="00AF4D99"/>
    <w:rsid w:val="00AF4F3B"/>
    <w:rsid w:val="00AF4F4D"/>
    <w:rsid w:val="00AF5194"/>
    <w:rsid w:val="00AF530C"/>
    <w:rsid w:val="00AF53E0"/>
    <w:rsid w:val="00AF557B"/>
    <w:rsid w:val="00AF56EC"/>
    <w:rsid w:val="00AF58E9"/>
    <w:rsid w:val="00AF5A11"/>
    <w:rsid w:val="00AF5BE2"/>
    <w:rsid w:val="00AF5CE1"/>
    <w:rsid w:val="00AF5D98"/>
    <w:rsid w:val="00AF5F2C"/>
    <w:rsid w:val="00AF6036"/>
    <w:rsid w:val="00AF617A"/>
    <w:rsid w:val="00AF62E3"/>
    <w:rsid w:val="00AF6312"/>
    <w:rsid w:val="00AF6336"/>
    <w:rsid w:val="00AF63E3"/>
    <w:rsid w:val="00AF6607"/>
    <w:rsid w:val="00AF675F"/>
    <w:rsid w:val="00AF6891"/>
    <w:rsid w:val="00AF68CA"/>
    <w:rsid w:val="00AF6B71"/>
    <w:rsid w:val="00AF6DD9"/>
    <w:rsid w:val="00AF6E19"/>
    <w:rsid w:val="00AF6ED8"/>
    <w:rsid w:val="00AF7120"/>
    <w:rsid w:val="00AF7162"/>
    <w:rsid w:val="00AF74F5"/>
    <w:rsid w:val="00AF751A"/>
    <w:rsid w:val="00AF76FF"/>
    <w:rsid w:val="00AF770D"/>
    <w:rsid w:val="00AF781A"/>
    <w:rsid w:val="00AF788F"/>
    <w:rsid w:val="00AF7982"/>
    <w:rsid w:val="00AF7992"/>
    <w:rsid w:val="00AF7AB2"/>
    <w:rsid w:val="00AF7D53"/>
    <w:rsid w:val="00AF7E7E"/>
    <w:rsid w:val="00AF7F18"/>
    <w:rsid w:val="00B00053"/>
    <w:rsid w:val="00B0007A"/>
    <w:rsid w:val="00B000FB"/>
    <w:rsid w:val="00B0011F"/>
    <w:rsid w:val="00B00270"/>
    <w:rsid w:val="00B002E5"/>
    <w:rsid w:val="00B0079F"/>
    <w:rsid w:val="00B007A4"/>
    <w:rsid w:val="00B007A6"/>
    <w:rsid w:val="00B00865"/>
    <w:rsid w:val="00B0088A"/>
    <w:rsid w:val="00B008B8"/>
    <w:rsid w:val="00B008FB"/>
    <w:rsid w:val="00B009CC"/>
    <w:rsid w:val="00B00A42"/>
    <w:rsid w:val="00B00A96"/>
    <w:rsid w:val="00B00ABD"/>
    <w:rsid w:val="00B00C97"/>
    <w:rsid w:val="00B00DB2"/>
    <w:rsid w:val="00B010C8"/>
    <w:rsid w:val="00B01111"/>
    <w:rsid w:val="00B011D6"/>
    <w:rsid w:val="00B01204"/>
    <w:rsid w:val="00B0134C"/>
    <w:rsid w:val="00B01449"/>
    <w:rsid w:val="00B0146F"/>
    <w:rsid w:val="00B01518"/>
    <w:rsid w:val="00B0158E"/>
    <w:rsid w:val="00B0168D"/>
    <w:rsid w:val="00B017E9"/>
    <w:rsid w:val="00B01BDA"/>
    <w:rsid w:val="00B01C31"/>
    <w:rsid w:val="00B01D2B"/>
    <w:rsid w:val="00B01D97"/>
    <w:rsid w:val="00B01DE7"/>
    <w:rsid w:val="00B01E7D"/>
    <w:rsid w:val="00B01ED1"/>
    <w:rsid w:val="00B01F34"/>
    <w:rsid w:val="00B01F9B"/>
    <w:rsid w:val="00B01FDB"/>
    <w:rsid w:val="00B02117"/>
    <w:rsid w:val="00B0214D"/>
    <w:rsid w:val="00B021FC"/>
    <w:rsid w:val="00B021FE"/>
    <w:rsid w:val="00B02228"/>
    <w:rsid w:val="00B0227F"/>
    <w:rsid w:val="00B022A3"/>
    <w:rsid w:val="00B023B9"/>
    <w:rsid w:val="00B02712"/>
    <w:rsid w:val="00B02800"/>
    <w:rsid w:val="00B02A0C"/>
    <w:rsid w:val="00B02C01"/>
    <w:rsid w:val="00B02C48"/>
    <w:rsid w:val="00B02D59"/>
    <w:rsid w:val="00B02D83"/>
    <w:rsid w:val="00B02DF6"/>
    <w:rsid w:val="00B02E16"/>
    <w:rsid w:val="00B02E9C"/>
    <w:rsid w:val="00B02F70"/>
    <w:rsid w:val="00B0311B"/>
    <w:rsid w:val="00B0311E"/>
    <w:rsid w:val="00B0329F"/>
    <w:rsid w:val="00B0341C"/>
    <w:rsid w:val="00B03598"/>
    <w:rsid w:val="00B0360A"/>
    <w:rsid w:val="00B0375E"/>
    <w:rsid w:val="00B03775"/>
    <w:rsid w:val="00B03834"/>
    <w:rsid w:val="00B0387C"/>
    <w:rsid w:val="00B038DD"/>
    <w:rsid w:val="00B03930"/>
    <w:rsid w:val="00B03CD1"/>
    <w:rsid w:val="00B03D5F"/>
    <w:rsid w:val="00B03DDF"/>
    <w:rsid w:val="00B03ECA"/>
    <w:rsid w:val="00B03F56"/>
    <w:rsid w:val="00B0407D"/>
    <w:rsid w:val="00B040BB"/>
    <w:rsid w:val="00B04372"/>
    <w:rsid w:val="00B0439C"/>
    <w:rsid w:val="00B04422"/>
    <w:rsid w:val="00B04767"/>
    <w:rsid w:val="00B048C1"/>
    <w:rsid w:val="00B04A51"/>
    <w:rsid w:val="00B04C46"/>
    <w:rsid w:val="00B04C62"/>
    <w:rsid w:val="00B04E30"/>
    <w:rsid w:val="00B04F73"/>
    <w:rsid w:val="00B05149"/>
    <w:rsid w:val="00B0518F"/>
    <w:rsid w:val="00B051EA"/>
    <w:rsid w:val="00B052E0"/>
    <w:rsid w:val="00B05355"/>
    <w:rsid w:val="00B05471"/>
    <w:rsid w:val="00B05502"/>
    <w:rsid w:val="00B056B1"/>
    <w:rsid w:val="00B057F5"/>
    <w:rsid w:val="00B05860"/>
    <w:rsid w:val="00B05A02"/>
    <w:rsid w:val="00B05B61"/>
    <w:rsid w:val="00B05CCC"/>
    <w:rsid w:val="00B05EAC"/>
    <w:rsid w:val="00B062B1"/>
    <w:rsid w:val="00B06369"/>
    <w:rsid w:val="00B06522"/>
    <w:rsid w:val="00B06666"/>
    <w:rsid w:val="00B06726"/>
    <w:rsid w:val="00B0686C"/>
    <w:rsid w:val="00B068FE"/>
    <w:rsid w:val="00B06904"/>
    <w:rsid w:val="00B06AC0"/>
    <w:rsid w:val="00B06BA6"/>
    <w:rsid w:val="00B06DBF"/>
    <w:rsid w:val="00B06FAC"/>
    <w:rsid w:val="00B07032"/>
    <w:rsid w:val="00B070D4"/>
    <w:rsid w:val="00B070F3"/>
    <w:rsid w:val="00B07346"/>
    <w:rsid w:val="00B074D1"/>
    <w:rsid w:val="00B07514"/>
    <w:rsid w:val="00B07610"/>
    <w:rsid w:val="00B076C4"/>
    <w:rsid w:val="00B078A7"/>
    <w:rsid w:val="00B078CC"/>
    <w:rsid w:val="00B078EB"/>
    <w:rsid w:val="00B07929"/>
    <w:rsid w:val="00B07973"/>
    <w:rsid w:val="00B07A9C"/>
    <w:rsid w:val="00B07C16"/>
    <w:rsid w:val="00B07D92"/>
    <w:rsid w:val="00B07DDA"/>
    <w:rsid w:val="00B07DEC"/>
    <w:rsid w:val="00B07E4A"/>
    <w:rsid w:val="00B07E74"/>
    <w:rsid w:val="00B07FBE"/>
    <w:rsid w:val="00B10006"/>
    <w:rsid w:val="00B101D0"/>
    <w:rsid w:val="00B10209"/>
    <w:rsid w:val="00B1026E"/>
    <w:rsid w:val="00B103A1"/>
    <w:rsid w:val="00B1048F"/>
    <w:rsid w:val="00B104A5"/>
    <w:rsid w:val="00B104D2"/>
    <w:rsid w:val="00B10730"/>
    <w:rsid w:val="00B10925"/>
    <w:rsid w:val="00B1097D"/>
    <w:rsid w:val="00B109B7"/>
    <w:rsid w:val="00B10A81"/>
    <w:rsid w:val="00B10B4F"/>
    <w:rsid w:val="00B10B52"/>
    <w:rsid w:val="00B10D30"/>
    <w:rsid w:val="00B10F91"/>
    <w:rsid w:val="00B11061"/>
    <w:rsid w:val="00B1129E"/>
    <w:rsid w:val="00B112A9"/>
    <w:rsid w:val="00B1138C"/>
    <w:rsid w:val="00B113F7"/>
    <w:rsid w:val="00B1151B"/>
    <w:rsid w:val="00B11522"/>
    <w:rsid w:val="00B116E1"/>
    <w:rsid w:val="00B116FC"/>
    <w:rsid w:val="00B118D7"/>
    <w:rsid w:val="00B1199C"/>
    <w:rsid w:val="00B11A84"/>
    <w:rsid w:val="00B11A92"/>
    <w:rsid w:val="00B11BCB"/>
    <w:rsid w:val="00B11D73"/>
    <w:rsid w:val="00B11DE9"/>
    <w:rsid w:val="00B11E0F"/>
    <w:rsid w:val="00B11EEE"/>
    <w:rsid w:val="00B12009"/>
    <w:rsid w:val="00B12211"/>
    <w:rsid w:val="00B122C7"/>
    <w:rsid w:val="00B1233B"/>
    <w:rsid w:val="00B12450"/>
    <w:rsid w:val="00B125E9"/>
    <w:rsid w:val="00B12670"/>
    <w:rsid w:val="00B12683"/>
    <w:rsid w:val="00B12833"/>
    <w:rsid w:val="00B12BCE"/>
    <w:rsid w:val="00B12BDE"/>
    <w:rsid w:val="00B12BF4"/>
    <w:rsid w:val="00B12E73"/>
    <w:rsid w:val="00B12EF4"/>
    <w:rsid w:val="00B130C6"/>
    <w:rsid w:val="00B1319A"/>
    <w:rsid w:val="00B132E5"/>
    <w:rsid w:val="00B13302"/>
    <w:rsid w:val="00B13349"/>
    <w:rsid w:val="00B133AD"/>
    <w:rsid w:val="00B133D5"/>
    <w:rsid w:val="00B135CB"/>
    <w:rsid w:val="00B138DC"/>
    <w:rsid w:val="00B13959"/>
    <w:rsid w:val="00B13A3C"/>
    <w:rsid w:val="00B13CA5"/>
    <w:rsid w:val="00B13CC1"/>
    <w:rsid w:val="00B13EED"/>
    <w:rsid w:val="00B140D2"/>
    <w:rsid w:val="00B1423B"/>
    <w:rsid w:val="00B14285"/>
    <w:rsid w:val="00B144B9"/>
    <w:rsid w:val="00B1458A"/>
    <w:rsid w:val="00B1470D"/>
    <w:rsid w:val="00B147DA"/>
    <w:rsid w:val="00B14BAC"/>
    <w:rsid w:val="00B14CDA"/>
    <w:rsid w:val="00B14CE4"/>
    <w:rsid w:val="00B14EC0"/>
    <w:rsid w:val="00B14F6D"/>
    <w:rsid w:val="00B14FF5"/>
    <w:rsid w:val="00B1504A"/>
    <w:rsid w:val="00B15410"/>
    <w:rsid w:val="00B15655"/>
    <w:rsid w:val="00B156A4"/>
    <w:rsid w:val="00B1581B"/>
    <w:rsid w:val="00B15934"/>
    <w:rsid w:val="00B15A52"/>
    <w:rsid w:val="00B15A64"/>
    <w:rsid w:val="00B15DE4"/>
    <w:rsid w:val="00B15E27"/>
    <w:rsid w:val="00B15EC9"/>
    <w:rsid w:val="00B15FD8"/>
    <w:rsid w:val="00B16036"/>
    <w:rsid w:val="00B1612B"/>
    <w:rsid w:val="00B161B4"/>
    <w:rsid w:val="00B161BC"/>
    <w:rsid w:val="00B1633A"/>
    <w:rsid w:val="00B16504"/>
    <w:rsid w:val="00B166A3"/>
    <w:rsid w:val="00B167EE"/>
    <w:rsid w:val="00B169AA"/>
    <w:rsid w:val="00B16BD2"/>
    <w:rsid w:val="00B16C40"/>
    <w:rsid w:val="00B16CB7"/>
    <w:rsid w:val="00B16D26"/>
    <w:rsid w:val="00B16D64"/>
    <w:rsid w:val="00B16DFA"/>
    <w:rsid w:val="00B16EA9"/>
    <w:rsid w:val="00B16EF8"/>
    <w:rsid w:val="00B16FCF"/>
    <w:rsid w:val="00B172EF"/>
    <w:rsid w:val="00B17340"/>
    <w:rsid w:val="00B1738F"/>
    <w:rsid w:val="00B174E9"/>
    <w:rsid w:val="00B1759D"/>
    <w:rsid w:val="00B1776C"/>
    <w:rsid w:val="00B17782"/>
    <w:rsid w:val="00B1796D"/>
    <w:rsid w:val="00B17B45"/>
    <w:rsid w:val="00B17BEC"/>
    <w:rsid w:val="00B17C39"/>
    <w:rsid w:val="00B17CD7"/>
    <w:rsid w:val="00B202AF"/>
    <w:rsid w:val="00B204A2"/>
    <w:rsid w:val="00B20513"/>
    <w:rsid w:val="00B20597"/>
    <w:rsid w:val="00B205EA"/>
    <w:rsid w:val="00B20645"/>
    <w:rsid w:val="00B2070E"/>
    <w:rsid w:val="00B2099C"/>
    <w:rsid w:val="00B209F5"/>
    <w:rsid w:val="00B20C8D"/>
    <w:rsid w:val="00B20DEE"/>
    <w:rsid w:val="00B20E4A"/>
    <w:rsid w:val="00B210A3"/>
    <w:rsid w:val="00B2129B"/>
    <w:rsid w:val="00B21456"/>
    <w:rsid w:val="00B214A5"/>
    <w:rsid w:val="00B216DB"/>
    <w:rsid w:val="00B21A76"/>
    <w:rsid w:val="00B21B81"/>
    <w:rsid w:val="00B21CB2"/>
    <w:rsid w:val="00B21E9A"/>
    <w:rsid w:val="00B21F21"/>
    <w:rsid w:val="00B22265"/>
    <w:rsid w:val="00B222AF"/>
    <w:rsid w:val="00B22308"/>
    <w:rsid w:val="00B223DB"/>
    <w:rsid w:val="00B2241E"/>
    <w:rsid w:val="00B22532"/>
    <w:rsid w:val="00B22751"/>
    <w:rsid w:val="00B228F6"/>
    <w:rsid w:val="00B2290A"/>
    <w:rsid w:val="00B229A6"/>
    <w:rsid w:val="00B22A3D"/>
    <w:rsid w:val="00B22C5E"/>
    <w:rsid w:val="00B22CD4"/>
    <w:rsid w:val="00B22EBB"/>
    <w:rsid w:val="00B231E7"/>
    <w:rsid w:val="00B23292"/>
    <w:rsid w:val="00B233BA"/>
    <w:rsid w:val="00B23401"/>
    <w:rsid w:val="00B2340F"/>
    <w:rsid w:val="00B2346C"/>
    <w:rsid w:val="00B23547"/>
    <w:rsid w:val="00B235A5"/>
    <w:rsid w:val="00B23636"/>
    <w:rsid w:val="00B23697"/>
    <w:rsid w:val="00B237B2"/>
    <w:rsid w:val="00B237CE"/>
    <w:rsid w:val="00B23ABB"/>
    <w:rsid w:val="00B23C39"/>
    <w:rsid w:val="00B23CC0"/>
    <w:rsid w:val="00B23D53"/>
    <w:rsid w:val="00B23DD4"/>
    <w:rsid w:val="00B23DDD"/>
    <w:rsid w:val="00B2409E"/>
    <w:rsid w:val="00B240ED"/>
    <w:rsid w:val="00B24256"/>
    <w:rsid w:val="00B243D4"/>
    <w:rsid w:val="00B24412"/>
    <w:rsid w:val="00B244DD"/>
    <w:rsid w:val="00B244F1"/>
    <w:rsid w:val="00B2472D"/>
    <w:rsid w:val="00B24758"/>
    <w:rsid w:val="00B247E5"/>
    <w:rsid w:val="00B248CB"/>
    <w:rsid w:val="00B24B56"/>
    <w:rsid w:val="00B24BEF"/>
    <w:rsid w:val="00B24CA4"/>
    <w:rsid w:val="00B24D53"/>
    <w:rsid w:val="00B24DFA"/>
    <w:rsid w:val="00B24F04"/>
    <w:rsid w:val="00B250DC"/>
    <w:rsid w:val="00B25116"/>
    <w:rsid w:val="00B251E9"/>
    <w:rsid w:val="00B252F6"/>
    <w:rsid w:val="00B25577"/>
    <w:rsid w:val="00B256F2"/>
    <w:rsid w:val="00B25812"/>
    <w:rsid w:val="00B25A2E"/>
    <w:rsid w:val="00B25B2F"/>
    <w:rsid w:val="00B25C81"/>
    <w:rsid w:val="00B25CDD"/>
    <w:rsid w:val="00B25D11"/>
    <w:rsid w:val="00B25F2A"/>
    <w:rsid w:val="00B2605D"/>
    <w:rsid w:val="00B2619D"/>
    <w:rsid w:val="00B261B3"/>
    <w:rsid w:val="00B26445"/>
    <w:rsid w:val="00B264A5"/>
    <w:rsid w:val="00B26629"/>
    <w:rsid w:val="00B26637"/>
    <w:rsid w:val="00B2665F"/>
    <w:rsid w:val="00B266B9"/>
    <w:rsid w:val="00B26B69"/>
    <w:rsid w:val="00B26BD3"/>
    <w:rsid w:val="00B26BF3"/>
    <w:rsid w:val="00B26DA7"/>
    <w:rsid w:val="00B270CC"/>
    <w:rsid w:val="00B271E9"/>
    <w:rsid w:val="00B2727D"/>
    <w:rsid w:val="00B27663"/>
    <w:rsid w:val="00B27683"/>
    <w:rsid w:val="00B27A4C"/>
    <w:rsid w:val="00B27A4D"/>
    <w:rsid w:val="00B27B26"/>
    <w:rsid w:val="00B27B38"/>
    <w:rsid w:val="00B27FE8"/>
    <w:rsid w:val="00B3036B"/>
    <w:rsid w:val="00B306A0"/>
    <w:rsid w:val="00B3075F"/>
    <w:rsid w:val="00B30AF5"/>
    <w:rsid w:val="00B30C6F"/>
    <w:rsid w:val="00B30E1B"/>
    <w:rsid w:val="00B30E79"/>
    <w:rsid w:val="00B30F15"/>
    <w:rsid w:val="00B316BF"/>
    <w:rsid w:val="00B316E0"/>
    <w:rsid w:val="00B319C4"/>
    <w:rsid w:val="00B319FD"/>
    <w:rsid w:val="00B31A36"/>
    <w:rsid w:val="00B31BC8"/>
    <w:rsid w:val="00B31C31"/>
    <w:rsid w:val="00B31CFC"/>
    <w:rsid w:val="00B31D7D"/>
    <w:rsid w:val="00B31D87"/>
    <w:rsid w:val="00B31E1F"/>
    <w:rsid w:val="00B320B1"/>
    <w:rsid w:val="00B32255"/>
    <w:rsid w:val="00B32285"/>
    <w:rsid w:val="00B32318"/>
    <w:rsid w:val="00B32394"/>
    <w:rsid w:val="00B32747"/>
    <w:rsid w:val="00B3274D"/>
    <w:rsid w:val="00B327BC"/>
    <w:rsid w:val="00B32ABF"/>
    <w:rsid w:val="00B32B17"/>
    <w:rsid w:val="00B32BB5"/>
    <w:rsid w:val="00B32BF3"/>
    <w:rsid w:val="00B32BFC"/>
    <w:rsid w:val="00B32DFB"/>
    <w:rsid w:val="00B32E82"/>
    <w:rsid w:val="00B32ED9"/>
    <w:rsid w:val="00B32F42"/>
    <w:rsid w:val="00B33098"/>
    <w:rsid w:val="00B3316C"/>
    <w:rsid w:val="00B331A6"/>
    <w:rsid w:val="00B331DE"/>
    <w:rsid w:val="00B3326F"/>
    <w:rsid w:val="00B332FB"/>
    <w:rsid w:val="00B333ED"/>
    <w:rsid w:val="00B335C1"/>
    <w:rsid w:val="00B33631"/>
    <w:rsid w:val="00B33BBB"/>
    <w:rsid w:val="00B33BD8"/>
    <w:rsid w:val="00B33EC9"/>
    <w:rsid w:val="00B34130"/>
    <w:rsid w:val="00B34281"/>
    <w:rsid w:val="00B342B6"/>
    <w:rsid w:val="00B34356"/>
    <w:rsid w:val="00B34549"/>
    <w:rsid w:val="00B3467D"/>
    <w:rsid w:val="00B347DE"/>
    <w:rsid w:val="00B3481D"/>
    <w:rsid w:val="00B348A9"/>
    <w:rsid w:val="00B348BB"/>
    <w:rsid w:val="00B34A1D"/>
    <w:rsid w:val="00B34B64"/>
    <w:rsid w:val="00B34BB0"/>
    <w:rsid w:val="00B34C3E"/>
    <w:rsid w:val="00B34E1D"/>
    <w:rsid w:val="00B352AE"/>
    <w:rsid w:val="00B356C3"/>
    <w:rsid w:val="00B35A1D"/>
    <w:rsid w:val="00B35A87"/>
    <w:rsid w:val="00B35A98"/>
    <w:rsid w:val="00B35C4C"/>
    <w:rsid w:val="00B35C70"/>
    <w:rsid w:val="00B35DB9"/>
    <w:rsid w:val="00B35DC3"/>
    <w:rsid w:val="00B35E39"/>
    <w:rsid w:val="00B35FE0"/>
    <w:rsid w:val="00B3600D"/>
    <w:rsid w:val="00B36424"/>
    <w:rsid w:val="00B364A0"/>
    <w:rsid w:val="00B36632"/>
    <w:rsid w:val="00B36782"/>
    <w:rsid w:val="00B367C2"/>
    <w:rsid w:val="00B3690D"/>
    <w:rsid w:val="00B36A30"/>
    <w:rsid w:val="00B36AD5"/>
    <w:rsid w:val="00B36C65"/>
    <w:rsid w:val="00B36FEC"/>
    <w:rsid w:val="00B3703F"/>
    <w:rsid w:val="00B3730B"/>
    <w:rsid w:val="00B375AA"/>
    <w:rsid w:val="00B377F5"/>
    <w:rsid w:val="00B37940"/>
    <w:rsid w:val="00B379E4"/>
    <w:rsid w:val="00B37A2F"/>
    <w:rsid w:val="00B37BB5"/>
    <w:rsid w:val="00B37D0B"/>
    <w:rsid w:val="00B37EBB"/>
    <w:rsid w:val="00B37F63"/>
    <w:rsid w:val="00B40160"/>
    <w:rsid w:val="00B40234"/>
    <w:rsid w:val="00B40307"/>
    <w:rsid w:val="00B403A6"/>
    <w:rsid w:val="00B40603"/>
    <w:rsid w:val="00B40752"/>
    <w:rsid w:val="00B407A9"/>
    <w:rsid w:val="00B408A7"/>
    <w:rsid w:val="00B408EF"/>
    <w:rsid w:val="00B40A01"/>
    <w:rsid w:val="00B40DA0"/>
    <w:rsid w:val="00B40F11"/>
    <w:rsid w:val="00B40F4A"/>
    <w:rsid w:val="00B40F69"/>
    <w:rsid w:val="00B41041"/>
    <w:rsid w:val="00B41298"/>
    <w:rsid w:val="00B41434"/>
    <w:rsid w:val="00B4146D"/>
    <w:rsid w:val="00B414E0"/>
    <w:rsid w:val="00B41624"/>
    <w:rsid w:val="00B416D8"/>
    <w:rsid w:val="00B418B0"/>
    <w:rsid w:val="00B41950"/>
    <w:rsid w:val="00B419A8"/>
    <w:rsid w:val="00B41A43"/>
    <w:rsid w:val="00B41A70"/>
    <w:rsid w:val="00B41EEA"/>
    <w:rsid w:val="00B41F03"/>
    <w:rsid w:val="00B42108"/>
    <w:rsid w:val="00B423FF"/>
    <w:rsid w:val="00B42431"/>
    <w:rsid w:val="00B42452"/>
    <w:rsid w:val="00B424EA"/>
    <w:rsid w:val="00B4256D"/>
    <w:rsid w:val="00B426E2"/>
    <w:rsid w:val="00B42A83"/>
    <w:rsid w:val="00B42ADC"/>
    <w:rsid w:val="00B42B49"/>
    <w:rsid w:val="00B42BC2"/>
    <w:rsid w:val="00B42C2D"/>
    <w:rsid w:val="00B42D53"/>
    <w:rsid w:val="00B42D60"/>
    <w:rsid w:val="00B42D63"/>
    <w:rsid w:val="00B42DA6"/>
    <w:rsid w:val="00B42DE3"/>
    <w:rsid w:val="00B42FD7"/>
    <w:rsid w:val="00B43039"/>
    <w:rsid w:val="00B43266"/>
    <w:rsid w:val="00B43382"/>
    <w:rsid w:val="00B433D9"/>
    <w:rsid w:val="00B4347B"/>
    <w:rsid w:val="00B435FD"/>
    <w:rsid w:val="00B436E6"/>
    <w:rsid w:val="00B43A5B"/>
    <w:rsid w:val="00B43B1D"/>
    <w:rsid w:val="00B43D61"/>
    <w:rsid w:val="00B440DE"/>
    <w:rsid w:val="00B441B3"/>
    <w:rsid w:val="00B44232"/>
    <w:rsid w:val="00B4428A"/>
    <w:rsid w:val="00B442F8"/>
    <w:rsid w:val="00B4435A"/>
    <w:rsid w:val="00B4461C"/>
    <w:rsid w:val="00B446AC"/>
    <w:rsid w:val="00B449AF"/>
    <w:rsid w:val="00B44AB7"/>
    <w:rsid w:val="00B44B4A"/>
    <w:rsid w:val="00B44C94"/>
    <w:rsid w:val="00B44C97"/>
    <w:rsid w:val="00B44DF5"/>
    <w:rsid w:val="00B44E5E"/>
    <w:rsid w:val="00B451FA"/>
    <w:rsid w:val="00B45293"/>
    <w:rsid w:val="00B45569"/>
    <w:rsid w:val="00B45570"/>
    <w:rsid w:val="00B4575D"/>
    <w:rsid w:val="00B457E7"/>
    <w:rsid w:val="00B458C3"/>
    <w:rsid w:val="00B459ED"/>
    <w:rsid w:val="00B45B0E"/>
    <w:rsid w:val="00B45B29"/>
    <w:rsid w:val="00B45CF4"/>
    <w:rsid w:val="00B45D20"/>
    <w:rsid w:val="00B45F2B"/>
    <w:rsid w:val="00B45F34"/>
    <w:rsid w:val="00B46734"/>
    <w:rsid w:val="00B4685C"/>
    <w:rsid w:val="00B468B0"/>
    <w:rsid w:val="00B468C2"/>
    <w:rsid w:val="00B469E8"/>
    <w:rsid w:val="00B46A61"/>
    <w:rsid w:val="00B46B83"/>
    <w:rsid w:val="00B46CE4"/>
    <w:rsid w:val="00B46D84"/>
    <w:rsid w:val="00B46ECE"/>
    <w:rsid w:val="00B46EFB"/>
    <w:rsid w:val="00B47060"/>
    <w:rsid w:val="00B4715F"/>
    <w:rsid w:val="00B47172"/>
    <w:rsid w:val="00B4732C"/>
    <w:rsid w:val="00B473F1"/>
    <w:rsid w:val="00B47649"/>
    <w:rsid w:val="00B4769F"/>
    <w:rsid w:val="00B47751"/>
    <w:rsid w:val="00B47785"/>
    <w:rsid w:val="00B477E8"/>
    <w:rsid w:val="00B47A63"/>
    <w:rsid w:val="00B47B0F"/>
    <w:rsid w:val="00B47BE4"/>
    <w:rsid w:val="00B47D38"/>
    <w:rsid w:val="00B47E09"/>
    <w:rsid w:val="00B47EEF"/>
    <w:rsid w:val="00B47F8C"/>
    <w:rsid w:val="00B5032D"/>
    <w:rsid w:val="00B50370"/>
    <w:rsid w:val="00B503D2"/>
    <w:rsid w:val="00B50495"/>
    <w:rsid w:val="00B504EA"/>
    <w:rsid w:val="00B5056D"/>
    <w:rsid w:val="00B505BD"/>
    <w:rsid w:val="00B50640"/>
    <w:rsid w:val="00B5067D"/>
    <w:rsid w:val="00B506A3"/>
    <w:rsid w:val="00B50714"/>
    <w:rsid w:val="00B50B53"/>
    <w:rsid w:val="00B50B91"/>
    <w:rsid w:val="00B50BE8"/>
    <w:rsid w:val="00B50D0B"/>
    <w:rsid w:val="00B50F67"/>
    <w:rsid w:val="00B510DC"/>
    <w:rsid w:val="00B51195"/>
    <w:rsid w:val="00B51243"/>
    <w:rsid w:val="00B51355"/>
    <w:rsid w:val="00B514CD"/>
    <w:rsid w:val="00B515E8"/>
    <w:rsid w:val="00B5164E"/>
    <w:rsid w:val="00B5164F"/>
    <w:rsid w:val="00B5168A"/>
    <w:rsid w:val="00B51704"/>
    <w:rsid w:val="00B5177F"/>
    <w:rsid w:val="00B517A0"/>
    <w:rsid w:val="00B517AA"/>
    <w:rsid w:val="00B51A08"/>
    <w:rsid w:val="00B51A45"/>
    <w:rsid w:val="00B51A54"/>
    <w:rsid w:val="00B51B55"/>
    <w:rsid w:val="00B51C2B"/>
    <w:rsid w:val="00B51E95"/>
    <w:rsid w:val="00B52152"/>
    <w:rsid w:val="00B5217E"/>
    <w:rsid w:val="00B522F1"/>
    <w:rsid w:val="00B52581"/>
    <w:rsid w:val="00B52592"/>
    <w:rsid w:val="00B525AD"/>
    <w:rsid w:val="00B52601"/>
    <w:rsid w:val="00B526F9"/>
    <w:rsid w:val="00B527E4"/>
    <w:rsid w:val="00B5299D"/>
    <w:rsid w:val="00B52B66"/>
    <w:rsid w:val="00B52BE9"/>
    <w:rsid w:val="00B52C41"/>
    <w:rsid w:val="00B52CC0"/>
    <w:rsid w:val="00B52E3D"/>
    <w:rsid w:val="00B52EFD"/>
    <w:rsid w:val="00B52FD1"/>
    <w:rsid w:val="00B53095"/>
    <w:rsid w:val="00B53125"/>
    <w:rsid w:val="00B53177"/>
    <w:rsid w:val="00B5321B"/>
    <w:rsid w:val="00B532F9"/>
    <w:rsid w:val="00B53607"/>
    <w:rsid w:val="00B536E8"/>
    <w:rsid w:val="00B538C6"/>
    <w:rsid w:val="00B53927"/>
    <w:rsid w:val="00B53D86"/>
    <w:rsid w:val="00B53DFD"/>
    <w:rsid w:val="00B53F34"/>
    <w:rsid w:val="00B54270"/>
    <w:rsid w:val="00B542F1"/>
    <w:rsid w:val="00B54614"/>
    <w:rsid w:val="00B54763"/>
    <w:rsid w:val="00B547DE"/>
    <w:rsid w:val="00B548DD"/>
    <w:rsid w:val="00B54E48"/>
    <w:rsid w:val="00B54E9B"/>
    <w:rsid w:val="00B54E9D"/>
    <w:rsid w:val="00B54EE7"/>
    <w:rsid w:val="00B54F65"/>
    <w:rsid w:val="00B550AE"/>
    <w:rsid w:val="00B5525C"/>
    <w:rsid w:val="00B55321"/>
    <w:rsid w:val="00B55428"/>
    <w:rsid w:val="00B55611"/>
    <w:rsid w:val="00B55ADD"/>
    <w:rsid w:val="00B55AFA"/>
    <w:rsid w:val="00B55AFD"/>
    <w:rsid w:val="00B55BAD"/>
    <w:rsid w:val="00B55D21"/>
    <w:rsid w:val="00B55D9E"/>
    <w:rsid w:val="00B55EC6"/>
    <w:rsid w:val="00B55F96"/>
    <w:rsid w:val="00B5609A"/>
    <w:rsid w:val="00B56266"/>
    <w:rsid w:val="00B5640F"/>
    <w:rsid w:val="00B56466"/>
    <w:rsid w:val="00B56683"/>
    <w:rsid w:val="00B56909"/>
    <w:rsid w:val="00B56936"/>
    <w:rsid w:val="00B56962"/>
    <w:rsid w:val="00B569A1"/>
    <w:rsid w:val="00B569A5"/>
    <w:rsid w:val="00B56ABE"/>
    <w:rsid w:val="00B56B14"/>
    <w:rsid w:val="00B56BFD"/>
    <w:rsid w:val="00B56C42"/>
    <w:rsid w:val="00B56CA2"/>
    <w:rsid w:val="00B56D61"/>
    <w:rsid w:val="00B56DD8"/>
    <w:rsid w:val="00B56EDD"/>
    <w:rsid w:val="00B5701E"/>
    <w:rsid w:val="00B570AA"/>
    <w:rsid w:val="00B57198"/>
    <w:rsid w:val="00B571B6"/>
    <w:rsid w:val="00B57632"/>
    <w:rsid w:val="00B57DC2"/>
    <w:rsid w:val="00B57DDE"/>
    <w:rsid w:val="00B57E50"/>
    <w:rsid w:val="00B60020"/>
    <w:rsid w:val="00B60131"/>
    <w:rsid w:val="00B60158"/>
    <w:rsid w:val="00B601D7"/>
    <w:rsid w:val="00B601F2"/>
    <w:rsid w:val="00B6027B"/>
    <w:rsid w:val="00B6028F"/>
    <w:rsid w:val="00B60370"/>
    <w:rsid w:val="00B60450"/>
    <w:rsid w:val="00B60796"/>
    <w:rsid w:val="00B609AC"/>
    <w:rsid w:val="00B609B6"/>
    <w:rsid w:val="00B60B08"/>
    <w:rsid w:val="00B60B4C"/>
    <w:rsid w:val="00B60DD5"/>
    <w:rsid w:val="00B60E05"/>
    <w:rsid w:val="00B6106F"/>
    <w:rsid w:val="00B61102"/>
    <w:rsid w:val="00B6112F"/>
    <w:rsid w:val="00B6119B"/>
    <w:rsid w:val="00B612A8"/>
    <w:rsid w:val="00B614D1"/>
    <w:rsid w:val="00B615A6"/>
    <w:rsid w:val="00B617DB"/>
    <w:rsid w:val="00B61955"/>
    <w:rsid w:val="00B61B30"/>
    <w:rsid w:val="00B61BB4"/>
    <w:rsid w:val="00B61C0E"/>
    <w:rsid w:val="00B61CA1"/>
    <w:rsid w:val="00B61CCB"/>
    <w:rsid w:val="00B61DC3"/>
    <w:rsid w:val="00B61E0D"/>
    <w:rsid w:val="00B6235F"/>
    <w:rsid w:val="00B623A2"/>
    <w:rsid w:val="00B623A6"/>
    <w:rsid w:val="00B62567"/>
    <w:rsid w:val="00B625B9"/>
    <w:rsid w:val="00B625BF"/>
    <w:rsid w:val="00B62653"/>
    <w:rsid w:val="00B626F1"/>
    <w:rsid w:val="00B627C3"/>
    <w:rsid w:val="00B628CD"/>
    <w:rsid w:val="00B62B8B"/>
    <w:rsid w:val="00B62CE6"/>
    <w:rsid w:val="00B62D1E"/>
    <w:rsid w:val="00B62EF2"/>
    <w:rsid w:val="00B62FAD"/>
    <w:rsid w:val="00B6303E"/>
    <w:rsid w:val="00B631B4"/>
    <w:rsid w:val="00B63382"/>
    <w:rsid w:val="00B63486"/>
    <w:rsid w:val="00B6351A"/>
    <w:rsid w:val="00B63665"/>
    <w:rsid w:val="00B63890"/>
    <w:rsid w:val="00B638D3"/>
    <w:rsid w:val="00B63925"/>
    <w:rsid w:val="00B639B4"/>
    <w:rsid w:val="00B63C11"/>
    <w:rsid w:val="00B63CA5"/>
    <w:rsid w:val="00B6406A"/>
    <w:rsid w:val="00B641E6"/>
    <w:rsid w:val="00B642A9"/>
    <w:rsid w:val="00B6452A"/>
    <w:rsid w:val="00B64591"/>
    <w:rsid w:val="00B6462B"/>
    <w:rsid w:val="00B64643"/>
    <w:rsid w:val="00B64670"/>
    <w:rsid w:val="00B6485A"/>
    <w:rsid w:val="00B648EA"/>
    <w:rsid w:val="00B64A67"/>
    <w:rsid w:val="00B64B04"/>
    <w:rsid w:val="00B64C6E"/>
    <w:rsid w:val="00B64D7B"/>
    <w:rsid w:val="00B64EA7"/>
    <w:rsid w:val="00B64F84"/>
    <w:rsid w:val="00B64FE1"/>
    <w:rsid w:val="00B6533C"/>
    <w:rsid w:val="00B6534B"/>
    <w:rsid w:val="00B65522"/>
    <w:rsid w:val="00B657AD"/>
    <w:rsid w:val="00B65843"/>
    <w:rsid w:val="00B6593D"/>
    <w:rsid w:val="00B659CC"/>
    <w:rsid w:val="00B65B6E"/>
    <w:rsid w:val="00B65C40"/>
    <w:rsid w:val="00B65CA8"/>
    <w:rsid w:val="00B65D36"/>
    <w:rsid w:val="00B65E18"/>
    <w:rsid w:val="00B65F00"/>
    <w:rsid w:val="00B6602F"/>
    <w:rsid w:val="00B66119"/>
    <w:rsid w:val="00B66141"/>
    <w:rsid w:val="00B6614F"/>
    <w:rsid w:val="00B664F0"/>
    <w:rsid w:val="00B66583"/>
    <w:rsid w:val="00B66615"/>
    <w:rsid w:val="00B6676D"/>
    <w:rsid w:val="00B667EA"/>
    <w:rsid w:val="00B6696D"/>
    <w:rsid w:val="00B66C7F"/>
    <w:rsid w:val="00B66D9C"/>
    <w:rsid w:val="00B671FC"/>
    <w:rsid w:val="00B6726D"/>
    <w:rsid w:val="00B6732B"/>
    <w:rsid w:val="00B675FA"/>
    <w:rsid w:val="00B6787D"/>
    <w:rsid w:val="00B67996"/>
    <w:rsid w:val="00B67AC9"/>
    <w:rsid w:val="00B67BC2"/>
    <w:rsid w:val="00B67C0B"/>
    <w:rsid w:val="00B67C22"/>
    <w:rsid w:val="00B67C7E"/>
    <w:rsid w:val="00B67CDA"/>
    <w:rsid w:val="00B700D8"/>
    <w:rsid w:val="00B7032C"/>
    <w:rsid w:val="00B7039A"/>
    <w:rsid w:val="00B703C8"/>
    <w:rsid w:val="00B70419"/>
    <w:rsid w:val="00B7043C"/>
    <w:rsid w:val="00B7057F"/>
    <w:rsid w:val="00B70673"/>
    <w:rsid w:val="00B70985"/>
    <w:rsid w:val="00B70AEE"/>
    <w:rsid w:val="00B70BB0"/>
    <w:rsid w:val="00B70C9B"/>
    <w:rsid w:val="00B70CC9"/>
    <w:rsid w:val="00B70D71"/>
    <w:rsid w:val="00B70D82"/>
    <w:rsid w:val="00B71056"/>
    <w:rsid w:val="00B710FA"/>
    <w:rsid w:val="00B7116B"/>
    <w:rsid w:val="00B7125A"/>
    <w:rsid w:val="00B7142B"/>
    <w:rsid w:val="00B71522"/>
    <w:rsid w:val="00B71667"/>
    <w:rsid w:val="00B7170B"/>
    <w:rsid w:val="00B7174A"/>
    <w:rsid w:val="00B7181B"/>
    <w:rsid w:val="00B71B82"/>
    <w:rsid w:val="00B71D02"/>
    <w:rsid w:val="00B72214"/>
    <w:rsid w:val="00B723AE"/>
    <w:rsid w:val="00B72640"/>
    <w:rsid w:val="00B7282C"/>
    <w:rsid w:val="00B728BA"/>
    <w:rsid w:val="00B72A05"/>
    <w:rsid w:val="00B72D52"/>
    <w:rsid w:val="00B72E4E"/>
    <w:rsid w:val="00B72EBD"/>
    <w:rsid w:val="00B72F00"/>
    <w:rsid w:val="00B72F6D"/>
    <w:rsid w:val="00B731B0"/>
    <w:rsid w:val="00B731BF"/>
    <w:rsid w:val="00B73312"/>
    <w:rsid w:val="00B73473"/>
    <w:rsid w:val="00B736A6"/>
    <w:rsid w:val="00B73E06"/>
    <w:rsid w:val="00B73E36"/>
    <w:rsid w:val="00B7402A"/>
    <w:rsid w:val="00B74099"/>
    <w:rsid w:val="00B74131"/>
    <w:rsid w:val="00B7427F"/>
    <w:rsid w:val="00B74288"/>
    <w:rsid w:val="00B74379"/>
    <w:rsid w:val="00B745B3"/>
    <w:rsid w:val="00B7477B"/>
    <w:rsid w:val="00B74835"/>
    <w:rsid w:val="00B748D3"/>
    <w:rsid w:val="00B7498D"/>
    <w:rsid w:val="00B749A5"/>
    <w:rsid w:val="00B74AAA"/>
    <w:rsid w:val="00B74C1D"/>
    <w:rsid w:val="00B74D3D"/>
    <w:rsid w:val="00B74D58"/>
    <w:rsid w:val="00B74E5A"/>
    <w:rsid w:val="00B74E79"/>
    <w:rsid w:val="00B74EB6"/>
    <w:rsid w:val="00B75041"/>
    <w:rsid w:val="00B750D8"/>
    <w:rsid w:val="00B7529B"/>
    <w:rsid w:val="00B752CB"/>
    <w:rsid w:val="00B7570D"/>
    <w:rsid w:val="00B758B5"/>
    <w:rsid w:val="00B758B8"/>
    <w:rsid w:val="00B759CE"/>
    <w:rsid w:val="00B75A68"/>
    <w:rsid w:val="00B75ADC"/>
    <w:rsid w:val="00B75B44"/>
    <w:rsid w:val="00B75BF5"/>
    <w:rsid w:val="00B75FAB"/>
    <w:rsid w:val="00B75FC3"/>
    <w:rsid w:val="00B76116"/>
    <w:rsid w:val="00B761F3"/>
    <w:rsid w:val="00B7632C"/>
    <w:rsid w:val="00B76501"/>
    <w:rsid w:val="00B7667A"/>
    <w:rsid w:val="00B76681"/>
    <w:rsid w:val="00B766C5"/>
    <w:rsid w:val="00B76780"/>
    <w:rsid w:val="00B769BD"/>
    <w:rsid w:val="00B769E2"/>
    <w:rsid w:val="00B76A8D"/>
    <w:rsid w:val="00B76B88"/>
    <w:rsid w:val="00B76BB0"/>
    <w:rsid w:val="00B76BF3"/>
    <w:rsid w:val="00B76C12"/>
    <w:rsid w:val="00B76D31"/>
    <w:rsid w:val="00B76DD7"/>
    <w:rsid w:val="00B76E3C"/>
    <w:rsid w:val="00B76E85"/>
    <w:rsid w:val="00B76F50"/>
    <w:rsid w:val="00B76F94"/>
    <w:rsid w:val="00B77018"/>
    <w:rsid w:val="00B77055"/>
    <w:rsid w:val="00B77240"/>
    <w:rsid w:val="00B77498"/>
    <w:rsid w:val="00B77530"/>
    <w:rsid w:val="00B77605"/>
    <w:rsid w:val="00B7761F"/>
    <w:rsid w:val="00B776ED"/>
    <w:rsid w:val="00B777CE"/>
    <w:rsid w:val="00B77849"/>
    <w:rsid w:val="00B779D1"/>
    <w:rsid w:val="00B779D4"/>
    <w:rsid w:val="00B77BB8"/>
    <w:rsid w:val="00B77DB6"/>
    <w:rsid w:val="00B77EEF"/>
    <w:rsid w:val="00B8015A"/>
    <w:rsid w:val="00B80196"/>
    <w:rsid w:val="00B80278"/>
    <w:rsid w:val="00B802C1"/>
    <w:rsid w:val="00B80341"/>
    <w:rsid w:val="00B803D5"/>
    <w:rsid w:val="00B803E7"/>
    <w:rsid w:val="00B80476"/>
    <w:rsid w:val="00B80682"/>
    <w:rsid w:val="00B80847"/>
    <w:rsid w:val="00B809BC"/>
    <w:rsid w:val="00B80B1A"/>
    <w:rsid w:val="00B80C58"/>
    <w:rsid w:val="00B80C73"/>
    <w:rsid w:val="00B80F3D"/>
    <w:rsid w:val="00B8160E"/>
    <w:rsid w:val="00B81822"/>
    <w:rsid w:val="00B81836"/>
    <w:rsid w:val="00B81A54"/>
    <w:rsid w:val="00B81B8B"/>
    <w:rsid w:val="00B81BC1"/>
    <w:rsid w:val="00B81C8E"/>
    <w:rsid w:val="00B81D2A"/>
    <w:rsid w:val="00B81E21"/>
    <w:rsid w:val="00B81E61"/>
    <w:rsid w:val="00B81FD5"/>
    <w:rsid w:val="00B820B3"/>
    <w:rsid w:val="00B820F8"/>
    <w:rsid w:val="00B8211A"/>
    <w:rsid w:val="00B82334"/>
    <w:rsid w:val="00B82343"/>
    <w:rsid w:val="00B82424"/>
    <w:rsid w:val="00B8243A"/>
    <w:rsid w:val="00B82479"/>
    <w:rsid w:val="00B82811"/>
    <w:rsid w:val="00B8296E"/>
    <w:rsid w:val="00B8299F"/>
    <w:rsid w:val="00B82A00"/>
    <w:rsid w:val="00B82D96"/>
    <w:rsid w:val="00B82E3B"/>
    <w:rsid w:val="00B82EE4"/>
    <w:rsid w:val="00B8319D"/>
    <w:rsid w:val="00B832CC"/>
    <w:rsid w:val="00B832E7"/>
    <w:rsid w:val="00B8332C"/>
    <w:rsid w:val="00B8360C"/>
    <w:rsid w:val="00B83695"/>
    <w:rsid w:val="00B83720"/>
    <w:rsid w:val="00B839D3"/>
    <w:rsid w:val="00B83A09"/>
    <w:rsid w:val="00B83A3F"/>
    <w:rsid w:val="00B83B17"/>
    <w:rsid w:val="00B83ED8"/>
    <w:rsid w:val="00B83F57"/>
    <w:rsid w:val="00B841E6"/>
    <w:rsid w:val="00B8429F"/>
    <w:rsid w:val="00B84439"/>
    <w:rsid w:val="00B84543"/>
    <w:rsid w:val="00B848D2"/>
    <w:rsid w:val="00B84AA2"/>
    <w:rsid w:val="00B84BDA"/>
    <w:rsid w:val="00B84C09"/>
    <w:rsid w:val="00B84C39"/>
    <w:rsid w:val="00B84DB9"/>
    <w:rsid w:val="00B84DBF"/>
    <w:rsid w:val="00B84E06"/>
    <w:rsid w:val="00B84E9A"/>
    <w:rsid w:val="00B850DA"/>
    <w:rsid w:val="00B8522A"/>
    <w:rsid w:val="00B852CC"/>
    <w:rsid w:val="00B8538F"/>
    <w:rsid w:val="00B853DE"/>
    <w:rsid w:val="00B8545D"/>
    <w:rsid w:val="00B85650"/>
    <w:rsid w:val="00B85791"/>
    <w:rsid w:val="00B858DA"/>
    <w:rsid w:val="00B85ADC"/>
    <w:rsid w:val="00B85B28"/>
    <w:rsid w:val="00B85BC9"/>
    <w:rsid w:val="00B85D3F"/>
    <w:rsid w:val="00B85D40"/>
    <w:rsid w:val="00B85D82"/>
    <w:rsid w:val="00B85EA9"/>
    <w:rsid w:val="00B8602D"/>
    <w:rsid w:val="00B86125"/>
    <w:rsid w:val="00B8615B"/>
    <w:rsid w:val="00B8620C"/>
    <w:rsid w:val="00B8626A"/>
    <w:rsid w:val="00B863D1"/>
    <w:rsid w:val="00B86424"/>
    <w:rsid w:val="00B8649A"/>
    <w:rsid w:val="00B86677"/>
    <w:rsid w:val="00B86679"/>
    <w:rsid w:val="00B8683C"/>
    <w:rsid w:val="00B86961"/>
    <w:rsid w:val="00B869B7"/>
    <w:rsid w:val="00B86BAA"/>
    <w:rsid w:val="00B86BDF"/>
    <w:rsid w:val="00B86E72"/>
    <w:rsid w:val="00B86EAE"/>
    <w:rsid w:val="00B86F9F"/>
    <w:rsid w:val="00B870AD"/>
    <w:rsid w:val="00B872E2"/>
    <w:rsid w:val="00B87539"/>
    <w:rsid w:val="00B87582"/>
    <w:rsid w:val="00B87722"/>
    <w:rsid w:val="00B87749"/>
    <w:rsid w:val="00B877BE"/>
    <w:rsid w:val="00B87823"/>
    <w:rsid w:val="00B8786E"/>
    <w:rsid w:val="00B8789A"/>
    <w:rsid w:val="00B878C3"/>
    <w:rsid w:val="00B87A98"/>
    <w:rsid w:val="00B87C7B"/>
    <w:rsid w:val="00B87CBF"/>
    <w:rsid w:val="00B87F82"/>
    <w:rsid w:val="00B87FD8"/>
    <w:rsid w:val="00B9011A"/>
    <w:rsid w:val="00B90453"/>
    <w:rsid w:val="00B906FF"/>
    <w:rsid w:val="00B90733"/>
    <w:rsid w:val="00B907E8"/>
    <w:rsid w:val="00B90895"/>
    <w:rsid w:val="00B90D35"/>
    <w:rsid w:val="00B90F0B"/>
    <w:rsid w:val="00B90FA7"/>
    <w:rsid w:val="00B9108D"/>
    <w:rsid w:val="00B910DA"/>
    <w:rsid w:val="00B9118C"/>
    <w:rsid w:val="00B912AB"/>
    <w:rsid w:val="00B91421"/>
    <w:rsid w:val="00B91795"/>
    <w:rsid w:val="00B91929"/>
    <w:rsid w:val="00B91A0C"/>
    <w:rsid w:val="00B91FF3"/>
    <w:rsid w:val="00B920F1"/>
    <w:rsid w:val="00B921A5"/>
    <w:rsid w:val="00B9222E"/>
    <w:rsid w:val="00B923F9"/>
    <w:rsid w:val="00B92569"/>
    <w:rsid w:val="00B925DB"/>
    <w:rsid w:val="00B926B3"/>
    <w:rsid w:val="00B92891"/>
    <w:rsid w:val="00B929C4"/>
    <w:rsid w:val="00B92A83"/>
    <w:rsid w:val="00B92A9A"/>
    <w:rsid w:val="00B92D48"/>
    <w:rsid w:val="00B92D94"/>
    <w:rsid w:val="00B92DA4"/>
    <w:rsid w:val="00B93087"/>
    <w:rsid w:val="00B930B4"/>
    <w:rsid w:val="00B931C9"/>
    <w:rsid w:val="00B9354E"/>
    <w:rsid w:val="00B93612"/>
    <w:rsid w:val="00B93615"/>
    <w:rsid w:val="00B93639"/>
    <w:rsid w:val="00B93676"/>
    <w:rsid w:val="00B93707"/>
    <w:rsid w:val="00B9380E"/>
    <w:rsid w:val="00B9382D"/>
    <w:rsid w:val="00B93B6A"/>
    <w:rsid w:val="00B93D48"/>
    <w:rsid w:val="00B93D9D"/>
    <w:rsid w:val="00B94121"/>
    <w:rsid w:val="00B943A8"/>
    <w:rsid w:val="00B944A6"/>
    <w:rsid w:val="00B94731"/>
    <w:rsid w:val="00B94A8B"/>
    <w:rsid w:val="00B94B5F"/>
    <w:rsid w:val="00B94BEA"/>
    <w:rsid w:val="00B94CD2"/>
    <w:rsid w:val="00B94EBE"/>
    <w:rsid w:val="00B95025"/>
    <w:rsid w:val="00B9504E"/>
    <w:rsid w:val="00B95144"/>
    <w:rsid w:val="00B951E0"/>
    <w:rsid w:val="00B9535E"/>
    <w:rsid w:val="00B95400"/>
    <w:rsid w:val="00B954B2"/>
    <w:rsid w:val="00B95536"/>
    <w:rsid w:val="00B95597"/>
    <w:rsid w:val="00B955A7"/>
    <w:rsid w:val="00B955C7"/>
    <w:rsid w:val="00B9566B"/>
    <w:rsid w:val="00B95766"/>
    <w:rsid w:val="00B957DF"/>
    <w:rsid w:val="00B95884"/>
    <w:rsid w:val="00B958AD"/>
    <w:rsid w:val="00B95C06"/>
    <w:rsid w:val="00B95D00"/>
    <w:rsid w:val="00B95E75"/>
    <w:rsid w:val="00B95E80"/>
    <w:rsid w:val="00B95F81"/>
    <w:rsid w:val="00B95FF0"/>
    <w:rsid w:val="00B96054"/>
    <w:rsid w:val="00B96075"/>
    <w:rsid w:val="00B96085"/>
    <w:rsid w:val="00B9614E"/>
    <w:rsid w:val="00B962DA"/>
    <w:rsid w:val="00B963BA"/>
    <w:rsid w:val="00B963ED"/>
    <w:rsid w:val="00B96476"/>
    <w:rsid w:val="00B964B7"/>
    <w:rsid w:val="00B96549"/>
    <w:rsid w:val="00B96646"/>
    <w:rsid w:val="00B9677D"/>
    <w:rsid w:val="00B96A05"/>
    <w:rsid w:val="00B96BB2"/>
    <w:rsid w:val="00B96CB0"/>
    <w:rsid w:val="00B96D08"/>
    <w:rsid w:val="00B96FA4"/>
    <w:rsid w:val="00B973AD"/>
    <w:rsid w:val="00B97400"/>
    <w:rsid w:val="00B97451"/>
    <w:rsid w:val="00B97588"/>
    <w:rsid w:val="00B97617"/>
    <w:rsid w:val="00B978AA"/>
    <w:rsid w:val="00B978D6"/>
    <w:rsid w:val="00B978E0"/>
    <w:rsid w:val="00B979CB"/>
    <w:rsid w:val="00B97A20"/>
    <w:rsid w:val="00B97A95"/>
    <w:rsid w:val="00B97B2C"/>
    <w:rsid w:val="00B97C6C"/>
    <w:rsid w:val="00B97DB6"/>
    <w:rsid w:val="00B97E30"/>
    <w:rsid w:val="00B97E58"/>
    <w:rsid w:val="00B97F81"/>
    <w:rsid w:val="00BA00D6"/>
    <w:rsid w:val="00BA00DD"/>
    <w:rsid w:val="00BA0123"/>
    <w:rsid w:val="00BA0314"/>
    <w:rsid w:val="00BA03E8"/>
    <w:rsid w:val="00BA08AB"/>
    <w:rsid w:val="00BA0AFD"/>
    <w:rsid w:val="00BA0B4C"/>
    <w:rsid w:val="00BA0C91"/>
    <w:rsid w:val="00BA0E74"/>
    <w:rsid w:val="00BA1075"/>
    <w:rsid w:val="00BA107B"/>
    <w:rsid w:val="00BA1303"/>
    <w:rsid w:val="00BA1618"/>
    <w:rsid w:val="00BA164E"/>
    <w:rsid w:val="00BA16E1"/>
    <w:rsid w:val="00BA18DF"/>
    <w:rsid w:val="00BA1C1C"/>
    <w:rsid w:val="00BA1D13"/>
    <w:rsid w:val="00BA1DAA"/>
    <w:rsid w:val="00BA1F88"/>
    <w:rsid w:val="00BA1FD5"/>
    <w:rsid w:val="00BA2032"/>
    <w:rsid w:val="00BA20C6"/>
    <w:rsid w:val="00BA20FE"/>
    <w:rsid w:val="00BA253A"/>
    <w:rsid w:val="00BA2575"/>
    <w:rsid w:val="00BA272E"/>
    <w:rsid w:val="00BA2805"/>
    <w:rsid w:val="00BA2AA4"/>
    <w:rsid w:val="00BA2AA5"/>
    <w:rsid w:val="00BA2B10"/>
    <w:rsid w:val="00BA2BF2"/>
    <w:rsid w:val="00BA2E91"/>
    <w:rsid w:val="00BA3369"/>
    <w:rsid w:val="00BA356E"/>
    <w:rsid w:val="00BA3620"/>
    <w:rsid w:val="00BA37E0"/>
    <w:rsid w:val="00BA38B8"/>
    <w:rsid w:val="00BA3934"/>
    <w:rsid w:val="00BA39F6"/>
    <w:rsid w:val="00BA3ABD"/>
    <w:rsid w:val="00BA3AC7"/>
    <w:rsid w:val="00BA3B0E"/>
    <w:rsid w:val="00BA3C80"/>
    <w:rsid w:val="00BA3C94"/>
    <w:rsid w:val="00BA3EE2"/>
    <w:rsid w:val="00BA4024"/>
    <w:rsid w:val="00BA4056"/>
    <w:rsid w:val="00BA4162"/>
    <w:rsid w:val="00BA434C"/>
    <w:rsid w:val="00BA43AA"/>
    <w:rsid w:val="00BA44EA"/>
    <w:rsid w:val="00BA4548"/>
    <w:rsid w:val="00BA483B"/>
    <w:rsid w:val="00BA4A27"/>
    <w:rsid w:val="00BA4B31"/>
    <w:rsid w:val="00BA4B9C"/>
    <w:rsid w:val="00BA4E41"/>
    <w:rsid w:val="00BA4FB7"/>
    <w:rsid w:val="00BA5058"/>
    <w:rsid w:val="00BA514E"/>
    <w:rsid w:val="00BA533E"/>
    <w:rsid w:val="00BA5362"/>
    <w:rsid w:val="00BA53E6"/>
    <w:rsid w:val="00BA5415"/>
    <w:rsid w:val="00BA544A"/>
    <w:rsid w:val="00BA54DC"/>
    <w:rsid w:val="00BA5633"/>
    <w:rsid w:val="00BA588E"/>
    <w:rsid w:val="00BA5999"/>
    <w:rsid w:val="00BA5A1E"/>
    <w:rsid w:val="00BA5BDF"/>
    <w:rsid w:val="00BA5C17"/>
    <w:rsid w:val="00BA5C2B"/>
    <w:rsid w:val="00BA5CC7"/>
    <w:rsid w:val="00BA5CED"/>
    <w:rsid w:val="00BA5D6F"/>
    <w:rsid w:val="00BA61B6"/>
    <w:rsid w:val="00BA6201"/>
    <w:rsid w:val="00BA6378"/>
    <w:rsid w:val="00BA6447"/>
    <w:rsid w:val="00BA65EF"/>
    <w:rsid w:val="00BA660C"/>
    <w:rsid w:val="00BA6866"/>
    <w:rsid w:val="00BA6868"/>
    <w:rsid w:val="00BA68C9"/>
    <w:rsid w:val="00BA6AC8"/>
    <w:rsid w:val="00BA6B16"/>
    <w:rsid w:val="00BA6BAF"/>
    <w:rsid w:val="00BA6C05"/>
    <w:rsid w:val="00BA6CBB"/>
    <w:rsid w:val="00BA6D62"/>
    <w:rsid w:val="00BA6ED2"/>
    <w:rsid w:val="00BA6F86"/>
    <w:rsid w:val="00BA6FA1"/>
    <w:rsid w:val="00BA6FDC"/>
    <w:rsid w:val="00BA70EE"/>
    <w:rsid w:val="00BA70F1"/>
    <w:rsid w:val="00BA73D4"/>
    <w:rsid w:val="00BA7551"/>
    <w:rsid w:val="00BA7AAD"/>
    <w:rsid w:val="00BA7C12"/>
    <w:rsid w:val="00BA7C21"/>
    <w:rsid w:val="00BA7C56"/>
    <w:rsid w:val="00BA7E0F"/>
    <w:rsid w:val="00BA7FCB"/>
    <w:rsid w:val="00BB0074"/>
    <w:rsid w:val="00BB016F"/>
    <w:rsid w:val="00BB01A0"/>
    <w:rsid w:val="00BB01A7"/>
    <w:rsid w:val="00BB01F4"/>
    <w:rsid w:val="00BB021A"/>
    <w:rsid w:val="00BB022D"/>
    <w:rsid w:val="00BB036A"/>
    <w:rsid w:val="00BB0547"/>
    <w:rsid w:val="00BB056E"/>
    <w:rsid w:val="00BB0646"/>
    <w:rsid w:val="00BB076E"/>
    <w:rsid w:val="00BB0798"/>
    <w:rsid w:val="00BB07D0"/>
    <w:rsid w:val="00BB08C0"/>
    <w:rsid w:val="00BB0919"/>
    <w:rsid w:val="00BB0A19"/>
    <w:rsid w:val="00BB0ABD"/>
    <w:rsid w:val="00BB0AF3"/>
    <w:rsid w:val="00BB0CE7"/>
    <w:rsid w:val="00BB0D4B"/>
    <w:rsid w:val="00BB0F04"/>
    <w:rsid w:val="00BB0F20"/>
    <w:rsid w:val="00BB1033"/>
    <w:rsid w:val="00BB1296"/>
    <w:rsid w:val="00BB129C"/>
    <w:rsid w:val="00BB1330"/>
    <w:rsid w:val="00BB1404"/>
    <w:rsid w:val="00BB16A0"/>
    <w:rsid w:val="00BB16BE"/>
    <w:rsid w:val="00BB16F9"/>
    <w:rsid w:val="00BB179D"/>
    <w:rsid w:val="00BB18FC"/>
    <w:rsid w:val="00BB1905"/>
    <w:rsid w:val="00BB19CE"/>
    <w:rsid w:val="00BB1B7F"/>
    <w:rsid w:val="00BB1C72"/>
    <w:rsid w:val="00BB1CEA"/>
    <w:rsid w:val="00BB1D4E"/>
    <w:rsid w:val="00BB1F13"/>
    <w:rsid w:val="00BB1F66"/>
    <w:rsid w:val="00BB1F73"/>
    <w:rsid w:val="00BB2039"/>
    <w:rsid w:val="00BB21A8"/>
    <w:rsid w:val="00BB223B"/>
    <w:rsid w:val="00BB2324"/>
    <w:rsid w:val="00BB2326"/>
    <w:rsid w:val="00BB2360"/>
    <w:rsid w:val="00BB2392"/>
    <w:rsid w:val="00BB25BD"/>
    <w:rsid w:val="00BB2665"/>
    <w:rsid w:val="00BB26F2"/>
    <w:rsid w:val="00BB271C"/>
    <w:rsid w:val="00BB274D"/>
    <w:rsid w:val="00BB2779"/>
    <w:rsid w:val="00BB285F"/>
    <w:rsid w:val="00BB28EB"/>
    <w:rsid w:val="00BB2B66"/>
    <w:rsid w:val="00BB2CD8"/>
    <w:rsid w:val="00BB324F"/>
    <w:rsid w:val="00BB3536"/>
    <w:rsid w:val="00BB377C"/>
    <w:rsid w:val="00BB37F8"/>
    <w:rsid w:val="00BB3897"/>
    <w:rsid w:val="00BB3902"/>
    <w:rsid w:val="00BB3986"/>
    <w:rsid w:val="00BB3A18"/>
    <w:rsid w:val="00BB3A68"/>
    <w:rsid w:val="00BB3B0A"/>
    <w:rsid w:val="00BB3D23"/>
    <w:rsid w:val="00BB3DAB"/>
    <w:rsid w:val="00BB3E7D"/>
    <w:rsid w:val="00BB3ECB"/>
    <w:rsid w:val="00BB3FEB"/>
    <w:rsid w:val="00BB4251"/>
    <w:rsid w:val="00BB42FB"/>
    <w:rsid w:val="00BB44BE"/>
    <w:rsid w:val="00BB469D"/>
    <w:rsid w:val="00BB4832"/>
    <w:rsid w:val="00BB484C"/>
    <w:rsid w:val="00BB48B0"/>
    <w:rsid w:val="00BB495B"/>
    <w:rsid w:val="00BB4B61"/>
    <w:rsid w:val="00BB4E89"/>
    <w:rsid w:val="00BB4F0D"/>
    <w:rsid w:val="00BB5551"/>
    <w:rsid w:val="00BB5558"/>
    <w:rsid w:val="00BB55E9"/>
    <w:rsid w:val="00BB5637"/>
    <w:rsid w:val="00BB5680"/>
    <w:rsid w:val="00BB57A5"/>
    <w:rsid w:val="00BB57A9"/>
    <w:rsid w:val="00BB58C1"/>
    <w:rsid w:val="00BB5B74"/>
    <w:rsid w:val="00BB5BB8"/>
    <w:rsid w:val="00BB5C6F"/>
    <w:rsid w:val="00BB5E8F"/>
    <w:rsid w:val="00BB6124"/>
    <w:rsid w:val="00BB619C"/>
    <w:rsid w:val="00BB6339"/>
    <w:rsid w:val="00BB6404"/>
    <w:rsid w:val="00BB6554"/>
    <w:rsid w:val="00BB66E7"/>
    <w:rsid w:val="00BB686C"/>
    <w:rsid w:val="00BB6B1F"/>
    <w:rsid w:val="00BB6FE9"/>
    <w:rsid w:val="00BB706D"/>
    <w:rsid w:val="00BB708D"/>
    <w:rsid w:val="00BB70DC"/>
    <w:rsid w:val="00BB72A2"/>
    <w:rsid w:val="00BB72CA"/>
    <w:rsid w:val="00BB73F2"/>
    <w:rsid w:val="00BB75C2"/>
    <w:rsid w:val="00BB76BE"/>
    <w:rsid w:val="00BB779C"/>
    <w:rsid w:val="00BB790B"/>
    <w:rsid w:val="00BB7B82"/>
    <w:rsid w:val="00BB7D1F"/>
    <w:rsid w:val="00BB7DE4"/>
    <w:rsid w:val="00BB7F3A"/>
    <w:rsid w:val="00BB7F54"/>
    <w:rsid w:val="00BB7F9F"/>
    <w:rsid w:val="00BB7FB2"/>
    <w:rsid w:val="00BC01DE"/>
    <w:rsid w:val="00BC02F7"/>
    <w:rsid w:val="00BC0509"/>
    <w:rsid w:val="00BC0688"/>
    <w:rsid w:val="00BC07CA"/>
    <w:rsid w:val="00BC0822"/>
    <w:rsid w:val="00BC0939"/>
    <w:rsid w:val="00BC093A"/>
    <w:rsid w:val="00BC0942"/>
    <w:rsid w:val="00BC0BDD"/>
    <w:rsid w:val="00BC0C95"/>
    <w:rsid w:val="00BC0CFC"/>
    <w:rsid w:val="00BC0E71"/>
    <w:rsid w:val="00BC0EED"/>
    <w:rsid w:val="00BC10FB"/>
    <w:rsid w:val="00BC1337"/>
    <w:rsid w:val="00BC150C"/>
    <w:rsid w:val="00BC16A9"/>
    <w:rsid w:val="00BC1701"/>
    <w:rsid w:val="00BC189C"/>
    <w:rsid w:val="00BC1A63"/>
    <w:rsid w:val="00BC1B51"/>
    <w:rsid w:val="00BC1B8D"/>
    <w:rsid w:val="00BC1D0A"/>
    <w:rsid w:val="00BC1DC9"/>
    <w:rsid w:val="00BC1F5D"/>
    <w:rsid w:val="00BC2010"/>
    <w:rsid w:val="00BC212D"/>
    <w:rsid w:val="00BC2134"/>
    <w:rsid w:val="00BC213F"/>
    <w:rsid w:val="00BC216C"/>
    <w:rsid w:val="00BC2229"/>
    <w:rsid w:val="00BC2315"/>
    <w:rsid w:val="00BC235E"/>
    <w:rsid w:val="00BC2655"/>
    <w:rsid w:val="00BC269F"/>
    <w:rsid w:val="00BC28A2"/>
    <w:rsid w:val="00BC2A8B"/>
    <w:rsid w:val="00BC2DDD"/>
    <w:rsid w:val="00BC2E8F"/>
    <w:rsid w:val="00BC2EB2"/>
    <w:rsid w:val="00BC2FE8"/>
    <w:rsid w:val="00BC30CF"/>
    <w:rsid w:val="00BC3120"/>
    <w:rsid w:val="00BC317F"/>
    <w:rsid w:val="00BC319E"/>
    <w:rsid w:val="00BC31B8"/>
    <w:rsid w:val="00BC31ED"/>
    <w:rsid w:val="00BC3370"/>
    <w:rsid w:val="00BC344A"/>
    <w:rsid w:val="00BC345D"/>
    <w:rsid w:val="00BC3658"/>
    <w:rsid w:val="00BC3798"/>
    <w:rsid w:val="00BC3867"/>
    <w:rsid w:val="00BC39CC"/>
    <w:rsid w:val="00BC3B22"/>
    <w:rsid w:val="00BC3B58"/>
    <w:rsid w:val="00BC3BBA"/>
    <w:rsid w:val="00BC3C39"/>
    <w:rsid w:val="00BC3CE6"/>
    <w:rsid w:val="00BC3D7B"/>
    <w:rsid w:val="00BC410F"/>
    <w:rsid w:val="00BC4193"/>
    <w:rsid w:val="00BC433B"/>
    <w:rsid w:val="00BC4406"/>
    <w:rsid w:val="00BC44E9"/>
    <w:rsid w:val="00BC4585"/>
    <w:rsid w:val="00BC48CB"/>
    <w:rsid w:val="00BC4918"/>
    <w:rsid w:val="00BC4B02"/>
    <w:rsid w:val="00BC4DAD"/>
    <w:rsid w:val="00BC5158"/>
    <w:rsid w:val="00BC51ED"/>
    <w:rsid w:val="00BC5203"/>
    <w:rsid w:val="00BC523F"/>
    <w:rsid w:val="00BC55B6"/>
    <w:rsid w:val="00BC5627"/>
    <w:rsid w:val="00BC571C"/>
    <w:rsid w:val="00BC57C4"/>
    <w:rsid w:val="00BC57FD"/>
    <w:rsid w:val="00BC58BB"/>
    <w:rsid w:val="00BC59C0"/>
    <w:rsid w:val="00BC5AAE"/>
    <w:rsid w:val="00BC5B1A"/>
    <w:rsid w:val="00BC5BA8"/>
    <w:rsid w:val="00BC5BAD"/>
    <w:rsid w:val="00BC5CDD"/>
    <w:rsid w:val="00BC5E85"/>
    <w:rsid w:val="00BC5FA0"/>
    <w:rsid w:val="00BC605E"/>
    <w:rsid w:val="00BC61B6"/>
    <w:rsid w:val="00BC6245"/>
    <w:rsid w:val="00BC62AB"/>
    <w:rsid w:val="00BC6310"/>
    <w:rsid w:val="00BC63E9"/>
    <w:rsid w:val="00BC66A4"/>
    <w:rsid w:val="00BC67C5"/>
    <w:rsid w:val="00BC680D"/>
    <w:rsid w:val="00BC6810"/>
    <w:rsid w:val="00BC692E"/>
    <w:rsid w:val="00BC6A65"/>
    <w:rsid w:val="00BC6AC5"/>
    <w:rsid w:val="00BC6B6D"/>
    <w:rsid w:val="00BC6DFC"/>
    <w:rsid w:val="00BC6EA3"/>
    <w:rsid w:val="00BC6F36"/>
    <w:rsid w:val="00BC6FFE"/>
    <w:rsid w:val="00BC7121"/>
    <w:rsid w:val="00BC73B3"/>
    <w:rsid w:val="00BC77DE"/>
    <w:rsid w:val="00BC7A5C"/>
    <w:rsid w:val="00BC7B4F"/>
    <w:rsid w:val="00BC7DF9"/>
    <w:rsid w:val="00BC7F91"/>
    <w:rsid w:val="00BD0055"/>
    <w:rsid w:val="00BD0084"/>
    <w:rsid w:val="00BD01F9"/>
    <w:rsid w:val="00BD0238"/>
    <w:rsid w:val="00BD0310"/>
    <w:rsid w:val="00BD034B"/>
    <w:rsid w:val="00BD04D8"/>
    <w:rsid w:val="00BD05A8"/>
    <w:rsid w:val="00BD06BC"/>
    <w:rsid w:val="00BD06DA"/>
    <w:rsid w:val="00BD0728"/>
    <w:rsid w:val="00BD080F"/>
    <w:rsid w:val="00BD0823"/>
    <w:rsid w:val="00BD09A7"/>
    <w:rsid w:val="00BD0AD9"/>
    <w:rsid w:val="00BD0B05"/>
    <w:rsid w:val="00BD0EB1"/>
    <w:rsid w:val="00BD0EE5"/>
    <w:rsid w:val="00BD1202"/>
    <w:rsid w:val="00BD1443"/>
    <w:rsid w:val="00BD173D"/>
    <w:rsid w:val="00BD1749"/>
    <w:rsid w:val="00BD17AF"/>
    <w:rsid w:val="00BD1C42"/>
    <w:rsid w:val="00BD1C56"/>
    <w:rsid w:val="00BD1E1E"/>
    <w:rsid w:val="00BD1E22"/>
    <w:rsid w:val="00BD1EAC"/>
    <w:rsid w:val="00BD21C3"/>
    <w:rsid w:val="00BD229F"/>
    <w:rsid w:val="00BD23BE"/>
    <w:rsid w:val="00BD248B"/>
    <w:rsid w:val="00BD24B0"/>
    <w:rsid w:val="00BD24E4"/>
    <w:rsid w:val="00BD25E2"/>
    <w:rsid w:val="00BD2764"/>
    <w:rsid w:val="00BD2827"/>
    <w:rsid w:val="00BD2CF0"/>
    <w:rsid w:val="00BD2D67"/>
    <w:rsid w:val="00BD2DE6"/>
    <w:rsid w:val="00BD305F"/>
    <w:rsid w:val="00BD312E"/>
    <w:rsid w:val="00BD3280"/>
    <w:rsid w:val="00BD332C"/>
    <w:rsid w:val="00BD33AD"/>
    <w:rsid w:val="00BD358F"/>
    <w:rsid w:val="00BD3811"/>
    <w:rsid w:val="00BD38B3"/>
    <w:rsid w:val="00BD398E"/>
    <w:rsid w:val="00BD3B23"/>
    <w:rsid w:val="00BD3BF3"/>
    <w:rsid w:val="00BD3C56"/>
    <w:rsid w:val="00BD3CB9"/>
    <w:rsid w:val="00BD3D74"/>
    <w:rsid w:val="00BD3EE2"/>
    <w:rsid w:val="00BD406A"/>
    <w:rsid w:val="00BD4206"/>
    <w:rsid w:val="00BD4367"/>
    <w:rsid w:val="00BD43D1"/>
    <w:rsid w:val="00BD4544"/>
    <w:rsid w:val="00BD465A"/>
    <w:rsid w:val="00BD46CC"/>
    <w:rsid w:val="00BD482B"/>
    <w:rsid w:val="00BD4899"/>
    <w:rsid w:val="00BD4AEB"/>
    <w:rsid w:val="00BD4C2D"/>
    <w:rsid w:val="00BD4E1A"/>
    <w:rsid w:val="00BD4E2E"/>
    <w:rsid w:val="00BD4EF5"/>
    <w:rsid w:val="00BD5055"/>
    <w:rsid w:val="00BD5111"/>
    <w:rsid w:val="00BD5292"/>
    <w:rsid w:val="00BD5420"/>
    <w:rsid w:val="00BD5554"/>
    <w:rsid w:val="00BD5671"/>
    <w:rsid w:val="00BD5A76"/>
    <w:rsid w:val="00BD5AB5"/>
    <w:rsid w:val="00BD5DE8"/>
    <w:rsid w:val="00BD5E51"/>
    <w:rsid w:val="00BD60FB"/>
    <w:rsid w:val="00BD6185"/>
    <w:rsid w:val="00BD6278"/>
    <w:rsid w:val="00BD62C0"/>
    <w:rsid w:val="00BD637A"/>
    <w:rsid w:val="00BD64DE"/>
    <w:rsid w:val="00BD650C"/>
    <w:rsid w:val="00BD65A5"/>
    <w:rsid w:val="00BD65A6"/>
    <w:rsid w:val="00BD66B3"/>
    <w:rsid w:val="00BD674D"/>
    <w:rsid w:val="00BD6756"/>
    <w:rsid w:val="00BD68F1"/>
    <w:rsid w:val="00BD69D9"/>
    <w:rsid w:val="00BD6B5C"/>
    <w:rsid w:val="00BD6C71"/>
    <w:rsid w:val="00BD6CA1"/>
    <w:rsid w:val="00BD6CE6"/>
    <w:rsid w:val="00BD6D70"/>
    <w:rsid w:val="00BD6FAF"/>
    <w:rsid w:val="00BD71EA"/>
    <w:rsid w:val="00BD7222"/>
    <w:rsid w:val="00BD7247"/>
    <w:rsid w:val="00BD72AE"/>
    <w:rsid w:val="00BD7490"/>
    <w:rsid w:val="00BD753A"/>
    <w:rsid w:val="00BD75CB"/>
    <w:rsid w:val="00BD76F6"/>
    <w:rsid w:val="00BD7A2A"/>
    <w:rsid w:val="00BD7A7B"/>
    <w:rsid w:val="00BD7AAF"/>
    <w:rsid w:val="00BD7CBC"/>
    <w:rsid w:val="00BD7CEA"/>
    <w:rsid w:val="00BD7F35"/>
    <w:rsid w:val="00BE00EB"/>
    <w:rsid w:val="00BE011E"/>
    <w:rsid w:val="00BE01F7"/>
    <w:rsid w:val="00BE02A3"/>
    <w:rsid w:val="00BE03FD"/>
    <w:rsid w:val="00BE08F7"/>
    <w:rsid w:val="00BE0D92"/>
    <w:rsid w:val="00BE0D9A"/>
    <w:rsid w:val="00BE0EFE"/>
    <w:rsid w:val="00BE10B9"/>
    <w:rsid w:val="00BE113D"/>
    <w:rsid w:val="00BE114A"/>
    <w:rsid w:val="00BE1158"/>
    <w:rsid w:val="00BE1179"/>
    <w:rsid w:val="00BE11DB"/>
    <w:rsid w:val="00BE1328"/>
    <w:rsid w:val="00BE1343"/>
    <w:rsid w:val="00BE14B6"/>
    <w:rsid w:val="00BE152A"/>
    <w:rsid w:val="00BE1641"/>
    <w:rsid w:val="00BE1700"/>
    <w:rsid w:val="00BE1A7D"/>
    <w:rsid w:val="00BE1B44"/>
    <w:rsid w:val="00BE1C96"/>
    <w:rsid w:val="00BE1D01"/>
    <w:rsid w:val="00BE1E05"/>
    <w:rsid w:val="00BE1FD7"/>
    <w:rsid w:val="00BE20B2"/>
    <w:rsid w:val="00BE23D5"/>
    <w:rsid w:val="00BE249D"/>
    <w:rsid w:val="00BE26CB"/>
    <w:rsid w:val="00BE271E"/>
    <w:rsid w:val="00BE275E"/>
    <w:rsid w:val="00BE283F"/>
    <w:rsid w:val="00BE2877"/>
    <w:rsid w:val="00BE29FB"/>
    <w:rsid w:val="00BE2A26"/>
    <w:rsid w:val="00BE2AEE"/>
    <w:rsid w:val="00BE2B24"/>
    <w:rsid w:val="00BE2BAB"/>
    <w:rsid w:val="00BE2CB3"/>
    <w:rsid w:val="00BE2E1C"/>
    <w:rsid w:val="00BE2ECF"/>
    <w:rsid w:val="00BE2F45"/>
    <w:rsid w:val="00BE32AE"/>
    <w:rsid w:val="00BE336D"/>
    <w:rsid w:val="00BE3493"/>
    <w:rsid w:val="00BE3604"/>
    <w:rsid w:val="00BE3777"/>
    <w:rsid w:val="00BE395A"/>
    <w:rsid w:val="00BE3990"/>
    <w:rsid w:val="00BE39D8"/>
    <w:rsid w:val="00BE3F58"/>
    <w:rsid w:val="00BE3FE1"/>
    <w:rsid w:val="00BE4146"/>
    <w:rsid w:val="00BE4374"/>
    <w:rsid w:val="00BE43BD"/>
    <w:rsid w:val="00BE47B4"/>
    <w:rsid w:val="00BE4B53"/>
    <w:rsid w:val="00BE4BD7"/>
    <w:rsid w:val="00BE4C15"/>
    <w:rsid w:val="00BE4C6D"/>
    <w:rsid w:val="00BE4CDB"/>
    <w:rsid w:val="00BE4DEB"/>
    <w:rsid w:val="00BE4DFB"/>
    <w:rsid w:val="00BE4E4F"/>
    <w:rsid w:val="00BE4F8D"/>
    <w:rsid w:val="00BE519C"/>
    <w:rsid w:val="00BE52E5"/>
    <w:rsid w:val="00BE53E9"/>
    <w:rsid w:val="00BE5477"/>
    <w:rsid w:val="00BE54A5"/>
    <w:rsid w:val="00BE54CE"/>
    <w:rsid w:val="00BE5689"/>
    <w:rsid w:val="00BE56BF"/>
    <w:rsid w:val="00BE5AC9"/>
    <w:rsid w:val="00BE5AF4"/>
    <w:rsid w:val="00BE5B99"/>
    <w:rsid w:val="00BE5D78"/>
    <w:rsid w:val="00BE5E08"/>
    <w:rsid w:val="00BE6086"/>
    <w:rsid w:val="00BE625C"/>
    <w:rsid w:val="00BE640E"/>
    <w:rsid w:val="00BE6627"/>
    <w:rsid w:val="00BE66C7"/>
    <w:rsid w:val="00BE69F2"/>
    <w:rsid w:val="00BE6D5F"/>
    <w:rsid w:val="00BE6D8A"/>
    <w:rsid w:val="00BE6E00"/>
    <w:rsid w:val="00BE6F63"/>
    <w:rsid w:val="00BE7123"/>
    <w:rsid w:val="00BE723D"/>
    <w:rsid w:val="00BE727F"/>
    <w:rsid w:val="00BE72C4"/>
    <w:rsid w:val="00BE742B"/>
    <w:rsid w:val="00BE7435"/>
    <w:rsid w:val="00BE745D"/>
    <w:rsid w:val="00BE755A"/>
    <w:rsid w:val="00BE764B"/>
    <w:rsid w:val="00BE7813"/>
    <w:rsid w:val="00BE782C"/>
    <w:rsid w:val="00BE797B"/>
    <w:rsid w:val="00BE7A11"/>
    <w:rsid w:val="00BE7A94"/>
    <w:rsid w:val="00BE7C78"/>
    <w:rsid w:val="00BE7F1F"/>
    <w:rsid w:val="00BE7F74"/>
    <w:rsid w:val="00BF0221"/>
    <w:rsid w:val="00BF0272"/>
    <w:rsid w:val="00BF074C"/>
    <w:rsid w:val="00BF0A6A"/>
    <w:rsid w:val="00BF0CBD"/>
    <w:rsid w:val="00BF0D76"/>
    <w:rsid w:val="00BF0DFB"/>
    <w:rsid w:val="00BF0F7B"/>
    <w:rsid w:val="00BF1055"/>
    <w:rsid w:val="00BF1104"/>
    <w:rsid w:val="00BF11DA"/>
    <w:rsid w:val="00BF127B"/>
    <w:rsid w:val="00BF14F6"/>
    <w:rsid w:val="00BF153C"/>
    <w:rsid w:val="00BF1736"/>
    <w:rsid w:val="00BF182A"/>
    <w:rsid w:val="00BF1992"/>
    <w:rsid w:val="00BF1CBA"/>
    <w:rsid w:val="00BF1F2D"/>
    <w:rsid w:val="00BF1FBD"/>
    <w:rsid w:val="00BF2548"/>
    <w:rsid w:val="00BF25D3"/>
    <w:rsid w:val="00BF2693"/>
    <w:rsid w:val="00BF269A"/>
    <w:rsid w:val="00BF2797"/>
    <w:rsid w:val="00BF2866"/>
    <w:rsid w:val="00BF28E2"/>
    <w:rsid w:val="00BF293E"/>
    <w:rsid w:val="00BF2D16"/>
    <w:rsid w:val="00BF30C1"/>
    <w:rsid w:val="00BF3235"/>
    <w:rsid w:val="00BF323D"/>
    <w:rsid w:val="00BF3381"/>
    <w:rsid w:val="00BF357A"/>
    <w:rsid w:val="00BF36CC"/>
    <w:rsid w:val="00BF3746"/>
    <w:rsid w:val="00BF377E"/>
    <w:rsid w:val="00BF3910"/>
    <w:rsid w:val="00BF3C7B"/>
    <w:rsid w:val="00BF3F4C"/>
    <w:rsid w:val="00BF3F89"/>
    <w:rsid w:val="00BF4200"/>
    <w:rsid w:val="00BF4206"/>
    <w:rsid w:val="00BF445F"/>
    <w:rsid w:val="00BF44B1"/>
    <w:rsid w:val="00BF44E7"/>
    <w:rsid w:val="00BF45FE"/>
    <w:rsid w:val="00BF481D"/>
    <w:rsid w:val="00BF49F7"/>
    <w:rsid w:val="00BF4A33"/>
    <w:rsid w:val="00BF4AAC"/>
    <w:rsid w:val="00BF4AAE"/>
    <w:rsid w:val="00BF4B13"/>
    <w:rsid w:val="00BF4BFF"/>
    <w:rsid w:val="00BF4E0F"/>
    <w:rsid w:val="00BF52C3"/>
    <w:rsid w:val="00BF5326"/>
    <w:rsid w:val="00BF5422"/>
    <w:rsid w:val="00BF5461"/>
    <w:rsid w:val="00BF562B"/>
    <w:rsid w:val="00BF56DE"/>
    <w:rsid w:val="00BF56FF"/>
    <w:rsid w:val="00BF57EE"/>
    <w:rsid w:val="00BF5930"/>
    <w:rsid w:val="00BF599C"/>
    <w:rsid w:val="00BF5A2D"/>
    <w:rsid w:val="00BF5B05"/>
    <w:rsid w:val="00BF5B8B"/>
    <w:rsid w:val="00BF5C8D"/>
    <w:rsid w:val="00BF5CF9"/>
    <w:rsid w:val="00BF5DFB"/>
    <w:rsid w:val="00BF5E3D"/>
    <w:rsid w:val="00BF5EFA"/>
    <w:rsid w:val="00BF5F28"/>
    <w:rsid w:val="00BF625D"/>
    <w:rsid w:val="00BF62FA"/>
    <w:rsid w:val="00BF637D"/>
    <w:rsid w:val="00BF6547"/>
    <w:rsid w:val="00BF654B"/>
    <w:rsid w:val="00BF656C"/>
    <w:rsid w:val="00BF663C"/>
    <w:rsid w:val="00BF67B1"/>
    <w:rsid w:val="00BF6AF2"/>
    <w:rsid w:val="00BF6CAF"/>
    <w:rsid w:val="00BF6D86"/>
    <w:rsid w:val="00BF6FBF"/>
    <w:rsid w:val="00BF705D"/>
    <w:rsid w:val="00BF721E"/>
    <w:rsid w:val="00BF726A"/>
    <w:rsid w:val="00BF742C"/>
    <w:rsid w:val="00BF7588"/>
    <w:rsid w:val="00BF75B1"/>
    <w:rsid w:val="00BF76AE"/>
    <w:rsid w:val="00BF774C"/>
    <w:rsid w:val="00BF775A"/>
    <w:rsid w:val="00BF7795"/>
    <w:rsid w:val="00BF7959"/>
    <w:rsid w:val="00BF79D6"/>
    <w:rsid w:val="00BF7BBD"/>
    <w:rsid w:val="00BF7BED"/>
    <w:rsid w:val="00BF7D13"/>
    <w:rsid w:val="00BF7D72"/>
    <w:rsid w:val="00BF7F7A"/>
    <w:rsid w:val="00BF7FB4"/>
    <w:rsid w:val="00C0023A"/>
    <w:rsid w:val="00C00304"/>
    <w:rsid w:val="00C004B2"/>
    <w:rsid w:val="00C00533"/>
    <w:rsid w:val="00C0079A"/>
    <w:rsid w:val="00C00812"/>
    <w:rsid w:val="00C008E6"/>
    <w:rsid w:val="00C009F1"/>
    <w:rsid w:val="00C00A48"/>
    <w:rsid w:val="00C00AF8"/>
    <w:rsid w:val="00C00C9E"/>
    <w:rsid w:val="00C00D02"/>
    <w:rsid w:val="00C00D0F"/>
    <w:rsid w:val="00C00E30"/>
    <w:rsid w:val="00C00EEB"/>
    <w:rsid w:val="00C00F9E"/>
    <w:rsid w:val="00C00FC6"/>
    <w:rsid w:val="00C00FFE"/>
    <w:rsid w:val="00C01189"/>
    <w:rsid w:val="00C01497"/>
    <w:rsid w:val="00C014DE"/>
    <w:rsid w:val="00C015A7"/>
    <w:rsid w:val="00C01611"/>
    <w:rsid w:val="00C0183B"/>
    <w:rsid w:val="00C0191B"/>
    <w:rsid w:val="00C01C9B"/>
    <w:rsid w:val="00C021BB"/>
    <w:rsid w:val="00C02385"/>
    <w:rsid w:val="00C023B3"/>
    <w:rsid w:val="00C023DB"/>
    <w:rsid w:val="00C0254E"/>
    <w:rsid w:val="00C0272D"/>
    <w:rsid w:val="00C02811"/>
    <w:rsid w:val="00C02854"/>
    <w:rsid w:val="00C02B83"/>
    <w:rsid w:val="00C02C9B"/>
    <w:rsid w:val="00C02E99"/>
    <w:rsid w:val="00C02F31"/>
    <w:rsid w:val="00C02F45"/>
    <w:rsid w:val="00C02F63"/>
    <w:rsid w:val="00C02F65"/>
    <w:rsid w:val="00C02FF2"/>
    <w:rsid w:val="00C03192"/>
    <w:rsid w:val="00C033E2"/>
    <w:rsid w:val="00C0356A"/>
    <w:rsid w:val="00C0359B"/>
    <w:rsid w:val="00C03842"/>
    <w:rsid w:val="00C03859"/>
    <w:rsid w:val="00C03B62"/>
    <w:rsid w:val="00C03C9D"/>
    <w:rsid w:val="00C03CEA"/>
    <w:rsid w:val="00C03D85"/>
    <w:rsid w:val="00C04043"/>
    <w:rsid w:val="00C04079"/>
    <w:rsid w:val="00C041F6"/>
    <w:rsid w:val="00C04250"/>
    <w:rsid w:val="00C042AE"/>
    <w:rsid w:val="00C042BE"/>
    <w:rsid w:val="00C0440B"/>
    <w:rsid w:val="00C0447C"/>
    <w:rsid w:val="00C044F1"/>
    <w:rsid w:val="00C0450A"/>
    <w:rsid w:val="00C046B2"/>
    <w:rsid w:val="00C0491E"/>
    <w:rsid w:val="00C0494E"/>
    <w:rsid w:val="00C04E01"/>
    <w:rsid w:val="00C04E31"/>
    <w:rsid w:val="00C04E5C"/>
    <w:rsid w:val="00C04F5F"/>
    <w:rsid w:val="00C04FF3"/>
    <w:rsid w:val="00C05024"/>
    <w:rsid w:val="00C05154"/>
    <w:rsid w:val="00C051A9"/>
    <w:rsid w:val="00C05391"/>
    <w:rsid w:val="00C053EB"/>
    <w:rsid w:val="00C05570"/>
    <w:rsid w:val="00C058FF"/>
    <w:rsid w:val="00C0598D"/>
    <w:rsid w:val="00C05A8D"/>
    <w:rsid w:val="00C05BC1"/>
    <w:rsid w:val="00C05D17"/>
    <w:rsid w:val="00C060D5"/>
    <w:rsid w:val="00C0627E"/>
    <w:rsid w:val="00C063EB"/>
    <w:rsid w:val="00C064DE"/>
    <w:rsid w:val="00C065FA"/>
    <w:rsid w:val="00C0670C"/>
    <w:rsid w:val="00C067BE"/>
    <w:rsid w:val="00C06A3D"/>
    <w:rsid w:val="00C06C42"/>
    <w:rsid w:val="00C06E6F"/>
    <w:rsid w:val="00C06ECF"/>
    <w:rsid w:val="00C06F7B"/>
    <w:rsid w:val="00C07099"/>
    <w:rsid w:val="00C0730B"/>
    <w:rsid w:val="00C0736E"/>
    <w:rsid w:val="00C07388"/>
    <w:rsid w:val="00C07422"/>
    <w:rsid w:val="00C07453"/>
    <w:rsid w:val="00C074B5"/>
    <w:rsid w:val="00C075BE"/>
    <w:rsid w:val="00C0778C"/>
    <w:rsid w:val="00C077C7"/>
    <w:rsid w:val="00C07A12"/>
    <w:rsid w:val="00C07A74"/>
    <w:rsid w:val="00C07BD4"/>
    <w:rsid w:val="00C07C37"/>
    <w:rsid w:val="00C07E48"/>
    <w:rsid w:val="00C07E8E"/>
    <w:rsid w:val="00C07EF3"/>
    <w:rsid w:val="00C07EF4"/>
    <w:rsid w:val="00C10276"/>
    <w:rsid w:val="00C102F2"/>
    <w:rsid w:val="00C103C1"/>
    <w:rsid w:val="00C104D0"/>
    <w:rsid w:val="00C108C0"/>
    <w:rsid w:val="00C1091C"/>
    <w:rsid w:val="00C109EA"/>
    <w:rsid w:val="00C10A0B"/>
    <w:rsid w:val="00C10B77"/>
    <w:rsid w:val="00C10BB0"/>
    <w:rsid w:val="00C10BBC"/>
    <w:rsid w:val="00C10BCB"/>
    <w:rsid w:val="00C10E58"/>
    <w:rsid w:val="00C1117F"/>
    <w:rsid w:val="00C112CD"/>
    <w:rsid w:val="00C112D2"/>
    <w:rsid w:val="00C1139D"/>
    <w:rsid w:val="00C11443"/>
    <w:rsid w:val="00C1150D"/>
    <w:rsid w:val="00C11596"/>
    <w:rsid w:val="00C116BD"/>
    <w:rsid w:val="00C11744"/>
    <w:rsid w:val="00C117C8"/>
    <w:rsid w:val="00C118BF"/>
    <w:rsid w:val="00C11B5D"/>
    <w:rsid w:val="00C11D4D"/>
    <w:rsid w:val="00C11F03"/>
    <w:rsid w:val="00C11F54"/>
    <w:rsid w:val="00C121FC"/>
    <w:rsid w:val="00C1227D"/>
    <w:rsid w:val="00C123C9"/>
    <w:rsid w:val="00C12448"/>
    <w:rsid w:val="00C12482"/>
    <w:rsid w:val="00C1249F"/>
    <w:rsid w:val="00C12534"/>
    <w:rsid w:val="00C12554"/>
    <w:rsid w:val="00C125BB"/>
    <w:rsid w:val="00C12775"/>
    <w:rsid w:val="00C12858"/>
    <w:rsid w:val="00C1292C"/>
    <w:rsid w:val="00C12987"/>
    <w:rsid w:val="00C12C93"/>
    <w:rsid w:val="00C12D18"/>
    <w:rsid w:val="00C12D6F"/>
    <w:rsid w:val="00C13106"/>
    <w:rsid w:val="00C13158"/>
    <w:rsid w:val="00C13378"/>
    <w:rsid w:val="00C13436"/>
    <w:rsid w:val="00C13510"/>
    <w:rsid w:val="00C13605"/>
    <w:rsid w:val="00C138FE"/>
    <w:rsid w:val="00C13904"/>
    <w:rsid w:val="00C13C62"/>
    <w:rsid w:val="00C13E23"/>
    <w:rsid w:val="00C1434C"/>
    <w:rsid w:val="00C144F1"/>
    <w:rsid w:val="00C1467D"/>
    <w:rsid w:val="00C14A19"/>
    <w:rsid w:val="00C14A85"/>
    <w:rsid w:val="00C14C5D"/>
    <w:rsid w:val="00C14D7E"/>
    <w:rsid w:val="00C14E09"/>
    <w:rsid w:val="00C14EC9"/>
    <w:rsid w:val="00C153B2"/>
    <w:rsid w:val="00C15617"/>
    <w:rsid w:val="00C15730"/>
    <w:rsid w:val="00C159ED"/>
    <w:rsid w:val="00C15BC3"/>
    <w:rsid w:val="00C15C8F"/>
    <w:rsid w:val="00C15DC7"/>
    <w:rsid w:val="00C15E03"/>
    <w:rsid w:val="00C15E3E"/>
    <w:rsid w:val="00C15E69"/>
    <w:rsid w:val="00C15F56"/>
    <w:rsid w:val="00C15FB3"/>
    <w:rsid w:val="00C16125"/>
    <w:rsid w:val="00C1613A"/>
    <w:rsid w:val="00C16291"/>
    <w:rsid w:val="00C162F2"/>
    <w:rsid w:val="00C1642E"/>
    <w:rsid w:val="00C164FE"/>
    <w:rsid w:val="00C16529"/>
    <w:rsid w:val="00C1656D"/>
    <w:rsid w:val="00C166A2"/>
    <w:rsid w:val="00C16702"/>
    <w:rsid w:val="00C16707"/>
    <w:rsid w:val="00C16916"/>
    <w:rsid w:val="00C16B20"/>
    <w:rsid w:val="00C16D6C"/>
    <w:rsid w:val="00C16F71"/>
    <w:rsid w:val="00C16F9A"/>
    <w:rsid w:val="00C1705A"/>
    <w:rsid w:val="00C1719C"/>
    <w:rsid w:val="00C171C3"/>
    <w:rsid w:val="00C17230"/>
    <w:rsid w:val="00C1748C"/>
    <w:rsid w:val="00C1756F"/>
    <w:rsid w:val="00C175EF"/>
    <w:rsid w:val="00C1760D"/>
    <w:rsid w:val="00C1763C"/>
    <w:rsid w:val="00C1764B"/>
    <w:rsid w:val="00C176FB"/>
    <w:rsid w:val="00C178C4"/>
    <w:rsid w:val="00C179F2"/>
    <w:rsid w:val="00C17AD0"/>
    <w:rsid w:val="00C17BAF"/>
    <w:rsid w:val="00C17D13"/>
    <w:rsid w:val="00C17D37"/>
    <w:rsid w:val="00C17DD8"/>
    <w:rsid w:val="00C17EF5"/>
    <w:rsid w:val="00C20079"/>
    <w:rsid w:val="00C20148"/>
    <w:rsid w:val="00C2019B"/>
    <w:rsid w:val="00C2042B"/>
    <w:rsid w:val="00C20453"/>
    <w:rsid w:val="00C208B6"/>
    <w:rsid w:val="00C20902"/>
    <w:rsid w:val="00C209E1"/>
    <w:rsid w:val="00C209F0"/>
    <w:rsid w:val="00C20B2D"/>
    <w:rsid w:val="00C20BE4"/>
    <w:rsid w:val="00C20D83"/>
    <w:rsid w:val="00C20EC1"/>
    <w:rsid w:val="00C211DE"/>
    <w:rsid w:val="00C211F0"/>
    <w:rsid w:val="00C212DF"/>
    <w:rsid w:val="00C214BA"/>
    <w:rsid w:val="00C2156D"/>
    <w:rsid w:val="00C217ED"/>
    <w:rsid w:val="00C21AC3"/>
    <w:rsid w:val="00C21B57"/>
    <w:rsid w:val="00C21B7E"/>
    <w:rsid w:val="00C21BDC"/>
    <w:rsid w:val="00C21D0A"/>
    <w:rsid w:val="00C21DEF"/>
    <w:rsid w:val="00C21DFD"/>
    <w:rsid w:val="00C22015"/>
    <w:rsid w:val="00C22033"/>
    <w:rsid w:val="00C22091"/>
    <w:rsid w:val="00C220C5"/>
    <w:rsid w:val="00C22172"/>
    <w:rsid w:val="00C22340"/>
    <w:rsid w:val="00C225FA"/>
    <w:rsid w:val="00C227D2"/>
    <w:rsid w:val="00C2298E"/>
    <w:rsid w:val="00C22A3D"/>
    <w:rsid w:val="00C22BC2"/>
    <w:rsid w:val="00C22CCB"/>
    <w:rsid w:val="00C22DE2"/>
    <w:rsid w:val="00C22F62"/>
    <w:rsid w:val="00C23012"/>
    <w:rsid w:val="00C23064"/>
    <w:rsid w:val="00C23170"/>
    <w:rsid w:val="00C231CA"/>
    <w:rsid w:val="00C23395"/>
    <w:rsid w:val="00C233D3"/>
    <w:rsid w:val="00C23552"/>
    <w:rsid w:val="00C23566"/>
    <w:rsid w:val="00C2363D"/>
    <w:rsid w:val="00C23752"/>
    <w:rsid w:val="00C237FC"/>
    <w:rsid w:val="00C238BE"/>
    <w:rsid w:val="00C23942"/>
    <w:rsid w:val="00C23952"/>
    <w:rsid w:val="00C2396B"/>
    <w:rsid w:val="00C23C90"/>
    <w:rsid w:val="00C23ED9"/>
    <w:rsid w:val="00C24175"/>
    <w:rsid w:val="00C24224"/>
    <w:rsid w:val="00C24364"/>
    <w:rsid w:val="00C24448"/>
    <w:rsid w:val="00C24626"/>
    <w:rsid w:val="00C246ED"/>
    <w:rsid w:val="00C247EC"/>
    <w:rsid w:val="00C24983"/>
    <w:rsid w:val="00C24ADB"/>
    <w:rsid w:val="00C24B11"/>
    <w:rsid w:val="00C24B82"/>
    <w:rsid w:val="00C24DA6"/>
    <w:rsid w:val="00C24E8E"/>
    <w:rsid w:val="00C24EA8"/>
    <w:rsid w:val="00C24F8F"/>
    <w:rsid w:val="00C24FB4"/>
    <w:rsid w:val="00C2504B"/>
    <w:rsid w:val="00C25197"/>
    <w:rsid w:val="00C253C3"/>
    <w:rsid w:val="00C25531"/>
    <w:rsid w:val="00C2553A"/>
    <w:rsid w:val="00C25890"/>
    <w:rsid w:val="00C25963"/>
    <w:rsid w:val="00C259CF"/>
    <w:rsid w:val="00C25AD2"/>
    <w:rsid w:val="00C25B74"/>
    <w:rsid w:val="00C25B7C"/>
    <w:rsid w:val="00C25C4B"/>
    <w:rsid w:val="00C25D4A"/>
    <w:rsid w:val="00C25E00"/>
    <w:rsid w:val="00C25F0E"/>
    <w:rsid w:val="00C25F0F"/>
    <w:rsid w:val="00C25FC5"/>
    <w:rsid w:val="00C26191"/>
    <w:rsid w:val="00C262E5"/>
    <w:rsid w:val="00C264B3"/>
    <w:rsid w:val="00C2651D"/>
    <w:rsid w:val="00C26834"/>
    <w:rsid w:val="00C26B0F"/>
    <w:rsid w:val="00C26DB6"/>
    <w:rsid w:val="00C26E50"/>
    <w:rsid w:val="00C2711D"/>
    <w:rsid w:val="00C27325"/>
    <w:rsid w:val="00C274B8"/>
    <w:rsid w:val="00C2786B"/>
    <w:rsid w:val="00C278B6"/>
    <w:rsid w:val="00C27932"/>
    <w:rsid w:val="00C27945"/>
    <w:rsid w:val="00C2798D"/>
    <w:rsid w:val="00C279D7"/>
    <w:rsid w:val="00C279DD"/>
    <w:rsid w:val="00C27AE1"/>
    <w:rsid w:val="00C27C25"/>
    <w:rsid w:val="00C27CBD"/>
    <w:rsid w:val="00C27DF5"/>
    <w:rsid w:val="00C27FC9"/>
    <w:rsid w:val="00C27FE6"/>
    <w:rsid w:val="00C30016"/>
    <w:rsid w:val="00C30047"/>
    <w:rsid w:val="00C301CC"/>
    <w:rsid w:val="00C3031C"/>
    <w:rsid w:val="00C30357"/>
    <w:rsid w:val="00C30365"/>
    <w:rsid w:val="00C303FD"/>
    <w:rsid w:val="00C307E8"/>
    <w:rsid w:val="00C30886"/>
    <w:rsid w:val="00C30A15"/>
    <w:rsid w:val="00C30A4C"/>
    <w:rsid w:val="00C30AFD"/>
    <w:rsid w:val="00C30B8C"/>
    <w:rsid w:val="00C30E19"/>
    <w:rsid w:val="00C30E83"/>
    <w:rsid w:val="00C3100B"/>
    <w:rsid w:val="00C3101C"/>
    <w:rsid w:val="00C311F5"/>
    <w:rsid w:val="00C312BE"/>
    <w:rsid w:val="00C314F4"/>
    <w:rsid w:val="00C31668"/>
    <w:rsid w:val="00C316C5"/>
    <w:rsid w:val="00C31843"/>
    <w:rsid w:val="00C318F7"/>
    <w:rsid w:val="00C31BE2"/>
    <w:rsid w:val="00C31DCF"/>
    <w:rsid w:val="00C31E29"/>
    <w:rsid w:val="00C31F68"/>
    <w:rsid w:val="00C32187"/>
    <w:rsid w:val="00C3222C"/>
    <w:rsid w:val="00C322BF"/>
    <w:rsid w:val="00C322EC"/>
    <w:rsid w:val="00C323B0"/>
    <w:rsid w:val="00C325C0"/>
    <w:rsid w:val="00C3273A"/>
    <w:rsid w:val="00C32793"/>
    <w:rsid w:val="00C32A33"/>
    <w:rsid w:val="00C32AAA"/>
    <w:rsid w:val="00C32B97"/>
    <w:rsid w:val="00C32BCC"/>
    <w:rsid w:val="00C32C85"/>
    <w:rsid w:val="00C32CEA"/>
    <w:rsid w:val="00C32DA0"/>
    <w:rsid w:val="00C32E0C"/>
    <w:rsid w:val="00C32F55"/>
    <w:rsid w:val="00C332E3"/>
    <w:rsid w:val="00C333A4"/>
    <w:rsid w:val="00C33526"/>
    <w:rsid w:val="00C33560"/>
    <w:rsid w:val="00C33723"/>
    <w:rsid w:val="00C33807"/>
    <w:rsid w:val="00C33A5C"/>
    <w:rsid w:val="00C33A9E"/>
    <w:rsid w:val="00C33ADF"/>
    <w:rsid w:val="00C33D91"/>
    <w:rsid w:val="00C33F47"/>
    <w:rsid w:val="00C33FBA"/>
    <w:rsid w:val="00C340F3"/>
    <w:rsid w:val="00C3414A"/>
    <w:rsid w:val="00C344F0"/>
    <w:rsid w:val="00C34576"/>
    <w:rsid w:val="00C345AA"/>
    <w:rsid w:val="00C3466F"/>
    <w:rsid w:val="00C34674"/>
    <w:rsid w:val="00C34800"/>
    <w:rsid w:val="00C348DF"/>
    <w:rsid w:val="00C34986"/>
    <w:rsid w:val="00C349C7"/>
    <w:rsid w:val="00C34A5C"/>
    <w:rsid w:val="00C34B46"/>
    <w:rsid w:val="00C34C86"/>
    <w:rsid w:val="00C34CBB"/>
    <w:rsid w:val="00C34E8D"/>
    <w:rsid w:val="00C34FC5"/>
    <w:rsid w:val="00C350C3"/>
    <w:rsid w:val="00C35164"/>
    <w:rsid w:val="00C35197"/>
    <w:rsid w:val="00C352F6"/>
    <w:rsid w:val="00C35329"/>
    <w:rsid w:val="00C3546F"/>
    <w:rsid w:val="00C35576"/>
    <w:rsid w:val="00C35796"/>
    <w:rsid w:val="00C35818"/>
    <w:rsid w:val="00C35887"/>
    <w:rsid w:val="00C358B1"/>
    <w:rsid w:val="00C3592E"/>
    <w:rsid w:val="00C359A7"/>
    <w:rsid w:val="00C35ECD"/>
    <w:rsid w:val="00C35F74"/>
    <w:rsid w:val="00C36835"/>
    <w:rsid w:val="00C368D6"/>
    <w:rsid w:val="00C369D5"/>
    <w:rsid w:val="00C36B7A"/>
    <w:rsid w:val="00C36C74"/>
    <w:rsid w:val="00C36DE0"/>
    <w:rsid w:val="00C36F6B"/>
    <w:rsid w:val="00C37173"/>
    <w:rsid w:val="00C371D8"/>
    <w:rsid w:val="00C371DB"/>
    <w:rsid w:val="00C37273"/>
    <w:rsid w:val="00C372AB"/>
    <w:rsid w:val="00C3733A"/>
    <w:rsid w:val="00C37430"/>
    <w:rsid w:val="00C375C3"/>
    <w:rsid w:val="00C379A0"/>
    <w:rsid w:val="00C37C0E"/>
    <w:rsid w:val="00C37E84"/>
    <w:rsid w:val="00C37E94"/>
    <w:rsid w:val="00C37EC0"/>
    <w:rsid w:val="00C37F94"/>
    <w:rsid w:val="00C4006B"/>
    <w:rsid w:val="00C40106"/>
    <w:rsid w:val="00C4017C"/>
    <w:rsid w:val="00C401C3"/>
    <w:rsid w:val="00C403BE"/>
    <w:rsid w:val="00C404EF"/>
    <w:rsid w:val="00C405A7"/>
    <w:rsid w:val="00C405DE"/>
    <w:rsid w:val="00C40640"/>
    <w:rsid w:val="00C408CA"/>
    <w:rsid w:val="00C40BA8"/>
    <w:rsid w:val="00C40BBC"/>
    <w:rsid w:val="00C40E11"/>
    <w:rsid w:val="00C40E95"/>
    <w:rsid w:val="00C41104"/>
    <w:rsid w:val="00C41181"/>
    <w:rsid w:val="00C411DB"/>
    <w:rsid w:val="00C41253"/>
    <w:rsid w:val="00C4131C"/>
    <w:rsid w:val="00C413F2"/>
    <w:rsid w:val="00C4145A"/>
    <w:rsid w:val="00C41483"/>
    <w:rsid w:val="00C41512"/>
    <w:rsid w:val="00C41539"/>
    <w:rsid w:val="00C417F7"/>
    <w:rsid w:val="00C41893"/>
    <w:rsid w:val="00C4195B"/>
    <w:rsid w:val="00C41AD1"/>
    <w:rsid w:val="00C41B0F"/>
    <w:rsid w:val="00C41B97"/>
    <w:rsid w:val="00C41C94"/>
    <w:rsid w:val="00C41FB8"/>
    <w:rsid w:val="00C4209D"/>
    <w:rsid w:val="00C420CD"/>
    <w:rsid w:val="00C4234C"/>
    <w:rsid w:val="00C4247E"/>
    <w:rsid w:val="00C42558"/>
    <w:rsid w:val="00C426AB"/>
    <w:rsid w:val="00C426B3"/>
    <w:rsid w:val="00C426D7"/>
    <w:rsid w:val="00C426E1"/>
    <w:rsid w:val="00C42851"/>
    <w:rsid w:val="00C42A61"/>
    <w:rsid w:val="00C42BDA"/>
    <w:rsid w:val="00C42CC2"/>
    <w:rsid w:val="00C42D14"/>
    <w:rsid w:val="00C42D94"/>
    <w:rsid w:val="00C42DF8"/>
    <w:rsid w:val="00C4310E"/>
    <w:rsid w:val="00C432CF"/>
    <w:rsid w:val="00C4341F"/>
    <w:rsid w:val="00C4347B"/>
    <w:rsid w:val="00C436E7"/>
    <w:rsid w:val="00C4384E"/>
    <w:rsid w:val="00C4395A"/>
    <w:rsid w:val="00C43AFF"/>
    <w:rsid w:val="00C43B65"/>
    <w:rsid w:val="00C43C0E"/>
    <w:rsid w:val="00C43C5B"/>
    <w:rsid w:val="00C43D86"/>
    <w:rsid w:val="00C43EC5"/>
    <w:rsid w:val="00C43F6C"/>
    <w:rsid w:val="00C440BF"/>
    <w:rsid w:val="00C4413F"/>
    <w:rsid w:val="00C442A3"/>
    <w:rsid w:val="00C4439E"/>
    <w:rsid w:val="00C443AC"/>
    <w:rsid w:val="00C44455"/>
    <w:rsid w:val="00C446D3"/>
    <w:rsid w:val="00C44786"/>
    <w:rsid w:val="00C448EE"/>
    <w:rsid w:val="00C449B1"/>
    <w:rsid w:val="00C449D2"/>
    <w:rsid w:val="00C44B03"/>
    <w:rsid w:val="00C44BED"/>
    <w:rsid w:val="00C44CC7"/>
    <w:rsid w:val="00C44E54"/>
    <w:rsid w:val="00C4507B"/>
    <w:rsid w:val="00C45152"/>
    <w:rsid w:val="00C452FB"/>
    <w:rsid w:val="00C45363"/>
    <w:rsid w:val="00C4543D"/>
    <w:rsid w:val="00C455F3"/>
    <w:rsid w:val="00C45610"/>
    <w:rsid w:val="00C457E2"/>
    <w:rsid w:val="00C4583D"/>
    <w:rsid w:val="00C458A8"/>
    <w:rsid w:val="00C458F4"/>
    <w:rsid w:val="00C45960"/>
    <w:rsid w:val="00C45B8E"/>
    <w:rsid w:val="00C45BD1"/>
    <w:rsid w:val="00C45C20"/>
    <w:rsid w:val="00C45C6B"/>
    <w:rsid w:val="00C45D19"/>
    <w:rsid w:val="00C45D1C"/>
    <w:rsid w:val="00C45D4C"/>
    <w:rsid w:val="00C45D54"/>
    <w:rsid w:val="00C45FEA"/>
    <w:rsid w:val="00C45FFD"/>
    <w:rsid w:val="00C46260"/>
    <w:rsid w:val="00C46423"/>
    <w:rsid w:val="00C464BA"/>
    <w:rsid w:val="00C464F9"/>
    <w:rsid w:val="00C4651A"/>
    <w:rsid w:val="00C465FA"/>
    <w:rsid w:val="00C466C2"/>
    <w:rsid w:val="00C466CE"/>
    <w:rsid w:val="00C46745"/>
    <w:rsid w:val="00C4692D"/>
    <w:rsid w:val="00C469C6"/>
    <w:rsid w:val="00C46C6D"/>
    <w:rsid w:val="00C46E31"/>
    <w:rsid w:val="00C46E78"/>
    <w:rsid w:val="00C470DD"/>
    <w:rsid w:val="00C471C3"/>
    <w:rsid w:val="00C4726B"/>
    <w:rsid w:val="00C47362"/>
    <w:rsid w:val="00C4739F"/>
    <w:rsid w:val="00C4750D"/>
    <w:rsid w:val="00C47531"/>
    <w:rsid w:val="00C4766F"/>
    <w:rsid w:val="00C4771E"/>
    <w:rsid w:val="00C47769"/>
    <w:rsid w:val="00C47BB5"/>
    <w:rsid w:val="00C47C05"/>
    <w:rsid w:val="00C47C59"/>
    <w:rsid w:val="00C47C68"/>
    <w:rsid w:val="00C47D65"/>
    <w:rsid w:val="00C47E55"/>
    <w:rsid w:val="00C500B5"/>
    <w:rsid w:val="00C5028C"/>
    <w:rsid w:val="00C502D7"/>
    <w:rsid w:val="00C50370"/>
    <w:rsid w:val="00C50435"/>
    <w:rsid w:val="00C504B4"/>
    <w:rsid w:val="00C505A4"/>
    <w:rsid w:val="00C50729"/>
    <w:rsid w:val="00C5074E"/>
    <w:rsid w:val="00C50760"/>
    <w:rsid w:val="00C5078E"/>
    <w:rsid w:val="00C50854"/>
    <w:rsid w:val="00C508D9"/>
    <w:rsid w:val="00C5099F"/>
    <w:rsid w:val="00C50B14"/>
    <w:rsid w:val="00C50B24"/>
    <w:rsid w:val="00C50B3B"/>
    <w:rsid w:val="00C50BF3"/>
    <w:rsid w:val="00C50C40"/>
    <w:rsid w:val="00C50EE0"/>
    <w:rsid w:val="00C50F10"/>
    <w:rsid w:val="00C510AE"/>
    <w:rsid w:val="00C51259"/>
    <w:rsid w:val="00C51424"/>
    <w:rsid w:val="00C51482"/>
    <w:rsid w:val="00C514D1"/>
    <w:rsid w:val="00C5155F"/>
    <w:rsid w:val="00C515D2"/>
    <w:rsid w:val="00C517B0"/>
    <w:rsid w:val="00C519CB"/>
    <w:rsid w:val="00C519FE"/>
    <w:rsid w:val="00C51A2F"/>
    <w:rsid w:val="00C51A56"/>
    <w:rsid w:val="00C51ACF"/>
    <w:rsid w:val="00C51B40"/>
    <w:rsid w:val="00C51CBB"/>
    <w:rsid w:val="00C51DC9"/>
    <w:rsid w:val="00C51F55"/>
    <w:rsid w:val="00C52007"/>
    <w:rsid w:val="00C520B5"/>
    <w:rsid w:val="00C52506"/>
    <w:rsid w:val="00C52618"/>
    <w:rsid w:val="00C52637"/>
    <w:rsid w:val="00C52680"/>
    <w:rsid w:val="00C52B6C"/>
    <w:rsid w:val="00C52C72"/>
    <w:rsid w:val="00C52CB0"/>
    <w:rsid w:val="00C52DEF"/>
    <w:rsid w:val="00C52F56"/>
    <w:rsid w:val="00C52F6B"/>
    <w:rsid w:val="00C52F79"/>
    <w:rsid w:val="00C531E1"/>
    <w:rsid w:val="00C5328E"/>
    <w:rsid w:val="00C5353D"/>
    <w:rsid w:val="00C535A8"/>
    <w:rsid w:val="00C538EB"/>
    <w:rsid w:val="00C53A69"/>
    <w:rsid w:val="00C53BB8"/>
    <w:rsid w:val="00C53BC3"/>
    <w:rsid w:val="00C53CAF"/>
    <w:rsid w:val="00C53DD7"/>
    <w:rsid w:val="00C53E03"/>
    <w:rsid w:val="00C53E65"/>
    <w:rsid w:val="00C53E69"/>
    <w:rsid w:val="00C53F89"/>
    <w:rsid w:val="00C53FE4"/>
    <w:rsid w:val="00C5407B"/>
    <w:rsid w:val="00C540B8"/>
    <w:rsid w:val="00C540DE"/>
    <w:rsid w:val="00C54427"/>
    <w:rsid w:val="00C545F2"/>
    <w:rsid w:val="00C5466B"/>
    <w:rsid w:val="00C546AA"/>
    <w:rsid w:val="00C549C2"/>
    <w:rsid w:val="00C54AA1"/>
    <w:rsid w:val="00C54AE4"/>
    <w:rsid w:val="00C54B21"/>
    <w:rsid w:val="00C54BAE"/>
    <w:rsid w:val="00C54C62"/>
    <w:rsid w:val="00C54E49"/>
    <w:rsid w:val="00C55112"/>
    <w:rsid w:val="00C55451"/>
    <w:rsid w:val="00C55795"/>
    <w:rsid w:val="00C557A4"/>
    <w:rsid w:val="00C557AB"/>
    <w:rsid w:val="00C559A6"/>
    <w:rsid w:val="00C559A9"/>
    <w:rsid w:val="00C55BA6"/>
    <w:rsid w:val="00C55F24"/>
    <w:rsid w:val="00C55FA5"/>
    <w:rsid w:val="00C56135"/>
    <w:rsid w:val="00C562AA"/>
    <w:rsid w:val="00C566E0"/>
    <w:rsid w:val="00C56A95"/>
    <w:rsid w:val="00C56AE2"/>
    <w:rsid w:val="00C56BF4"/>
    <w:rsid w:val="00C56BF9"/>
    <w:rsid w:val="00C56C69"/>
    <w:rsid w:val="00C56DC3"/>
    <w:rsid w:val="00C56F32"/>
    <w:rsid w:val="00C56FB0"/>
    <w:rsid w:val="00C5706F"/>
    <w:rsid w:val="00C57548"/>
    <w:rsid w:val="00C575E1"/>
    <w:rsid w:val="00C5761A"/>
    <w:rsid w:val="00C576FC"/>
    <w:rsid w:val="00C57702"/>
    <w:rsid w:val="00C5773B"/>
    <w:rsid w:val="00C5779C"/>
    <w:rsid w:val="00C57A21"/>
    <w:rsid w:val="00C57B59"/>
    <w:rsid w:val="00C57B5D"/>
    <w:rsid w:val="00C57C92"/>
    <w:rsid w:val="00C57FAA"/>
    <w:rsid w:val="00C60040"/>
    <w:rsid w:val="00C60050"/>
    <w:rsid w:val="00C600CE"/>
    <w:rsid w:val="00C6010D"/>
    <w:rsid w:val="00C60295"/>
    <w:rsid w:val="00C602F1"/>
    <w:rsid w:val="00C60506"/>
    <w:rsid w:val="00C60A97"/>
    <w:rsid w:val="00C60AE4"/>
    <w:rsid w:val="00C60B08"/>
    <w:rsid w:val="00C60B23"/>
    <w:rsid w:val="00C60C73"/>
    <w:rsid w:val="00C60CBB"/>
    <w:rsid w:val="00C60D15"/>
    <w:rsid w:val="00C60E2F"/>
    <w:rsid w:val="00C60F74"/>
    <w:rsid w:val="00C610C7"/>
    <w:rsid w:val="00C61173"/>
    <w:rsid w:val="00C612FC"/>
    <w:rsid w:val="00C61302"/>
    <w:rsid w:val="00C61353"/>
    <w:rsid w:val="00C61386"/>
    <w:rsid w:val="00C613AE"/>
    <w:rsid w:val="00C61471"/>
    <w:rsid w:val="00C61997"/>
    <w:rsid w:val="00C619E6"/>
    <w:rsid w:val="00C61A5E"/>
    <w:rsid w:val="00C61BCE"/>
    <w:rsid w:val="00C61D56"/>
    <w:rsid w:val="00C61D99"/>
    <w:rsid w:val="00C61E64"/>
    <w:rsid w:val="00C61F3D"/>
    <w:rsid w:val="00C62103"/>
    <w:rsid w:val="00C6219A"/>
    <w:rsid w:val="00C6236E"/>
    <w:rsid w:val="00C62666"/>
    <w:rsid w:val="00C62897"/>
    <w:rsid w:val="00C6293D"/>
    <w:rsid w:val="00C629AC"/>
    <w:rsid w:val="00C62A14"/>
    <w:rsid w:val="00C62C84"/>
    <w:rsid w:val="00C63139"/>
    <w:rsid w:val="00C63143"/>
    <w:rsid w:val="00C631C9"/>
    <w:rsid w:val="00C63303"/>
    <w:rsid w:val="00C63427"/>
    <w:rsid w:val="00C6352A"/>
    <w:rsid w:val="00C63897"/>
    <w:rsid w:val="00C63AB6"/>
    <w:rsid w:val="00C63B01"/>
    <w:rsid w:val="00C63CC5"/>
    <w:rsid w:val="00C63F4E"/>
    <w:rsid w:val="00C64026"/>
    <w:rsid w:val="00C6404A"/>
    <w:rsid w:val="00C64357"/>
    <w:rsid w:val="00C643DB"/>
    <w:rsid w:val="00C64429"/>
    <w:rsid w:val="00C644B7"/>
    <w:rsid w:val="00C644F2"/>
    <w:rsid w:val="00C645B0"/>
    <w:rsid w:val="00C6474B"/>
    <w:rsid w:val="00C6477E"/>
    <w:rsid w:val="00C64783"/>
    <w:rsid w:val="00C64836"/>
    <w:rsid w:val="00C648EB"/>
    <w:rsid w:val="00C6499D"/>
    <w:rsid w:val="00C64AA7"/>
    <w:rsid w:val="00C64BA8"/>
    <w:rsid w:val="00C64E86"/>
    <w:rsid w:val="00C64F8E"/>
    <w:rsid w:val="00C6505C"/>
    <w:rsid w:val="00C6518A"/>
    <w:rsid w:val="00C65194"/>
    <w:rsid w:val="00C651B6"/>
    <w:rsid w:val="00C65349"/>
    <w:rsid w:val="00C65641"/>
    <w:rsid w:val="00C656B6"/>
    <w:rsid w:val="00C6575E"/>
    <w:rsid w:val="00C657BE"/>
    <w:rsid w:val="00C65800"/>
    <w:rsid w:val="00C6592D"/>
    <w:rsid w:val="00C65A44"/>
    <w:rsid w:val="00C65B6F"/>
    <w:rsid w:val="00C65BB4"/>
    <w:rsid w:val="00C65BEF"/>
    <w:rsid w:val="00C65C10"/>
    <w:rsid w:val="00C65C80"/>
    <w:rsid w:val="00C65EC0"/>
    <w:rsid w:val="00C65F18"/>
    <w:rsid w:val="00C65FF4"/>
    <w:rsid w:val="00C66080"/>
    <w:rsid w:val="00C660F5"/>
    <w:rsid w:val="00C66118"/>
    <w:rsid w:val="00C662CA"/>
    <w:rsid w:val="00C662CE"/>
    <w:rsid w:val="00C662E3"/>
    <w:rsid w:val="00C66472"/>
    <w:rsid w:val="00C664F2"/>
    <w:rsid w:val="00C66551"/>
    <w:rsid w:val="00C665EC"/>
    <w:rsid w:val="00C666DA"/>
    <w:rsid w:val="00C66776"/>
    <w:rsid w:val="00C667A4"/>
    <w:rsid w:val="00C668FB"/>
    <w:rsid w:val="00C6696A"/>
    <w:rsid w:val="00C66A1D"/>
    <w:rsid w:val="00C66E08"/>
    <w:rsid w:val="00C66E79"/>
    <w:rsid w:val="00C67082"/>
    <w:rsid w:val="00C67096"/>
    <w:rsid w:val="00C670C1"/>
    <w:rsid w:val="00C67115"/>
    <w:rsid w:val="00C676FC"/>
    <w:rsid w:val="00C67A12"/>
    <w:rsid w:val="00C67A18"/>
    <w:rsid w:val="00C67A97"/>
    <w:rsid w:val="00C67B43"/>
    <w:rsid w:val="00C67EBE"/>
    <w:rsid w:val="00C67FB9"/>
    <w:rsid w:val="00C7007F"/>
    <w:rsid w:val="00C700E6"/>
    <w:rsid w:val="00C703C6"/>
    <w:rsid w:val="00C70444"/>
    <w:rsid w:val="00C705F5"/>
    <w:rsid w:val="00C707A6"/>
    <w:rsid w:val="00C707FF"/>
    <w:rsid w:val="00C70803"/>
    <w:rsid w:val="00C7098D"/>
    <w:rsid w:val="00C70C26"/>
    <w:rsid w:val="00C70CEA"/>
    <w:rsid w:val="00C70D32"/>
    <w:rsid w:val="00C70DF9"/>
    <w:rsid w:val="00C70F4B"/>
    <w:rsid w:val="00C7103C"/>
    <w:rsid w:val="00C710A1"/>
    <w:rsid w:val="00C71306"/>
    <w:rsid w:val="00C715B0"/>
    <w:rsid w:val="00C71649"/>
    <w:rsid w:val="00C717F6"/>
    <w:rsid w:val="00C71A83"/>
    <w:rsid w:val="00C71B2A"/>
    <w:rsid w:val="00C71C7E"/>
    <w:rsid w:val="00C71CF3"/>
    <w:rsid w:val="00C71E0C"/>
    <w:rsid w:val="00C71E69"/>
    <w:rsid w:val="00C721F9"/>
    <w:rsid w:val="00C722DB"/>
    <w:rsid w:val="00C7271D"/>
    <w:rsid w:val="00C72823"/>
    <w:rsid w:val="00C728A9"/>
    <w:rsid w:val="00C728EB"/>
    <w:rsid w:val="00C728ED"/>
    <w:rsid w:val="00C72900"/>
    <w:rsid w:val="00C72903"/>
    <w:rsid w:val="00C729F4"/>
    <w:rsid w:val="00C72A03"/>
    <w:rsid w:val="00C72CA8"/>
    <w:rsid w:val="00C72F39"/>
    <w:rsid w:val="00C72F6F"/>
    <w:rsid w:val="00C730E0"/>
    <w:rsid w:val="00C730F0"/>
    <w:rsid w:val="00C7314B"/>
    <w:rsid w:val="00C731CC"/>
    <w:rsid w:val="00C7327C"/>
    <w:rsid w:val="00C73387"/>
    <w:rsid w:val="00C73399"/>
    <w:rsid w:val="00C734C4"/>
    <w:rsid w:val="00C7363E"/>
    <w:rsid w:val="00C7368E"/>
    <w:rsid w:val="00C73899"/>
    <w:rsid w:val="00C739A3"/>
    <w:rsid w:val="00C73A93"/>
    <w:rsid w:val="00C73ABE"/>
    <w:rsid w:val="00C73B84"/>
    <w:rsid w:val="00C73C06"/>
    <w:rsid w:val="00C73CEA"/>
    <w:rsid w:val="00C73E51"/>
    <w:rsid w:val="00C73EFF"/>
    <w:rsid w:val="00C740C8"/>
    <w:rsid w:val="00C74114"/>
    <w:rsid w:val="00C74171"/>
    <w:rsid w:val="00C743CC"/>
    <w:rsid w:val="00C743EA"/>
    <w:rsid w:val="00C745E9"/>
    <w:rsid w:val="00C745EE"/>
    <w:rsid w:val="00C746AF"/>
    <w:rsid w:val="00C74761"/>
    <w:rsid w:val="00C747D5"/>
    <w:rsid w:val="00C74963"/>
    <w:rsid w:val="00C74A0B"/>
    <w:rsid w:val="00C74AB2"/>
    <w:rsid w:val="00C74B35"/>
    <w:rsid w:val="00C74BA8"/>
    <w:rsid w:val="00C74FEF"/>
    <w:rsid w:val="00C751C5"/>
    <w:rsid w:val="00C752A8"/>
    <w:rsid w:val="00C754C0"/>
    <w:rsid w:val="00C755C8"/>
    <w:rsid w:val="00C7568D"/>
    <w:rsid w:val="00C75704"/>
    <w:rsid w:val="00C7581B"/>
    <w:rsid w:val="00C758AC"/>
    <w:rsid w:val="00C75A43"/>
    <w:rsid w:val="00C75C04"/>
    <w:rsid w:val="00C75C1C"/>
    <w:rsid w:val="00C76084"/>
    <w:rsid w:val="00C7609F"/>
    <w:rsid w:val="00C761F2"/>
    <w:rsid w:val="00C762F8"/>
    <w:rsid w:val="00C764F2"/>
    <w:rsid w:val="00C7655A"/>
    <w:rsid w:val="00C76A8E"/>
    <w:rsid w:val="00C76B69"/>
    <w:rsid w:val="00C76BDE"/>
    <w:rsid w:val="00C76C07"/>
    <w:rsid w:val="00C76D2D"/>
    <w:rsid w:val="00C76EED"/>
    <w:rsid w:val="00C76F52"/>
    <w:rsid w:val="00C771BE"/>
    <w:rsid w:val="00C77267"/>
    <w:rsid w:val="00C77385"/>
    <w:rsid w:val="00C77409"/>
    <w:rsid w:val="00C774D1"/>
    <w:rsid w:val="00C777B8"/>
    <w:rsid w:val="00C777D8"/>
    <w:rsid w:val="00C777EC"/>
    <w:rsid w:val="00C7783E"/>
    <w:rsid w:val="00C779C6"/>
    <w:rsid w:val="00C779E9"/>
    <w:rsid w:val="00C77C19"/>
    <w:rsid w:val="00C77C54"/>
    <w:rsid w:val="00C77D22"/>
    <w:rsid w:val="00C77F3C"/>
    <w:rsid w:val="00C801D9"/>
    <w:rsid w:val="00C80376"/>
    <w:rsid w:val="00C80668"/>
    <w:rsid w:val="00C80997"/>
    <w:rsid w:val="00C809A5"/>
    <w:rsid w:val="00C809BD"/>
    <w:rsid w:val="00C80BF8"/>
    <w:rsid w:val="00C80E54"/>
    <w:rsid w:val="00C80EC1"/>
    <w:rsid w:val="00C80EE0"/>
    <w:rsid w:val="00C80F51"/>
    <w:rsid w:val="00C80FFA"/>
    <w:rsid w:val="00C8101D"/>
    <w:rsid w:val="00C8122A"/>
    <w:rsid w:val="00C81283"/>
    <w:rsid w:val="00C812B6"/>
    <w:rsid w:val="00C8144C"/>
    <w:rsid w:val="00C814CF"/>
    <w:rsid w:val="00C814DB"/>
    <w:rsid w:val="00C8164D"/>
    <w:rsid w:val="00C816AF"/>
    <w:rsid w:val="00C8191A"/>
    <w:rsid w:val="00C819AD"/>
    <w:rsid w:val="00C81B7B"/>
    <w:rsid w:val="00C81EA9"/>
    <w:rsid w:val="00C81FA5"/>
    <w:rsid w:val="00C81FD7"/>
    <w:rsid w:val="00C81FD8"/>
    <w:rsid w:val="00C81FE8"/>
    <w:rsid w:val="00C82032"/>
    <w:rsid w:val="00C820AE"/>
    <w:rsid w:val="00C82131"/>
    <w:rsid w:val="00C82176"/>
    <w:rsid w:val="00C821AC"/>
    <w:rsid w:val="00C825DC"/>
    <w:rsid w:val="00C825FE"/>
    <w:rsid w:val="00C8270D"/>
    <w:rsid w:val="00C828D6"/>
    <w:rsid w:val="00C82B5D"/>
    <w:rsid w:val="00C82CCD"/>
    <w:rsid w:val="00C82DC6"/>
    <w:rsid w:val="00C82F00"/>
    <w:rsid w:val="00C82F9D"/>
    <w:rsid w:val="00C82FEA"/>
    <w:rsid w:val="00C8320F"/>
    <w:rsid w:val="00C832A1"/>
    <w:rsid w:val="00C832C9"/>
    <w:rsid w:val="00C83315"/>
    <w:rsid w:val="00C83393"/>
    <w:rsid w:val="00C833C1"/>
    <w:rsid w:val="00C834FF"/>
    <w:rsid w:val="00C8374B"/>
    <w:rsid w:val="00C83770"/>
    <w:rsid w:val="00C838FC"/>
    <w:rsid w:val="00C8390E"/>
    <w:rsid w:val="00C83919"/>
    <w:rsid w:val="00C8393A"/>
    <w:rsid w:val="00C83BB1"/>
    <w:rsid w:val="00C83C5E"/>
    <w:rsid w:val="00C83CF1"/>
    <w:rsid w:val="00C83D3B"/>
    <w:rsid w:val="00C83D9B"/>
    <w:rsid w:val="00C83DBB"/>
    <w:rsid w:val="00C83E55"/>
    <w:rsid w:val="00C83FB3"/>
    <w:rsid w:val="00C8422E"/>
    <w:rsid w:val="00C8428B"/>
    <w:rsid w:val="00C84447"/>
    <w:rsid w:val="00C8455F"/>
    <w:rsid w:val="00C845CA"/>
    <w:rsid w:val="00C8467F"/>
    <w:rsid w:val="00C84694"/>
    <w:rsid w:val="00C84695"/>
    <w:rsid w:val="00C846A2"/>
    <w:rsid w:val="00C8477D"/>
    <w:rsid w:val="00C84818"/>
    <w:rsid w:val="00C8499C"/>
    <w:rsid w:val="00C84B38"/>
    <w:rsid w:val="00C84DC2"/>
    <w:rsid w:val="00C84ECD"/>
    <w:rsid w:val="00C85115"/>
    <w:rsid w:val="00C8512E"/>
    <w:rsid w:val="00C854C2"/>
    <w:rsid w:val="00C856D6"/>
    <w:rsid w:val="00C857AC"/>
    <w:rsid w:val="00C85896"/>
    <w:rsid w:val="00C859B1"/>
    <w:rsid w:val="00C85B4F"/>
    <w:rsid w:val="00C85BBD"/>
    <w:rsid w:val="00C85CC5"/>
    <w:rsid w:val="00C85DA6"/>
    <w:rsid w:val="00C85FD6"/>
    <w:rsid w:val="00C86578"/>
    <w:rsid w:val="00C867F8"/>
    <w:rsid w:val="00C8682E"/>
    <w:rsid w:val="00C86919"/>
    <w:rsid w:val="00C86CDF"/>
    <w:rsid w:val="00C86D74"/>
    <w:rsid w:val="00C86E0F"/>
    <w:rsid w:val="00C87252"/>
    <w:rsid w:val="00C872E9"/>
    <w:rsid w:val="00C8769E"/>
    <w:rsid w:val="00C878AC"/>
    <w:rsid w:val="00C87BB7"/>
    <w:rsid w:val="00C87EA5"/>
    <w:rsid w:val="00C87EB8"/>
    <w:rsid w:val="00C87FD0"/>
    <w:rsid w:val="00C90125"/>
    <w:rsid w:val="00C90247"/>
    <w:rsid w:val="00C902E5"/>
    <w:rsid w:val="00C903B3"/>
    <w:rsid w:val="00C90524"/>
    <w:rsid w:val="00C909FB"/>
    <w:rsid w:val="00C90A0C"/>
    <w:rsid w:val="00C90AB8"/>
    <w:rsid w:val="00C90C2D"/>
    <w:rsid w:val="00C90DCE"/>
    <w:rsid w:val="00C910F6"/>
    <w:rsid w:val="00C9110B"/>
    <w:rsid w:val="00C9117C"/>
    <w:rsid w:val="00C914C9"/>
    <w:rsid w:val="00C917FF"/>
    <w:rsid w:val="00C918EA"/>
    <w:rsid w:val="00C91980"/>
    <w:rsid w:val="00C919BE"/>
    <w:rsid w:val="00C91A83"/>
    <w:rsid w:val="00C91C45"/>
    <w:rsid w:val="00C91C76"/>
    <w:rsid w:val="00C91E8E"/>
    <w:rsid w:val="00C91F11"/>
    <w:rsid w:val="00C91F2F"/>
    <w:rsid w:val="00C91F45"/>
    <w:rsid w:val="00C91F98"/>
    <w:rsid w:val="00C921DE"/>
    <w:rsid w:val="00C922FF"/>
    <w:rsid w:val="00C924C2"/>
    <w:rsid w:val="00C9254E"/>
    <w:rsid w:val="00C92683"/>
    <w:rsid w:val="00C9272A"/>
    <w:rsid w:val="00C927E9"/>
    <w:rsid w:val="00C92974"/>
    <w:rsid w:val="00C92986"/>
    <w:rsid w:val="00C929B2"/>
    <w:rsid w:val="00C92D13"/>
    <w:rsid w:val="00C92D64"/>
    <w:rsid w:val="00C92D76"/>
    <w:rsid w:val="00C92DD0"/>
    <w:rsid w:val="00C92F71"/>
    <w:rsid w:val="00C93059"/>
    <w:rsid w:val="00C930E6"/>
    <w:rsid w:val="00C931E8"/>
    <w:rsid w:val="00C931E9"/>
    <w:rsid w:val="00C932C6"/>
    <w:rsid w:val="00C933D9"/>
    <w:rsid w:val="00C93497"/>
    <w:rsid w:val="00C934FC"/>
    <w:rsid w:val="00C9358B"/>
    <w:rsid w:val="00C936BC"/>
    <w:rsid w:val="00C9384E"/>
    <w:rsid w:val="00C93985"/>
    <w:rsid w:val="00C93BE7"/>
    <w:rsid w:val="00C93C3D"/>
    <w:rsid w:val="00C93D35"/>
    <w:rsid w:val="00C93DFE"/>
    <w:rsid w:val="00C93FE7"/>
    <w:rsid w:val="00C9406D"/>
    <w:rsid w:val="00C9409F"/>
    <w:rsid w:val="00C94168"/>
    <w:rsid w:val="00C942C9"/>
    <w:rsid w:val="00C94486"/>
    <w:rsid w:val="00C944E0"/>
    <w:rsid w:val="00C944F9"/>
    <w:rsid w:val="00C9454B"/>
    <w:rsid w:val="00C945B4"/>
    <w:rsid w:val="00C945CA"/>
    <w:rsid w:val="00C94678"/>
    <w:rsid w:val="00C94854"/>
    <w:rsid w:val="00C94936"/>
    <w:rsid w:val="00C9495D"/>
    <w:rsid w:val="00C94A4C"/>
    <w:rsid w:val="00C94C0C"/>
    <w:rsid w:val="00C94CE8"/>
    <w:rsid w:val="00C94DA0"/>
    <w:rsid w:val="00C94F6B"/>
    <w:rsid w:val="00C94FF6"/>
    <w:rsid w:val="00C95757"/>
    <w:rsid w:val="00C95A05"/>
    <w:rsid w:val="00C95AD0"/>
    <w:rsid w:val="00C95AF3"/>
    <w:rsid w:val="00C95CD6"/>
    <w:rsid w:val="00C95E16"/>
    <w:rsid w:val="00C95E4F"/>
    <w:rsid w:val="00C95EEA"/>
    <w:rsid w:val="00C96147"/>
    <w:rsid w:val="00C961BD"/>
    <w:rsid w:val="00C961C1"/>
    <w:rsid w:val="00C966E1"/>
    <w:rsid w:val="00C9682D"/>
    <w:rsid w:val="00C96964"/>
    <w:rsid w:val="00C96BBF"/>
    <w:rsid w:val="00C96BF9"/>
    <w:rsid w:val="00C96E46"/>
    <w:rsid w:val="00C96FCD"/>
    <w:rsid w:val="00C970A1"/>
    <w:rsid w:val="00C9723E"/>
    <w:rsid w:val="00C9740C"/>
    <w:rsid w:val="00C975C8"/>
    <w:rsid w:val="00C9770B"/>
    <w:rsid w:val="00C9780A"/>
    <w:rsid w:val="00C9784E"/>
    <w:rsid w:val="00C97973"/>
    <w:rsid w:val="00C97AEF"/>
    <w:rsid w:val="00C97B64"/>
    <w:rsid w:val="00C97D2A"/>
    <w:rsid w:val="00C97FD4"/>
    <w:rsid w:val="00CA009B"/>
    <w:rsid w:val="00CA00FC"/>
    <w:rsid w:val="00CA0125"/>
    <w:rsid w:val="00CA0341"/>
    <w:rsid w:val="00CA0358"/>
    <w:rsid w:val="00CA03FE"/>
    <w:rsid w:val="00CA0451"/>
    <w:rsid w:val="00CA049F"/>
    <w:rsid w:val="00CA054B"/>
    <w:rsid w:val="00CA06A9"/>
    <w:rsid w:val="00CA0787"/>
    <w:rsid w:val="00CA08DD"/>
    <w:rsid w:val="00CA0926"/>
    <w:rsid w:val="00CA0983"/>
    <w:rsid w:val="00CA09A9"/>
    <w:rsid w:val="00CA0BD1"/>
    <w:rsid w:val="00CA0C31"/>
    <w:rsid w:val="00CA0C63"/>
    <w:rsid w:val="00CA0D8C"/>
    <w:rsid w:val="00CA0D95"/>
    <w:rsid w:val="00CA0EA3"/>
    <w:rsid w:val="00CA0FB3"/>
    <w:rsid w:val="00CA0FD5"/>
    <w:rsid w:val="00CA12FA"/>
    <w:rsid w:val="00CA1482"/>
    <w:rsid w:val="00CA14D6"/>
    <w:rsid w:val="00CA19B5"/>
    <w:rsid w:val="00CA19ED"/>
    <w:rsid w:val="00CA1A65"/>
    <w:rsid w:val="00CA1A95"/>
    <w:rsid w:val="00CA1CF0"/>
    <w:rsid w:val="00CA1D9D"/>
    <w:rsid w:val="00CA1ED8"/>
    <w:rsid w:val="00CA1EDF"/>
    <w:rsid w:val="00CA1F32"/>
    <w:rsid w:val="00CA2079"/>
    <w:rsid w:val="00CA21FB"/>
    <w:rsid w:val="00CA2283"/>
    <w:rsid w:val="00CA246C"/>
    <w:rsid w:val="00CA25BC"/>
    <w:rsid w:val="00CA261D"/>
    <w:rsid w:val="00CA2756"/>
    <w:rsid w:val="00CA28DB"/>
    <w:rsid w:val="00CA2B02"/>
    <w:rsid w:val="00CA2E10"/>
    <w:rsid w:val="00CA3062"/>
    <w:rsid w:val="00CA319F"/>
    <w:rsid w:val="00CA31AF"/>
    <w:rsid w:val="00CA330F"/>
    <w:rsid w:val="00CA336D"/>
    <w:rsid w:val="00CA33F6"/>
    <w:rsid w:val="00CA3474"/>
    <w:rsid w:val="00CA348D"/>
    <w:rsid w:val="00CA34B6"/>
    <w:rsid w:val="00CA34CA"/>
    <w:rsid w:val="00CA3518"/>
    <w:rsid w:val="00CA359E"/>
    <w:rsid w:val="00CA3640"/>
    <w:rsid w:val="00CA36E3"/>
    <w:rsid w:val="00CA36EF"/>
    <w:rsid w:val="00CA3787"/>
    <w:rsid w:val="00CA37E0"/>
    <w:rsid w:val="00CA38CB"/>
    <w:rsid w:val="00CA39B8"/>
    <w:rsid w:val="00CA3D81"/>
    <w:rsid w:val="00CA3E5E"/>
    <w:rsid w:val="00CA3EF9"/>
    <w:rsid w:val="00CA403E"/>
    <w:rsid w:val="00CA40AF"/>
    <w:rsid w:val="00CA4618"/>
    <w:rsid w:val="00CA4634"/>
    <w:rsid w:val="00CA4688"/>
    <w:rsid w:val="00CA46ED"/>
    <w:rsid w:val="00CA4800"/>
    <w:rsid w:val="00CA4952"/>
    <w:rsid w:val="00CA4A4E"/>
    <w:rsid w:val="00CA4B97"/>
    <w:rsid w:val="00CA4CAA"/>
    <w:rsid w:val="00CA4DCE"/>
    <w:rsid w:val="00CA503C"/>
    <w:rsid w:val="00CA52CE"/>
    <w:rsid w:val="00CA5315"/>
    <w:rsid w:val="00CA5487"/>
    <w:rsid w:val="00CA54CB"/>
    <w:rsid w:val="00CA54F1"/>
    <w:rsid w:val="00CA5746"/>
    <w:rsid w:val="00CA59DC"/>
    <w:rsid w:val="00CA59EA"/>
    <w:rsid w:val="00CA5A6F"/>
    <w:rsid w:val="00CA5C4A"/>
    <w:rsid w:val="00CA6042"/>
    <w:rsid w:val="00CA6077"/>
    <w:rsid w:val="00CA609A"/>
    <w:rsid w:val="00CA60B0"/>
    <w:rsid w:val="00CA61D8"/>
    <w:rsid w:val="00CA6210"/>
    <w:rsid w:val="00CA62A5"/>
    <w:rsid w:val="00CA62C9"/>
    <w:rsid w:val="00CA6310"/>
    <w:rsid w:val="00CA6430"/>
    <w:rsid w:val="00CA65BE"/>
    <w:rsid w:val="00CA6728"/>
    <w:rsid w:val="00CA69EE"/>
    <w:rsid w:val="00CA6A0A"/>
    <w:rsid w:val="00CA6A44"/>
    <w:rsid w:val="00CA6BB2"/>
    <w:rsid w:val="00CA6EBA"/>
    <w:rsid w:val="00CA6F9A"/>
    <w:rsid w:val="00CA71B1"/>
    <w:rsid w:val="00CA71BA"/>
    <w:rsid w:val="00CA756B"/>
    <w:rsid w:val="00CA75B0"/>
    <w:rsid w:val="00CA78A0"/>
    <w:rsid w:val="00CA7C9F"/>
    <w:rsid w:val="00CA7D87"/>
    <w:rsid w:val="00CA7ECC"/>
    <w:rsid w:val="00CA7EE4"/>
    <w:rsid w:val="00CA7F91"/>
    <w:rsid w:val="00CB008D"/>
    <w:rsid w:val="00CB02A6"/>
    <w:rsid w:val="00CB02BB"/>
    <w:rsid w:val="00CB02F3"/>
    <w:rsid w:val="00CB030B"/>
    <w:rsid w:val="00CB03A6"/>
    <w:rsid w:val="00CB0611"/>
    <w:rsid w:val="00CB069D"/>
    <w:rsid w:val="00CB07B6"/>
    <w:rsid w:val="00CB0879"/>
    <w:rsid w:val="00CB0B76"/>
    <w:rsid w:val="00CB0D48"/>
    <w:rsid w:val="00CB0D7F"/>
    <w:rsid w:val="00CB0D81"/>
    <w:rsid w:val="00CB0E65"/>
    <w:rsid w:val="00CB0ECF"/>
    <w:rsid w:val="00CB108D"/>
    <w:rsid w:val="00CB1102"/>
    <w:rsid w:val="00CB12BF"/>
    <w:rsid w:val="00CB14DF"/>
    <w:rsid w:val="00CB15F7"/>
    <w:rsid w:val="00CB1912"/>
    <w:rsid w:val="00CB19EE"/>
    <w:rsid w:val="00CB1B39"/>
    <w:rsid w:val="00CB1BE8"/>
    <w:rsid w:val="00CB1D0E"/>
    <w:rsid w:val="00CB1DBF"/>
    <w:rsid w:val="00CB1E0E"/>
    <w:rsid w:val="00CB2016"/>
    <w:rsid w:val="00CB201C"/>
    <w:rsid w:val="00CB204A"/>
    <w:rsid w:val="00CB2086"/>
    <w:rsid w:val="00CB2135"/>
    <w:rsid w:val="00CB216C"/>
    <w:rsid w:val="00CB21A7"/>
    <w:rsid w:val="00CB23D0"/>
    <w:rsid w:val="00CB242F"/>
    <w:rsid w:val="00CB24A0"/>
    <w:rsid w:val="00CB24E0"/>
    <w:rsid w:val="00CB27C6"/>
    <w:rsid w:val="00CB27DC"/>
    <w:rsid w:val="00CB28C6"/>
    <w:rsid w:val="00CB29CE"/>
    <w:rsid w:val="00CB2CBB"/>
    <w:rsid w:val="00CB3016"/>
    <w:rsid w:val="00CB319E"/>
    <w:rsid w:val="00CB321C"/>
    <w:rsid w:val="00CB3428"/>
    <w:rsid w:val="00CB35C7"/>
    <w:rsid w:val="00CB366F"/>
    <w:rsid w:val="00CB3784"/>
    <w:rsid w:val="00CB382E"/>
    <w:rsid w:val="00CB3B1E"/>
    <w:rsid w:val="00CB3C4D"/>
    <w:rsid w:val="00CB3DB7"/>
    <w:rsid w:val="00CB3E0D"/>
    <w:rsid w:val="00CB3FBD"/>
    <w:rsid w:val="00CB407F"/>
    <w:rsid w:val="00CB417F"/>
    <w:rsid w:val="00CB41A2"/>
    <w:rsid w:val="00CB41FB"/>
    <w:rsid w:val="00CB45EA"/>
    <w:rsid w:val="00CB4922"/>
    <w:rsid w:val="00CB4ABF"/>
    <w:rsid w:val="00CB4C81"/>
    <w:rsid w:val="00CB4DBC"/>
    <w:rsid w:val="00CB4F33"/>
    <w:rsid w:val="00CB5334"/>
    <w:rsid w:val="00CB5376"/>
    <w:rsid w:val="00CB5435"/>
    <w:rsid w:val="00CB54E5"/>
    <w:rsid w:val="00CB555C"/>
    <w:rsid w:val="00CB575A"/>
    <w:rsid w:val="00CB58AA"/>
    <w:rsid w:val="00CB5A6C"/>
    <w:rsid w:val="00CB5A91"/>
    <w:rsid w:val="00CB5B06"/>
    <w:rsid w:val="00CB5BB2"/>
    <w:rsid w:val="00CB5D8F"/>
    <w:rsid w:val="00CB5F89"/>
    <w:rsid w:val="00CB607A"/>
    <w:rsid w:val="00CB61FC"/>
    <w:rsid w:val="00CB623C"/>
    <w:rsid w:val="00CB6274"/>
    <w:rsid w:val="00CB64C2"/>
    <w:rsid w:val="00CB659C"/>
    <w:rsid w:val="00CB6602"/>
    <w:rsid w:val="00CB6690"/>
    <w:rsid w:val="00CB67F2"/>
    <w:rsid w:val="00CB6850"/>
    <w:rsid w:val="00CB6860"/>
    <w:rsid w:val="00CB6A2A"/>
    <w:rsid w:val="00CB6B11"/>
    <w:rsid w:val="00CB6DC4"/>
    <w:rsid w:val="00CB6E74"/>
    <w:rsid w:val="00CB6ED1"/>
    <w:rsid w:val="00CB6FA1"/>
    <w:rsid w:val="00CB6FF1"/>
    <w:rsid w:val="00CB702C"/>
    <w:rsid w:val="00CB708B"/>
    <w:rsid w:val="00CB7303"/>
    <w:rsid w:val="00CB7394"/>
    <w:rsid w:val="00CB73C6"/>
    <w:rsid w:val="00CB742D"/>
    <w:rsid w:val="00CB7644"/>
    <w:rsid w:val="00CB76BA"/>
    <w:rsid w:val="00CB7789"/>
    <w:rsid w:val="00CB797A"/>
    <w:rsid w:val="00CB7ACC"/>
    <w:rsid w:val="00CB7B3A"/>
    <w:rsid w:val="00CB7C79"/>
    <w:rsid w:val="00CB7C9A"/>
    <w:rsid w:val="00CB7CF7"/>
    <w:rsid w:val="00CB7D25"/>
    <w:rsid w:val="00CB7E96"/>
    <w:rsid w:val="00CB7EFE"/>
    <w:rsid w:val="00CB7FB8"/>
    <w:rsid w:val="00CC049A"/>
    <w:rsid w:val="00CC04A2"/>
    <w:rsid w:val="00CC0518"/>
    <w:rsid w:val="00CC0660"/>
    <w:rsid w:val="00CC06BD"/>
    <w:rsid w:val="00CC0704"/>
    <w:rsid w:val="00CC0B0B"/>
    <w:rsid w:val="00CC0B1F"/>
    <w:rsid w:val="00CC0D7B"/>
    <w:rsid w:val="00CC0D7C"/>
    <w:rsid w:val="00CC10D3"/>
    <w:rsid w:val="00CC11ED"/>
    <w:rsid w:val="00CC120D"/>
    <w:rsid w:val="00CC1318"/>
    <w:rsid w:val="00CC1475"/>
    <w:rsid w:val="00CC14D7"/>
    <w:rsid w:val="00CC157D"/>
    <w:rsid w:val="00CC165B"/>
    <w:rsid w:val="00CC16AF"/>
    <w:rsid w:val="00CC16DA"/>
    <w:rsid w:val="00CC1709"/>
    <w:rsid w:val="00CC1A0D"/>
    <w:rsid w:val="00CC1B5D"/>
    <w:rsid w:val="00CC1C57"/>
    <w:rsid w:val="00CC1CDC"/>
    <w:rsid w:val="00CC1D4D"/>
    <w:rsid w:val="00CC1E05"/>
    <w:rsid w:val="00CC1FCC"/>
    <w:rsid w:val="00CC21FA"/>
    <w:rsid w:val="00CC2267"/>
    <w:rsid w:val="00CC22C1"/>
    <w:rsid w:val="00CC23A4"/>
    <w:rsid w:val="00CC2409"/>
    <w:rsid w:val="00CC26E9"/>
    <w:rsid w:val="00CC28D6"/>
    <w:rsid w:val="00CC28EE"/>
    <w:rsid w:val="00CC2929"/>
    <w:rsid w:val="00CC2982"/>
    <w:rsid w:val="00CC29C2"/>
    <w:rsid w:val="00CC29E0"/>
    <w:rsid w:val="00CC29EA"/>
    <w:rsid w:val="00CC2A88"/>
    <w:rsid w:val="00CC2AD6"/>
    <w:rsid w:val="00CC2C06"/>
    <w:rsid w:val="00CC2C39"/>
    <w:rsid w:val="00CC2C54"/>
    <w:rsid w:val="00CC2D70"/>
    <w:rsid w:val="00CC2DAD"/>
    <w:rsid w:val="00CC2E8A"/>
    <w:rsid w:val="00CC2EB8"/>
    <w:rsid w:val="00CC31C5"/>
    <w:rsid w:val="00CC3203"/>
    <w:rsid w:val="00CC3667"/>
    <w:rsid w:val="00CC369E"/>
    <w:rsid w:val="00CC3803"/>
    <w:rsid w:val="00CC39BB"/>
    <w:rsid w:val="00CC3A3A"/>
    <w:rsid w:val="00CC3AB9"/>
    <w:rsid w:val="00CC3C48"/>
    <w:rsid w:val="00CC3E74"/>
    <w:rsid w:val="00CC3EDD"/>
    <w:rsid w:val="00CC4025"/>
    <w:rsid w:val="00CC4125"/>
    <w:rsid w:val="00CC4169"/>
    <w:rsid w:val="00CC41DA"/>
    <w:rsid w:val="00CC43BD"/>
    <w:rsid w:val="00CC4439"/>
    <w:rsid w:val="00CC45FA"/>
    <w:rsid w:val="00CC4814"/>
    <w:rsid w:val="00CC4870"/>
    <w:rsid w:val="00CC4B31"/>
    <w:rsid w:val="00CC4BC3"/>
    <w:rsid w:val="00CC4D67"/>
    <w:rsid w:val="00CC5022"/>
    <w:rsid w:val="00CC505E"/>
    <w:rsid w:val="00CC512B"/>
    <w:rsid w:val="00CC5133"/>
    <w:rsid w:val="00CC5175"/>
    <w:rsid w:val="00CC528C"/>
    <w:rsid w:val="00CC529F"/>
    <w:rsid w:val="00CC52C8"/>
    <w:rsid w:val="00CC52FF"/>
    <w:rsid w:val="00CC53DF"/>
    <w:rsid w:val="00CC53F7"/>
    <w:rsid w:val="00CC5587"/>
    <w:rsid w:val="00CC55CE"/>
    <w:rsid w:val="00CC5853"/>
    <w:rsid w:val="00CC58AD"/>
    <w:rsid w:val="00CC5AA8"/>
    <w:rsid w:val="00CC5AF7"/>
    <w:rsid w:val="00CC5F95"/>
    <w:rsid w:val="00CC5FF4"/>
    <w:rsid w:val="00CC60EE"/>
    <w:rsid w:val="00CC6700"/>
    <w:rsid w:val="00CC67CC"/>
    <w:rsid w:val="00CC68BE"/>
    <w:rsid w:val="00CC68C8"/>
    <w:rsid w:val="00CC695B"/>
    <w:rsid w:val="00CC69E9"/>
    <w:rsid w:val="00CC6AF9"/>
    <w:rsid w:val="00CC6BF4"/>
    <w:rsid w:val="00CC6C30"/>
    <w:rsid w:val="00CC6C40"/>
    <w:rsid w:val="00CC6D02"/>
    <w:rsid w:val="00CC6D05"/>
    <w:rsid w:val="00CC6E01"/>
    <w:rsid w:val="00CC7079"/>
    <w:rsid w:val="00CC7130"/>
    <w:rsid w:val="00CC714A"/>
    <w:rsid w:val="00CC7536"/>
    <w:rsid w:val="00CC76B2"/>
    <w:rsid w:val="00CC7733"/>
    <w:rsid w:val="00CC78F3"/>
    <w:rsid w:val="00CC792C"/>
    <w:rsid w:val="00CC7984"/>
    <w:rsid w:val="00CC79DE"/>
    <w:rsid w:val="00CC7A0F"/>
    <w:rsid w:val="00CC7A98"/>
    <w:rsid w:val="00CC7B13"/>
    <w:rsid w:val="00CC7C47"/>
    <w:rsid w:val="00CC7EE2"/>
    <w:rsid w:val="00CD0199"/>
    <w:rsid w:val="00CD04A3"/>
    <w:rsid w:val="00CD057A"/>
    <w:rsid w:val="00CD05F6"/>
    <w:rsid w:val="00CD07E0"/>
    <w:rsid w:val="00CD0ACC"/>
    <w:rsid w:val="00CD0B1F"/>
    <w:rsid w:val="00CD0C4A"/>
    <w:rsid w:val="00CD0E5E"/>
    <w:rsid w:val="00CD0E91"/>
    <w:rsid w:val="00CD0F2A"/>
    <w:rsid w:val="00CD114D"/>
    <w:rsid w:val="00CD11FE"/>
    <w:rsid w:val="00CD129A"/>
    <w:rsid w:val="00CD1356"/>
    <w:rsid w:val="00CD1388"/>
    <w:rsid w:val="00CD13B9"/>
    <w:rsid w:val="00CD1564"/>
    <w:rsid w:val="00CD16D3"/>
    <w:rsid w:val="00CD1805"/>
    <w:rsid w:val="00CD1865"/>
    <w:rsid w:val="00CD1A0F"/>
    <w:rsid w:val="00CD1AEE"/>
    <w:rsid w:val="00CD1BB0"/>
    <w:rsid w:val="00CD1C98"/>
    <w:rsid w:val="00CD21B0"/>
    <w:rsid w:val="00CD2257"/>
    <w:rsid w:val="00CD23CA"/>
    <w:rsid w:val="00CD25A1"/>
    <w:rsid w:val="00CD27C2"/>
    <w:rsid w:val="00CD29AF"/>
    <w:rsid w:val="00CD2A2D"/>
    <w:rsid w:val="00CD2AA4"/>
    <w:rsid w:val="00CD2AEF"/>
    <w:rsid w:val="00CD2AF4"/>
    <w:rsid w:val="00CD2C75"/>
    <w:rsid w:val="00CD2C7D"/>
    <w:rsid w:val="00CD2E81"/>
    <w:rsid w:val="00CD306F"/>
    <w:rsid w:val="00CD3096"/>
    <w:rsid w:val="00CD32EA"/>
    <w:rsid w:val="00CD331C"/>
    <w:rsid w:val="00CD333D"/>
    <w:rsid w:val="00CD3608"/>
    <w:rsid w:val="00CD3663"/>
    <w:rsid w:val="00CD3812"/>
    <w:rsid w:val="00CD388A"/>
    <w:rsid w:val="00CD3AB3"/>
    <w:rsid w:val="00CD3D08"/>
    <w:rsid w:val="00CD3E7B"/>
    <w:rsid w:val="00CD3EB0"/>
    <w:rsid w:val="00CD3F84"/>
    <w:rsid w:val="00CD3FBC"/>
    <w:rsid w:val="00CD4231"/>
    <w:rsid w:val="00CD42D0"/>
    <w:rsid w:val="00CD43B8"/>
    <w:rsid w:val="00CD43C4"/>
    <w:rsid w:val="00CD443C"/>
    <w:rsid w:val="00CD466F"/>
    <w:rsid w:val="00CD46A1"/>
    <w:rsid w:val="00CD4735"/>
    <w:rsid w:val="00CD486A"/>
    <w:rsid w:val="00CD4963"/>
    <w:rsid w:val="00CD4AD8"/>
    <w:rsid w:val="00CD4ADD"/>
    <w:rsid w:val="00CD4B5A"/>
    <w:rsid w:val="00CD4C26"/>
    <w:rsid w:val="00CD4D20"/>
    <w:rsid w:val="00CD4E96"/>
    <w:rsid w:val="00CD4F2A"/>
    <w:rsid w:val="00CD5060"/>
    <w:rsid w:val="00CD51CE"/>
    <w:rsid w:val="00CD5315"/>
    <w:rsid w:val="00CD54B9"/>
    <w:rsid w:val="00CD566C"/>
    <w:rsid w:val="00CD5765"/>
    <w:rsid w:val="00CD57F3"/>
    <w:rsid w:val="00CD582F"/>
    <w:rsid w:val="00CD5977"/>
    <w:rsid w:val="00CD59E6"/>
    <w:rsid w:val="00CD5ADE"/>
    <w:rsid w:val="00CD5B00"/>
    <w:rsid w:val="00CD5E90"/>
    <w:rsid w:val="00CD5FB4"/>
    <w:rsid w:val="00CD60E3"/>
    <w:rsid w:val="00CD6216"/>
    <w:rsid w:val="00CD62C5"/>
    <w:rsid w:val="00CD637C"/>
    <w:rsid w:val="00CD63BD"/>
    <w:rsid w:val="00CD6452"/>
    <w:rsid w:val="00CD6456"/>
    <w:rsid w:val="00CD6760"/>
    <w:rsid w:val="00CD685E"/>
    <w:rsid w:val="00CD68D9"/>
    <w:rsid w:val="00CD6900"/>
    <w:rsid w:val="00CD69EA"/>
    <w:rsid w:val="00CD6AD6"/>
    <w:rsid w:val="00CD6D10"/>
    <w:rsid w:val="00CD6D14"/>
    <w:rsid w:val="00CD6DF2"/>
    <w:rsid w:val="00CD7163"/>
    <w:rsid w:val="00CD7259"/>
    <w:rsid w:val="00CD73DA"/>
    <w:rsid w:val="00CD73FA"/>
    <w:rsid w:val="00CD7479"/>
    <w:rsid w:val="00CD747A"/>
    <w:rsid w:val="00CD7743"/>
    <w:rsid w:val="00CD78D5"/>
    <w:rsid w:val="00CD7E56"/>
    <w:rsid w:val="00CD7EF8"/>
    <w:rsid w:val="00CE04B8"/>
    <w:rsid w:val="00CE04F3"/>
    <w:rsid w:val="00CE062E"/>
    <w:rsid w:val="00CE0670"/>
    <w:rsid w:val="00CE0774"/>
    <w:rsid w:val="00CE07C0"/>
    <w:rsid w:val="00CE07E7"/>
    <w:rsid w:val="00CE0812"/>
    <w:rsid w:val="00CE0A5E"/>
    <w:rsid w:val="00CE0C2A"/>
    <w:rsid w:val="00CE0C4B"/>
    <w:rsid w:val="00CE0E77"/>
    <w:rsid w:val="00CE0EE6"/>
    <w:rsid w:val="00CE0FDC"/>
    <w:rsid w:val="00CE10E3"/>
    <w:rsid w:val="00CE125B"/>
    <w:rsid w:val="00CE12D4"/>
    <w:rsid w:val="00CE138C"/>
    <w:rsid w:val="00CE13BB"/>
    <w:rsid w:val="00CE14B4"/>
    <w:rsid w:val="00CE14FB"/>
    <w:rsid w:val="00CE1613"/>
    <w:rsid w:val="00CE1741"/>
    <w:rsid w:val="00CE19C8"/>
    <w:rsid w:val="00CE1B8A"/>
    <w:rsid w:val="00CE1CEF"/>
    <w:rsid w:val="00CE1D84"/>
    <w:rsid w:val="00CE1DA9"/>
    <w:rsid w:val="00CE1E92"/>
    <w:rsid w:val="00CE1FCB"/>
    <w:rsid w:val="00CE2260"/>
    <w:rsid w:val="00CE2294"/>
    <w:rsid w:val="00CE23A3"/>
    <w:rsid w:val="00CE242E"/>
    <w:rsid w:val="00CE244C"/>
    <w:rsid w:val="00CE252C"/>
    <w:rsid w:val="00CE27A0"/>
    <w:rsid w:val="00CE2962"/>
    <w:rsid w:val="00CE297A"/>
    <w:rsid w:val="00CE2998"/>
    <w:rsid w:val="00CE2A3C"/>
    <w:rsid w:val="00CE2BB3"/>
    <w:rsid w:val="00CE2C48"/>
    <w:rsid w:val="00CE2FA6"/>
    <w:rsid w:val="00CE322B"/>
    <w:rsid w:val="00CE32AA"/>
    <w:rsid w:val="00CE342F"/>
    <w:rsid w:val="00CE3474"/>
    <w:rsid w:val="00CE34AE"/>
    <w:rsid w:val="00CE370D"/>
    <w:rsid w:val="00CE3794"/>
    <w:rsid w:val="00CE37A1"/>
    <w:rsid w:val="00CE37E7"/>
    <w:rsid w:val="00CE3885"/>
    <w:rsid w:val="00CE3949"/>
    <w:rsid w:val="00CE3AA8"/>
    <w:rsid w:val="00CE3B4C"/>
    <w:rsid w:val="00CE3D45"/>
    <w:rsid w:val="00CE3E55"/>
    <w:rsid w:val="00CE3FB7"/>
    <w:rsid w:val="00CE406F"/>
    <w:rsid w:val="00CE40FF"/>
    <w:rsid w:val="00CE41CA"/>
    <w:rsid w:val="00CE41D2"/>
    <w:rsid w:val="00CE422A"/>
    <w:rsid w:val="00CE4385"/>
    <w:rsid w:val="00CE43CB"/>
    <w:rsid w:val="00CE4547"/>
    <w:rsid w:val="00CE4668"/>
    <w:rsid w:val="00CE481B"/>
    <w:rsid w:val="00CE4A63"/>
    <w:rsid w:val="00CE4ABD"/>
    <w:rsid w:val="00CE4ADC"/>
    <w:rsid w:val="00CE4B71"/>
    <w:rsid w:val="00CE4CBB"/>
    <w:rsid w:val="00CE4E18"/>
    <w:rsid w:val="00CE4FCB"/>
    <w:rsid w:val="00CE4FDD"/>
    <w:rsid w:val="00CE5046"/>
    <w:rsid w:val="00CE51E6"/>
    <w:rsid w:val="00CE5319"/>
    <w:rsid w:val="00CE54D1"/>
    <w:rsid w:val="00CE5574"/>
    <w:rsid w:val="00CE58AF"/>
    <w:rsid w:val="00CE5AFF"/>
    <w:rsid w:val="00CE5B6F"/>
    <w:rsid w:val="00CE5BBF"/>
    <w:rsid w:val="00CE5C31"/>
    <w:rsid w:val="00CE5ED1"/>
    <w:rsid w:val="00CE6075"/>
    <w:rsid w:val="00CE6216"/>
    <w:rsid w:val="00CE6253"/>
    <w:rsid w:val="00CE6363"/>
    <w:rsid w:val="00CE639F"/>
    <w:rsid w:val="00CE64A3"/>
    <w:rsid w:val="00CE660C"/>
    <w:rsid w:val="00CE664F"/>
    <w:rsid w:val="00CE6675"/>
    <w:rsid w:val="00CE67B1"/>
    <w:rsid w:val="00CE68B3"/>
    <w:rsid w:val="00CE6A85"/>
    <w:rsid w:val="00CE6B6C"/>
    <w:rsid w:val="00CE6CB4"/>
    <w:rsid w:val="00CE6CC0"/>
    <w:rsid w:val="00CE6D10"/>
    <w:rsid w:val="00CE7344"/>
    <w:rsid w:val="00CE73E2"/>
    <w:rsid w:val="00CE7409"/>
    <w:rsid w:val="00CE765C"/>
    <w:rsid w:val="00CE76CE"/>
    <w:rsid w:val="00CE76F0"/>
    <w:rsid w:val="00CE7E1B"/>
    <w:rsid w:val="00CE7EC0"/>
    <w:rsid w:val="00CE7FC3"/>
    <w:rsid w:val="00CE7FED"/>
    <w:rsid w:val="00CF0478"/>
    <w:rsid w:val="00CF049E"/>
    <w:rsid w:val="00CF0653"/>
    <w:rsid w:val="00CF067F"/>
    <w:rsid w:val="00CF0773"/>
    <w:rsid w:val="00CF0872"/>
    <w:rsid w:val="00CF0EC3"/>
    <w:rsid w:val="00CF1105"/>
    <w:rsid w:val="00CF114E"/>
    <w:rsid w:val="00CF1242"/>
    <w:rsid w:val="00CF128D"/>
    <w:rsid w:val="00CF13F8"/>
    <w:rsid w:val="00CF1529"/>
    <w:rsid w:val="00CF1567"/>
    <w:rsid w:val="00CF15BE"/>
    <w:rsid w:val="00CF1707"/>
    <w:rsid w:val="00CF1758"/>
    <w:rsid w:val="00CF1766"/>
    <w:rsid w:val="00CF1972"/>
    <w:rsid w:val="00CF1B5D"/>
    <w:rsid w:val="00CF1C15"/>
    <w:rsid w:val="00CF1C84"/>
    <w:rsid w:val="00CF1D2B"/>
    <w:rsid w:val="00CF1E64"/>
    <w:rsid w:val="00CF1F11"/>
    <w:rsid w:val="00CF218F"/>
    <w:rsid w:val="00CF226A"/>
    <w:rsid w:val="00CF22DE"/>
    <w:rsid w:val="00CF22F1"/>
    <w:rsid w:val="00CF23DE"/>
    <w:rsid w:val="00CF23F7"/>
    <w:rsid w:val="00CF2449"/>
    <w:rsid w:val="00CF2506"/>
    <w:rsid w:val="00CF25E7"/>
    <w:rsid w:val="00CF25E9"/>
    <w:rsid w:val="00CF267C"/>
    <w:rsid w:val="00CF2973"/>
    <w:rsid w:val="00CF2A29"/>
    <w:rsid w:val="00CF2AFA"/>
    <w:rsid w:val="00CF2BFE"/>
    <w:rsid w:val="00CF2DD2"/>
    <w:rsid w:val="00CF2DFA"/>
    <w:rsid w:val="00CF3128"/>
    <w:rsid w:val="00CF3221"/>
    <w:rsid w:val="00CF3222"/>
    <w:rsid w:val="00CF32B0"/>
    <w:rsid w:val="00CF331D"/>
    <w:rsid w:val="00CF346A"/>
    <w:rsid w:val="00CF34AC"/>
    <w:rsid w:val="00CF34C7"/>
    <w:rsid w:val="00CF34D0"/>
    <w:rsid w:val="00CF34ED"/>
    <w:rsid w:val="00CF37FF"/>
    <w:rsid w:val="00CF39AA"/>
    <w:rsid w:val="00CF3D96"/>
    <w:rsid w:val="00CF3E1B"/>
    <w:rsid w:val="00CF3FD2"/>
    <w:rsid w:val="00CF3FF9"/>
    <w:rsid w:val="00CF4294"/>
    <w:rsid w:val="00CF4340"/>
    <w:rsid w:val="00CF43E4"/>
    <w:rsid w:val="00CF440B"/>
    <w:rsid w:val="00CF44D8"/>
    <w:rsid w:val="00CF4508"/>
    <w:rsid w:val="00CF45DE"/>
    <w:rsid w:val="00CF4667"/>
    <w:rsid w:val="00CF4A16"/>
    <w:rsid w:val="00CF4BC5"/>
    <w:rsid w:val="00CF4C89"/>
    <w:rsid w:val="00CF4CC0"/>
    <w:rsid w:val="00CF4D04"/>
    <w:rsid w:val="00CF4D0B"/>
    <w:rsid w:val="00CF4D2B"/>
    <w:rsid w:val="00CF4F31"/>
    <w:rsid w:val="00CF515F"/>
    <w:rsid w:val="00CF519F"/>
    <w:rsid w:val="00CF51E2"/>
    <w:rsid w:val="00CF5255"/>
    <w:rsid w:val="00CF53C7"/>
    <w:rsid w:val="00CF562B"/>
    <w:rsid w:val="00CF5719"/>
    <w:rsid w:val="00CF5724"/>
    <w:rsid w:val="00CF583E"/>
    <w:rsid w:val="00CF58C7"/>
    <w:rsid w:val="00CF5A1B"/>
    <w:rsid w:val="00CF5A6E"/>
    <w:rsid w:val="00CF5AAC"/>
    <w:rsid w:val="00CF5ABB"/>
    <w:rsid w:val="00CF5D25"/>
    <w:rsid w:val="00CF5D6A"/>
    <w:rsid w:val="00CF5E1C"/>
    <w:rsid w:val="00CF6073"/>
    <w:rsid w:val="00CF619E"/>
    <w:rsid w:val="00CF61AB"/>
    <w:rsid w:val="00CF6237"/>
    <w:rsid w:val="00CF652F"/>
    <w:rsid w:val="00CF65E8"/>
    <w:rsid w:val="00CF6728"/>
    <w:rsid w:val="00CF699F"/>
    <w:rsid w:val="00CF6A08"/>
    <w:rsid w:val="00CF6D72"/>
    <w:rsid w:val="00CF6F15"/>
    <w:rsid w:val="00CF6F7D"/>
    <w:rsid w:val="00CF7087"/>
    <w:rsid w:val="00CF70E5"/>
    <w:rsid w:val="00CF7120"/>
    <w:rsid w:val="00CF714D"/>
    <w:rsid w:val="00CF7183"/>
    <w:rsid w:val="00CF7529"/>
    <w:rsid w:val="00CF765B"/>
    <w:rsid w:val="00CF7772"/>
    <w:rsid w:val="00CF7818"/>
    <w:rsid w:val="00CF78B0"/>
    <w:rsid w:val="00CF7B8F"/>
    <w:rsid w:val="00CF7E34"/>
    <w:rsid w:val="00CF7E9C"/>
    <w:rsid w:val="00CF7EA0"/>
    <w:rsid w:val="00CF7FC5"/>
    <w:rsid w:val="00D003AD"/>
    <w:rsid w:val="00D005C5"/>
    <w:rsid w:val="00D005F7"/>
    <w:rsid w:val="00D00671"/>
    <w:rsid w:val="00D00700"/>
    <w:rsid w:val="00D0073C"/>
    <w:rsid w:val="00D0089E"/>
    <w:rsid w:val="00D00919"/>
    <w:rsid w:val="00D009D2"/>
    <w:rsid w:val="00D00AD7"/>
    <w:rsid w:val="00D00AF3"/>
    <w:rsid w:val="00D00AFE"/>
    <w:rsid w:val="00D00C25"/>
    <w:rsid w:val="00D00CA9"/>
    <w:rsid w:val="00D00CD5"/>
    <w:rsid w:val="00D00CDA"/>
    <w:rsid w:val="00D00F3A"/>
    <w:rsid w:val="00D00F41"/>
    <w:rsid w:val="00D0119E"/>
    <w:rsid w:val="00D012F9"/>
    <w:rsid w:val="00D0132C"/>
    <w:rsid w:val="00D0143E"/>
    <w:rsid w:val="00D016A3"/>
    <w:rsid w:val="00D016FD"/>
    <w:rsid w:val="00D01790"/>
    <w:rsid w:val="00D018B0"/>
    <w:rsid w:val="00D01A05"/>
    <w:rsid w:val="00D01A72"/>
    <w:rsid w:val="00D01A8F"/>
    <w:rsid w:val="00D01B25"/>
    <w:rsid w:val="00D01B85"/>
    <w:rsid w:val="00D01E72"/>
    <w:rsid w:val="00D02278"/>
    <w:rsid w:val="00D024FF"/>
    <w:rsid w:val="00D02891"/>
    <w:rsid w:val="00D02A02"/>
    <w:rsid w:val="00D02A0C"/>
    <w:rsid w:val="00D02A5F"/>
    <w:rsid w:val="00D02AB3"/>
    <w:rsid w:val="00D02BA6"/>
    <w:rsid w:val="00D02C61"/>
    <w:rsid w:val="00D02E60"/>
    <w:rsid w:val="00D02E9C"/>
    <w:rsid w:val="00D03034"/>
    <w:rsid w:val="00D03111"/>
    <w:rsid w:val="00D034DC"/>
    <w:rsid w:val="00D03630"/>
    <w:rsid w:val="00D03654"/>
    <w:rsid w:val="00D03850"/>
    <w:rsid w:val="00D03D49"/>
    <w:rsid w:val="00D0412D"/>
    <w:rsid w:val="00D0421B"/>
    <w:rsid w:val="00D04468"/>
    <w:rsid w:val="00D04538"/>
    <w:rsid w:val="00D0469E"/>
    <w:rsid w:val="00D04793"/>
    <w:rsid w:val="00D048F4"/>
    <w:rsid w:val="00D04F5D"/>
    <w:rsid w:val="00D04F99"/>
    <w:rsid w:val="00D05031"/>
    <w:rsid w:val="00D050F1"/>
    <w:rsid w:val="00D050FD"/>
    <w:rsid w:val="00D051F5"/>
    <w:rsid w:val="00D05299"/>
    <w:rsid w:val="00D052D1"/>
    <w:rsid w:val="00D053EB"/>
    <w:rsid w:val="00D05574"/>
    <w:rsid w:val="00D058E4"/>
    <w:rsid w:val="00D05933"/>
    <w:rsid w:val="00D059EC"/>
    <w:rsid w:val="00D05AE9"/>
    <w:rsid w:val="00D05B18"/>
    <w:rsid w:val="00D05C8D"/>
    <w:rsid w:val="00D05E6B"/>
    <w:rsid w:val="00D05F3E"/>
    <w:rsid w:val="00D05F41"/>
    <w:rsid w:val="00D05F48"/>
    <w:rsid w:val="00D06029"/>
    <w:rsid w:val="00D06092"/>
    <w:rsid w:val="00D060EC"/>
    <w:rsid w:val="00D0639F"/>
    <w:rsid w:val="00D063AE"/>
    <w:rsid w:val="00D0666E"/>
    <w:rsid w:val="00D066C0"/>
    <w:rsid w:val="00D067F5"/>
    <w:rsid w:val="00D0698C"/>
    <w:rsid w:val="00D06C23"/>
    <w:rsid w:val="00D06DB7"/>
    <w:rsid w:val="00D06E61"/>
    <w:rsid w:val="00D06FA4"/>
    <w:rsid w:val="00D06FB4"/>
    <w:rsid w:val="00D07046"/>
    <w:rsid w:val="00D0709E"/>
    <w:rsid w:val="00D0710B"/>
    <w:rsid w:val="00D073F6"/>
    <w:rsid w:val="00D0747D"/>
    <w:rsid w:val="00D07883"/>
    <w:rsid w:val="00D078F1"/>
    <w:rsid w:val="00D07A26"/>
    <w:rsid w:val="00D07C0A"/>
    <w:rsid w:val="00D07CBA"/>
    <w:rsid w:val="00D07D3C"/>
    <w:rsid w:val="00D07F96"/>
    <w:rsid w:val="00D101C5"/>
    <w:rsid w:val="00D10380"/>
    <w:rsid w:val="00D1046E"/>
    <w:rsid w:val="00D10569"/>
    <w:rsid w:val="00D105A7"/>
    <w:rsid w:val="00D106A7"/>
    <w:rsid w:val="00D10723"/>
    <w:rsid w:val="00D1085A"/>
    <w:rsid w:val="00D1089D"/>
    <w:rsid w:val="00D10925"/>
    <w:rsid w:val="00D10B5F"/>
    <w:rsid w:val="00D10BCB"/>
    <w:rsid w:val="00D10BD0"/>
    <w:rsid w:val="00D10C3D"/>
    <w:rsid w:val="00D10DF1"/>
    <w:rsid w:val="00D11080"/>
    <w:rsid w:val="00D110C8"/>
    <w:rsid w:val="00D110CF"/>
    <w:rsid w:val="00D110E1"/>
    <w:rsid w:val="00D11516"/>
    <w:rsid w:val="00D117C0"/>
    <w:rsid w:val="00D11952"/>
    <w:rsid w:val="00D1195D"/>
    <w:rsid w:val="00D11A73"/>
    <w:rsid w:val="00D11B0B"/>
    <w:rsid w:val="00D11B90"/>
    <w:rsid w:val="00D11BB1"/>
    <w:rsid w:val="00D11D52"/>
    <w:rsid w:val="00D11DC1"/>
    <w:rsid w:val="00D11F51"/>
    <w:rsid w:val="00D122FE"/>
    <w:rsid w:val="00D12381"/>
    <w:rsid w:val="00D123C1"/>
    <w:rsid w:val="00D123FE"/>
    <w:rsid w:val="00D12530"/>
    <w:rsid w:val="00D1255D"/>
    <w:rsid w:val="00D12666"/>
    <w:rsid w:val="00D126AA"/>
    <w:rsid w:val="00D126E2"/>
    <w:rsid w:val="00D128C2"/>
    <w:rsid w:val="00D129C6"/>
    <w:rsid w:val="00D12C40"/>
    <w:rsid w:val="00D12F3B"/>
    <w:rsid w:val="00D12F4E"/>
    <w:rsid w:val="00D1301D"/>
    <w:rsid w:val="00D13047"/>
    <w:rsid w:val="00D131C9"/>
    <w:rsid w:val="00D132B2"/>
    <w:rsid w:val="00D1370B"/>
    <w:rsid w:val="00D1377D"/>
    <w:rsid w:val="00D1391D"/>
    <w:rsid w:val="00D13B92"/>
    <w:rsid w:val="00D13BFD"/>
    <w:rsid w:val="00D13C06"/>
    <w:rsid w:val="00D13CF5"/>
    <w:rsid w:val="00D13D64"/>
    <w:rsid w:val="00D13E4D"/>
    <w:rsid w:val="00D13E4F"/>
    <w:rsid w:val="00D13E81"/>
    <w:rsid w:val="00D13EF5"/>
    <w:rsid w:val="00D13F1E"/>
    <w:rsid w:val="00D142B6"/>
    <w:rsid w:val="00D1430B"/>
    <w:rsid w:val="00D14607"/>
    <w:rsid w:val="00D1460D"/>
    <w:rsid w:val="00D14707"/>
    <w:rsid w:val="00D14A2E"/>
    <w:rsid w:val="00D14A55"/>
    <w:rsid w:val="00D14A8D"/>
    <w:rsid w:val="00D14AD3"/>
    <w:rsid w:val="00D14B8F"/>
    <w:rsid w:val="00D14CC1"/>
    <w:rsid w:val="00D14CCF"/>
    <w:rsid w:val="00D14CF8"/>
    <w:rsid w:val="00D14D73"/>
    <w:rsid w:val="00D14D9A"/>
    <w:rsid w:val="00D14EC1"/>
    <w:rsid w:val="00D14F4E"/>
    <w:rsid w:val="00D1511B"/>
    <w:rsid w:val="00D152B9"/>
    <w:rsid w:val="00D1530C"/>
    <w:rsid w:val="00D153AB"/>
    <w:rsid w:val="00D15482"/>
    <w:rsid w:val="00D154C1"/>
    <w:rsid w:val="00D15728"/>
    <w:rsid w:val="00D15A18"/>
    <w:rsid w:val="00D15B8D"/>
    <w:rsid w:val="00D15CD0"/>
    <w:rsid w:val="00D15F0B"/>
    <w:rsid w:val="00D1604C"/>
    <w:rsid w:val="00D160F1"/>
    <w:rsid w:val="00D162A4"/>
    <w:rsid w:val="00D16391"/>
    <w:rsid w:val="00D16404"/>
    <w:rsid w:val="00D16559"/>
    <w:rsid w:val="00D16624"/>
    <w:rsid w:val="00D1670B"/>
    <w:rsid w:val="00D1673A"/>
    <w:rsid w:val="00D16902"/>
    <w:rsid w:val="00D169B1"/>
    <w:rsid w:val="00D16BB2"/>
    <w:rsid w:val="00D16C3F"/>
    <w:rsid w:val="00D17029"/>
    <w:rsid w:val="00D17107"/>
    <w:rsid w:val="00D17304"/>
    <w:rsid w:val="00D17352"/>
    <w:rsid w:val="00D17451"/>
    <w:rsid w:val="00D174A7"/>
    <w:rsid w:val="00D1756F"/>
    <w:rsid w:val="00D175AB"/>
    <w:rsid w:val="00D1779B"/>
    <w:rsid w:val="00D178B1"/>
    <w:rsid w:val="00D17A16"/>
    <w:rsid w:val="00D17C34"/>
    <w:rsid w:val="00D17C37"/>
    <w:rsid w:val="00D17DBB"/>
    <w:rsid w:val="00D17E4B"/>
    <w:rsid w:val="00D17E67"/>
    <w:rsid w:val="00D17E73"/>
    <w:rsid w:val="00D2009B"/>
    <w:rsid w:val="00D20170"/>
    <w:rsid w:val="00D204CB"/>
    <w:rsid w:val="00D204F3"/>
    <w:rsid w:val="00D20651"/>
    <w:rsid w:val="00D206E5"/>
    <w:rsid w:val="00D207A7"/>
    <w:rsid w:val="00D208F6"/>
    <w:rsid w:val="00D20ABB"/>
    <w:rsid w:val="00D20BE3"/>
    <w:rsid w:val="00D20C2A"/>
    <w:rsid w:val="00D20C2B"/>
    <w:rsid w:val="00D20E0F"/>
    <w:rsid w:val="00D20E1A"/>
    <w:rsid w:val="00D20F83"/>
    <w:rsid w:val="00D212E0"/>
    <w:rsid w:val="00D213CB"/>
    <w:rsid w:val="00D21727"/>
    <w:rsid w:val="00D21753"/>
    <w:rsid w:val="00D21755"/>
    <w:rsid w:val="00D21824"/>
    <w:rsid w:val="00D2187A"/>
    <w:rsid w:val="00D218E2"/>
    <w:rsid w:val="00D218EA"/>
    <w:rsid w:val="00D218F5"/>
    <w:rsid w:val="00D21A70"/>
    <w:rsid w:val="00D21BA2"/>
    <w:rsid w:val="00D21FE4"/>
    <w:rsid w:val="00D220F9"/>
    <w:rsid w:val="00D22179"/>
    <w:rsid w:val="00D22216"/>
    <w:rsid w:val="00D2245F"/>
    <w:rsid w:val="00D22610"/>
    <w:rsid w:val="00D2280B"/>
    <w:rsid w:val="00D2281C"/>
    <w:rsid w:val="00D228F2"/>
    <w:rsid w:val="00D22AD3"/>
    <w:rsid w:val="00D230B1"/>
    <w:rsid w:val="00D230EE"/>
    <w:rsid w:val="00D23253"/>
    <w:rsid w:val="00D23381"/>
    <w:rsid w:val="00D2365E"/>
    <w:rsid w:val="00D2370B"/>
    <w:rsid w:val="00D23735"/>
    <w:rsid w:val="00D2378E"/>
    <w:rsid w:val="00D23A2D"/>
    <w:rsid w:val="00D23AD5"/>
    <w:rsid w:val="00D23C6C"/>
    <w:rsid w:val="00D23DA6"/>
    <w:rsid w:val="00D23E5D"/>
    <w:rsid w:val="00D2405F"/>
    <w:rsid w:val="00D241D8"/>
    <w:rsid w:val="00D2432A"/>
    <w:rsid w:val="00D243C7"/>
    <w:rsid w:val="00D246EE"/>
    <w:rsid w:val="00D24C0D"/>
    <w:rsid w:val="00D24C1F"/>
    <w:rsid w:val="00D24C2C"/>
    <w:rsid w:val="00D24F9B"/>
    <w:rsid w:val="00D25123"/>
    <w:rsid w:val="00D25126"/>
    <w:rsid w:val="00D25157"/>
    <w:rsid w:val="00D2518E"/>
    <w:rsid w:val="00D255FC"/>
    <w:rsid w:val="00D25638"/>
    <w:rsid w:val="00D2566A"/>
    <w:rsid w:val="00D2579E"/>
    <w:rsid w:val="00D25869"/>
    <w:rsid w:val="00D258CD"/>
    <w:rsid w:val="00D258DD"/>
    <w:rsid w:val="00D25B07"/>
    <w:rsid w:val="00D25F99"/>
    <w:rsid w:val="00D25FFA"/>
    <w:rsid w:val="00D26136"/>
    <w:rsid w:val="00D2617B"/>
    <w:rsid w:val="00D2619B"/>
    <w:rsid w:val="00D2620B"/>
    <w:rsid w:val="00D26210"/>
    <w:rsid w:val="00D262D3"/>
    <w:rsid w:val="00D263D5"/>
    <w:rsid w:val="00D264F4"/>
    <w:rsid w:val="00D26511"/>
    <w:rsid w:val="00D265B9"/>
    <w:rsid w:val="00D26C41"/>
    <w:rsid w:val="00D26C58"/>
    <w:rsid w:val="00D26C6E"/>
    <w:rsid w:val="00D26D16"/>
    <w:rsid w:val="00D26E46"/>
    <w:rsid w:val="00D26FC3"/>
    <w:rsid w:val="00D26FFA"/>
    <w:rsid w:val="00D2709A"/>
    <w:rsid w:val="00D270EA"/>
    <w:rsid w:val="00D2719D"/>
    <w:rsid w:val="00D2721D"/>
    <w:rsid w:val="00D27246"/>
    <w:rsid w:val="00D272A5"/>
    <w:rsid w:val="00D272DB"/>
    <w:rsid w:val="00D272DC"/>
    <w:rsid w:val="00D27351"/>
    <w:rsid w:val="00D277F6"/>
    <w:rsid w:val="00D27803"/>
    <w:rsid w:val="00D27F16"/>
    <w:rsid w:val="00D27F1B"/>
    <w:rsid w:val="00D30103"/>
    <w:rsid w:val="00D3018D"/>
    <w:rsid w:val="00D301FD"/>
    <w:rsid w:val="00D30220"/>
    <w:rsid w:val="00D30472"/>
    <w:rsid w:val="00D3082E"/>
    <w:rsid w:val="00D309D3"/>
    <w:rsid w:val="00D30AC1"/>
    <w:rsid w:val="00D30C71"/>
    <w:rsid w:val="00D30CC1"/>
    <w:rsid w:val="00D30CD8"/>
    <w:rsid w:val="00D31193"/>
    <w:rsid w:val="00D312A7"/>
    <w:rsid w:val="00D312D2"/>
    <w:rsid w:val="00D31357"/>
    <w:rsid w:val="00D3142C"/>
    <w:rsid w:val="00D31456"/>
    <w:rsid w:val="00D31551"/>
    <w:rsid w:val="00D31688"/>
    <w:rsid w:val="00D316B1"/>
    <w:rsid w:val="00D316B6"/>
    <w:rsid w:val="00D316E6"/>
    <w:rsid w:val="00D317AD"/>
    <w:rsid w:val="00D3199E"/>
    <w:rsid w:val="00D31A5E"/>
    <w:rsid w:val="00D31B47"/>
    <w:rsid w:val="00D31BA7"/>
    <w:rsid w:val="00D31C8B"/>
    <w:rsid w:val="00D31CA4"/>
    <w:rsid w:val="00D31D1A"/>
    <w:rsid w:val="00D31DBE"/>
    <w:rsid w:val="00D31E68"/>
    <w:rsid w:val="00D31FE9"/>
    <w:rsid w:val="00D3229D"/>
    <w:rsid w:val="00D326E8"/>
    <w:rsid w:val="00D32774"/>
    <w:rsid w:val="00D3279B"/>
    <w:rsid w:val="00D32900"/>
    <w:rsid w:val="00D32A08"/>
    <w:rsid w:val="00D32A7F"/>
    <w:rsid w:val="00D32BD1"/>
    <w:rsid w:val="00D32BF9"/>
    <w:rsid w:val="00D32CA9"/>
    <w:rsid w:val="00D32CBE"/>
    <w:rsid w:val="00D32D10"/>
    <w:rsid w:val="00D32D8A"/>
    <w:rsid w:val="00D32DC7"/>
    <w:rsid w:val="00D32E58"/>
    <w:rsid w:val="00D32FF7"/>
    <w:rsid w:val="00D3305B"/>
    <w:rsid w:val="00D33142"/>
    <w:rsid w:val="00D334C7"/>
    <w:rsid w:val="00D334D6"/>
    <w:rsid w:val="00D33776"/>
    <w:rsid w:val="00D33966"/>
    <w:rsid w:val="00D33B59"/>
    <w:rsid w:val="00D33BFA"/>
    <w:rsid w:val="00D33D4B"/>
    <w:rsid w:val="00D33D66"/>
    <w:rsid w:val="00D33EAA"/>
    <w:rsid w:val="00D34181"/>
    <w:rsid w:val="00D34340"/>
    <w:rsid w:val="00D3457A"/>
    <w:rsid w:val="00D347E2"/>
    <w:rsid w:val="00D34802"/>
    <w:rsid w:val="00D348AA"/>
    <w:rsid w:val="00D348F2"/>
    <w:rsid w:val="00D348FF"/>
    <w:rsid w:val="00D34A5F"/>
    <w:rsid w:val="00D34C5C"/>
    <w:rsid w:val="00D34D50"/>
    <w:rsid w:val="00D350FD"/>
    <w:rsid w:val="00D351F5"/>
    <w:rsid w:val="00D35312"/>
    <w:rsid w:val="00D35390"/>
    <w:rsid w:val="00D355FD"/>
    <w:rsid w:val="00D35664"/>
    <w:rsid w:val="00D35D1E"/>
    <w:rsid w:val="00D35DBF"/>
    <w:rsid w:val="00D35EE2"/>
    <w:rsid w:val="00D36015"/>
    <w:rsid w:val="00D36093"/>
    <w:rsid w:val="00D36127"/>
    <w:rsid w:val="00D3617A"/>
    <w:rsid w:val="00D362E4"/>
    <w:rsid w:val="00D36331"/>
    <w:rsid w:val="00D3659E"/>
    <w:rsid w:val="00D367BB"/>
    <w:rsid w:val="00D368D4"/>
    <w:rsid w:val="00D36951"/>
    <w:rsid w:val="00D3696C"/>
    <w:rsid w:val="00D36C32"/>
    <w:rsid w:val="00D36DE3"/>
    <w:rsid w:val="00D36FA1"/>
    <w:rsid w:val="00D37206"/>
    <w:rsid w:val="00D372B5"/>
    <w:rsid w:val="00D37311"/>
    <w:rsid w:val="00D374D7"/>
    <w:rsid w:val="00D37500"/>
    <w:rsid w:val="00D3754B"/>
    <w:rsid w:val="00D37683"/>
    <w:rsid w:val="00D37885"/>
    <w:rsid w:val="00D3788D"/>
    <w:rsid w:val="00D37C07"/>
    <w:rsid w:val="00D37D0C"/>
    <w:rsid w:val="00D37F75"/>
    <w:rsid w:val="00D400DF"/>
    <w:rsid w:val="00D40206"/>
    <w:rsid w:val="00D4081D"/>
    <w:rsid w:val="00D408FD"/>
    <w:rsid w:val="00D40BDF"/>
    <w:rsid w:val="00D40F17"/>
    <w:rsid w:val="00D40FA3"/>
    <w:rsid w:val="00D4117C"/>
    <w:rsid w:val="00D41281"/>
    <w:rsid w:val="00D412CD"/>
    <w:rsid w:val="00D4153B"/>
    <w:rsid w:val="00D416A9"/>
    <w:rsid w:val="00D416C4"/>
    <w:rsid w:val="00D41842"/>
    <w:rsid w:val="00D4186E"/>
    <w:rsid w:val="00D41CD7"/>
    <w:rsid w:val="00D41D24"/>
    <w:rsid w:val="00D41DA9"/>
    <w:rsid w:val="00D421ED"/>
    <w:rsid w:val="00D42322"/>
    <w:rsid w:val="00D4247B"/>
    <w:rsid w:val="00D425BD"/>
    <w:rsid w:val="00D42A43"/>
    <w:rsid w:val="00D42A4C"/>
    <w:rsid w:val="00D42ABD"/>
    <w:rsid w:val="00D42AD6"/>
    <w:rsid w:val="00D42B8F"/>
    <w:rsid w:val="00D42BCB"/>
    <w:rsid w:val="00D42C01"/>
    <w:rsid w:val="00D42D05"/>
    <w:rsid w:val="00D42DEF"/>
    <w:rsid w:val="00D42E7D"/>
    <w:rsid w:val="00D42FA9"/>
    <w:rsid w:val="00D43194"/>
    <w:rsid w:val="00D433F6"/>
    <w:rsid w:val="00D43426"/>
    <w:rsid w:val="00D43569"/>
    <w:rsid w:val="00D4364F"/>
    <w:rsid w:val="00D4367D"/>
    <w:rsid w:val="00D43729"/>
    <w:rsid w:val="00D437BF"/>
    <w:rsid w:val="00D4391D"/>
    <w:rsid w:val="00D43958"/>
    <w:rsid w:val="00D43A19"/>
    <w:rsid w:val="00D43A88"/>
    <w:rsid w:val="00D43AB7"/>
    <w:rsid w:val="00D43CF4"/>
    <w:rsid w:val="00D43D56"/>
    <w:rsid w:val="00D43E70"/>
    <w:rsid w:val="00D43F5F"/>
    <w:rsid w:val="00D440F3"/>
    <w:rsid w:val="00D4450E"/>
    <w:rsid w:val="00D446BA"/>
    <w:rsid w:val="00D44708"/>
    <w:rsid w:val="00D44720"/>
    <w:rsid w:val="00D44772"/>
    <w:rsid w:val="00D447A4"/>
    <w:rsid w:val="00D447AD"/>
    <w:rsid w:val="00D44821"/>
    <w:rsid w:val="00D44825"/>
    <w:rsid w:val="00D448CD"/>
    <w:rsid w:val="00D448F8"/>
    <w:rsid w:val="00D4499B"/>
    <w:rsid w:val="00D449E4"/>
    <w:rsid w:val="00D44C67"/>
    <w:rsid w:val="00D44CA1"/>
    <w:rsid w:val="00D44E4D"/>
    <w:rsid w:val="00D450AF"/>
    <w:rsid w:val="00D450DA"/>
    <w:rsid w:val="00D45287"/>
    <w:rsid w:val="00D45353"/>
    <w:rsid w:val="00D453D6"/>
    <w:rsid w:val="00D4560E"/>
    <w:rsid w:val="00D4569F"/>
    <w:rsid w:val="00D457A1"/>
    <w:rsid w:val="00D457E5"/>
    <w:rsid w:val="00D457E6"/>
    <w:rsid w:val="00D45A60"/>
    <w:rsid w:val="00D45C39"/>
    <w:rsid w:val="00D45C5E"/>
    <w:rsid w:val="00D45C64"/>
    <w:rsid w:val="00D45FB5"/>
    <w:rsid w:val="00D4610C"/>
    <w:rsid w:val="00D461C2"/>
    <w:rsid w:val="00D462B4"/>
    <w:rsid w:val="00D463F7"/>
    <w:rsid w:val="00D4651C"/>
    <w:rsid w:val="00D46639"/>
    <w:rsid w:val="00D466D2"/>
    <w:rsid w:val="00D4684D"/>
    <w:rsid w:val="00D46AEA"/>
    <w:rsid w:val="00D46B62"/>
    <w:rsid w:val="00D46BCB"/>
    <w:rsid w:val="00D46D20"/>
    <w:rsid w:val="00D46DB7"/>
    <w:rsid w:val="00D46DF2"/>
    <w:rsid w:val="00D47228"/>
    <w:rsid w:val="00D472B5"/>
    <w:rsid w:val="00D473FA"/>
    <w:rsid w:val="00D4756D"/>
    <w:rsid w:val="00D47571"/>
    <w:rsid w:val="00D475B1"/>
    <w:rsid w:val="00D47701"/>
    <w:rsid w:val="00D477F2"/>
    <w:rsid w:val="00D478D7"/>
    <w:rsid w:val="00D4795D"/>
    <w:rsid w:val="00D47A02"/>
    <w:rsid w:val="00D47A0B"/>
    <w:rsid w:val="00D47AAE"/>
    <w:rsid w:val="00D47D17"/>
    <w:rsid w:val="00D47E69"/>
    <w:rsid w:val="00D47EB9"/>
    <w:rsid w:val="00D47F49"/>
    <w:rsid w:val="00D47F76"/>
    <w:rsid w:val="00D50065"/>
    <w:rsid w:val="00D502EF"/>
    <w:rsid w:val="00D50368"/>
    <w:rsid w:val="00D503E7"/>
    <w:rsid w:val="00D503EA"/>
    <w:rsid w:val="00D50451"/>
    <w:rsid w:val="00D50616"/>
    <w:rsid w:val="00D506C1"/>
    <w:rsid w:val="00D50784"/>
    <w:rsid w:val="00D507BE"/>
    <w:rsid w:val="00D509FE"/>
    <w:rsid w:val="00D50AF1"/>
    <w:rsid w:val="00D50B82"/>
    <w:rsid w:val="00D50B9A"/>
    <w:rsid w:val="00D50CF3"/>
    <w:rsid w:val="00D50DF9"/>
    <w:rsid w:val="00D50E5A"/>
    <w:rsid w:val="00D50E8A"/>
    <w:rsid w:val="00D50FEC"/>
    <w:rsid w:val="00D51113"/>
    <w:rsid w:val="00D512E5"/>
    <w:rsid w:val="00D51415"/>
    <w:rsid w:val="00D514AC"/>
    <w:rsid w:val="00D514E1"/>
    <w:rsid w:val="00D51524"/>
    <w:rsid w:val="00D515A3"/>
    <w:rsid w:val="00D51625"/>
    <w:rsid w:val="00D516CA"/>
    <w:rsid w:val="00D517C0"/>
    <w:rsid w:val="00D517EE"/>
    <w:rsid w:val="00D51C78"/>
    <w:rsid w:val="00D51D29"/>
    <w:rsid w:val="00D51E09"/>
    <w:rsid w:val="00D51F0D"/>
    <w:rsid w:val="00D5202A"/>
    <w:rsid w:val="00D520A4"/>
    <w:rsid w:val="00D52114"/>
    <w:rsid w:val="00D52121"/>
    <w:rsid w:val="00D5219C"/>
    <w:rsid w:val="00D52217"/>
    <w:rsid w:val="00D52245"/>
    <w:rsid w:val="00D525D1"/>
    <w:rsid w:val="00D5265E"/>
    <w:rsid w:val="00D526CF"/>
    <w:rsid w:val="00D52715"/>
    <w:rsid w:val="00D5275A"/>
    <w:rsid w:val="00D5281D"/>
    <w:rsid w:val="00D5287F"/>
    <w:rsid w:val="00D52957"/>
    <w:rsid w:val="00D52C97"/>
    <w:rsid w:val="00D52CFA"/>
    <w:rsid w:val="00D52E07"/>
    <w:rsid w:val="00D52F71"/>
    <w:rsid w:val="00D53026"/>
    <w:rsid w:val="00D5304E"/>
    <w:rsid w:val="00D5310C"/>
    <w:rsid w:val="00D5327F"/>
    <w:rsid w:val="00D532CC"/>
    <w:rsid w:val="00D533B6"/>
    <w:rsid w:val="00D5367F"/>
    <w:rsid w:val="00D537E4"/>
    <w:rsid w:val="00D539F8"/>
    <w:rsid w:val="00D53A2C"/>
    <w:rsid w:val="00D53A85"/>
    <w:rsid w:val="00D53AB9"/>
    <w:rsid w:val="00D53AE1"/>
    <w:rsid w:val="00D53B95"/>
    <w:rsid w:val="00D53C32"/>
    <w:rsid w:val="00D53C52"/>
    <w:rsid w:val="00D53C66"/>
    <w:rsid w:val="00D53D16"/>
    <w:rsid w:val="00D53D27"/>
    <w:rsid w:val="00D53D66"/>
    <w:rsid w:val="00D53D70"/>
    <w:rsid w:val="00D53D95"/>
    <w:rsid w:val="00D53E60"/>
    <w:rsid w:val="00D53F28"/>
    <w:rsid w:val="00D541FB"/>
    <w:rsid w:val="00D54277"/>
    <w:rsid w:val="00D5428D"/>
    <w:rsid w:val="00D542BE"/>
    <w:rsid w:val="00D5435A"/>
    <w:rsid w:val="00D544BF"/>
    <w:rsid w:val="00D54577"/>
    <w:rsid w:val="00D54825"/>
    <w:rsid w:val="00D54B87"/>
    <w:rsid w:val="00D54C4D"/>
    <w:rsid w:val="00D54F6D"/>
    <w:rsid w:val="00D551D7"/>
    <w:rsid w:val="00D5521F"/>
    <w:rsid w:val="00D55602"/>
    <w:rsid w:val="00D5571C"/>
    <w:rsid w:val="00D5581D"/>
    <w:rsid w:val="00D55A77"/>
    <w:rsid w:val="00D55AB6"/>
    <w:rsid w:val="00D55C50"/>
    <w:rsid w:val="00D55C5D"/>
    <w:rsid w:val="00D55C94"/>
    <w:rsid w:val="00D56093"/>
    <w:rsid w:val="00D561A0"/>
    <w:rsid w:val="00D563D7"/>
    <w:rsid w:val="00D563ED"/>
    <w:rsid w:val="00D565B0"/>
    <w:rsid w:val="00D56919"/>
    <w:rsid w:val="00D56947"/>
    <w:rsid w:val="00D56957"/>
    <w:rsid w:val="00D56B7A"/>
    <w:rsid w:val="00D56C24"/>
    <w:rsid w:val="00D56EF6"/>
    <w:rsid w:val="00D56F71"/>
    <w:rsid w:val="00D5701B"/>
    <w:rsid w:val="00D571B0"/>
    <w:rsid w:val="00D572B7"/>
    <w:rsid w:val="00D57327"/>
    <w:rsid w:val="00D5743F"/>
    <w:rsid w:val="00D57547"/>
    <w:rsid w:val="00D575F5"/>
    <w:rsid w:val="00D5762D"/>
    <w:rsid w:val="00D57956"/>
    <w:rsid w:val="00D579CE"/>
    <w:rsid w:val="00D57A35"/>
    <w:rsid w:val="00D57A71"/>
    <w:rsid w:val="00D57BA4"/>
    <w:rsid w:val="00D57D0E"/>
    <w:rsid w:val="00D57D2F"/>
    <w:rsid w:val="00D57ED2"/>
    <w:rsid w:val="00D57EEF"/>
    <w:rsid w:val="00D57F3B"/>
    <w:rsid w:val="00D60005"/>
    <w:rsid w:val="00D60036"/>
    <w:rsid w:val="00D6020C"/>
    <w:rsid w:val="00D60226"/>
    <w:rsid w:val="00D603D3"/>
    <w:rsid w:val="00D606D8"/>
    <w:rsid w:val="00D606DE"/>
    <w:rsid w:val="00D606F4"/>
    <w:rsid w:val="00D60950"/>
    <w:rsid w:val="00D609F2"/>
    <w:rsid w:val="00D60A9D"/>
    <w:rsid w:val="00D60ADF"/>
    <w:rsid w:val="00D60CBD"/>
    <w:rsid w:val="00D60DD6"/>
    <w:rsid w:val="00D60E1D"/>
    <w:rsid w:val="00D60EA2"/>
    <w:rsid w:val="00D61153"/>
    <w:rsid w:val="00D6125D"/>
    <w:rsid w:val="00D6126A"/>
    <w:rsid w:val="00D6143F"/>
    <w:rsid w:val="00D614AE"/>
    <w:rsid w:val="00D61535"/>
    <w:rsid w:val="00D61561"/>
    <w:rsid w:val="00D61640"/>
    <w:rsid w:val="00D616B7"/>
    <w:rsid w:val="00D616E1"/>
    <w:rsid w:val="00D61773"/>
    <w:rsid w:val="00D61909"/>
    <w:rsid w:val="00D619E7"/>
    <w:rsid w:val="00D61AC0"/>
    <w:rsid w:val="00D61C94"/>
    <w:rsid w:val="00D61D25"/>
    <w:rsid w:val="00D61D7C"/>
    <w:rsid w:val="00D61E53"/>
    <w:rsid w:val="00D61F74"/>
    <w:rsid w:val="00D61F90"/>
    <w:rsid w:val="00D61FFA"/>
    <w:rsid w:val="00D620CA"/>
    <w:rsid w:val="00D62110"/>
    <w:rsid w:val="00D62231"/>
    <w:rsid w:val="00D62507"/>
    <w:rsid w:val="00D6270F"/>
    <w:rsid w:val="00D62966"/>
    <w:rsid w:val="00D62BA2"/>
    <w:rsid w:val="00D62C3C"/>
    <w:rsid w:val="00D62C6A"/>
    <w:rsid w:val="00D62E6C"/>
    <w:rsid w:val="00D62F2A"/>
    <w:rsid w:val="00D6328E"/>
    <w:rsid w:val="00D63527"/>
    <w:rsid w:val="00D63755"/>
    <w:rsid w:val="00D6389B"/>
    <w:rsid w:val="00D63A29"/>
    <w:rsid w:val="00D63A97"/>
    <w:rsid w:val="00D63AC3"/>
    <w:rsid w:val="00D63C5B"/>
    <w:rsid w:val="00D63DA0"/>
    <w:rsid w:val="00D63DE7"/>
    <w:rsid w:val="00D63EE8"/>
    <w:rsid w:val="00D6406D"/>
    <w:rsid w:val="00D640B9"/>
    <w:rsid w:val="00D6414E"/>
    <w:rsid w:val="00D64186"/>
    <w:rsid w:val="00D643A8"/>
    <w:rsid w:val="00D644A6"/>
    <w:rsid w:val="00D64552"/>
    <w:rsid w:val="00D645A9"/>
    <w:rsid w:val="00D647E9"/>
    <w:rsid w:val="00D6498F"/>
    <w:rsid w:val="00D649D2"/>
    <w:rsid w:val="00D64AF9"/>
    <w:rsid w:val="00D64B93"/>
    <w:rsid w:val="00D64C34"/>
    <w:rsid w:val="00D64DE5"/>
    <w:rsid w:val="00D64E06"/>
    <w:rsid w:val="00D64E14"/>
    <w:rsid w:val="00D65017"/>
    <w:rsid w:val="00D6515D"/>
    <w:rsid w:val="00D65194"/>
    <w:rsid w:val="00D6519E"/>
    <w:rsid w:val="00D6536E"/>
    <w:rsid w:val="00D6558F"/>
    <w:rsid w:val="00D655A6"/>
    <w:rsid w:val="00D65675"/>
    <w:rsid w:val="00D65753"/>
    <w:rsid w:val="00D65AEB"/>
    <w:rsid w:val="00D65DF2"/>
    <w:rsid w:val="00D65E21"/>
    <w:rsid w:val="00D65EAA"/>
    <w:rsid w:val="00D65F98"/>
    <w:rsid w:val="00D660B7"/>
    <w:rsid w:val="00D662CD"/>
    <w:rsid w:val="00D66559"/>
    <w:rsid w:val="00D665A4"/>
    <w:rsid w:val="00D6666A"/>
    <w:rsid w:val="00D66956"/>
    <w:rsid w:val="00D66965"/>
    <w:rsid w:val="00D66A1A"/>
    <w:rsid w:val="00D66BFF"/>
    <w:rsid w:val="00D66C0C"/>
    <w:rsid w:val="00D66C82"/>
    <w:rsid w:val="00D66CEE"/>
    <w:rsid w:val="00D66D98"/>
    <w:rsid w:val="00D66E0C"/>
    <w:rsid w:val="00D66E35"/>
    <w:rsid w:val="00D66E84"/>
    <w:rsid w:val="00D6702F"/>
    <w:rsid w:val="00D670E1"/>
    <w:rsid w:val="00D67175"/>
    <w:rsid w:val="00D671A5"/>
    <w:rsid w:val="00D67614"/>
    <w:rsid w:val="00D67638"/>
    <w:rsid w:val="00D67A4A"/>
    <w:rsid w:val="00D67BBE"/>
    <w:rsid w:val="00D67C1A"/>
    <w:rsid w:val="00D67D87"/>
    <w:rsid w:val="00D67F1F"/>
    <w:rsid w:val="00D67F62"/>
    <w:rsid w:val="00D70016"/>
    <w:rsid w:val="00D701F1"/>
    <w:rsid w:val="00D701FC"/>
    <w:rsid w:val="00D702A3"/>
    <w:rsid w:val="00D702E4"/>
    <w:rsid w:val="00D703F6"/>
    <w:rsid w:val="00D70619"/>
    <w:rsid w:val="00D70756"/>
    <w:rsid w:val="00D70764"/>
    <w:rsid w:val="00D7078C"/>
    <w:rsid w:val="00D707CF"/>
    <w:rsid w:val="00D70B8A"/>
    <w:rsid w:val="00D70B9B"/>
    <w:rsid w:val="00D70C6D"/>
    <w:rsid w:val="00D70D1B"/>
    <w:rsid w:val="00D70E7B"/>
    <w:rsid w:val="00D70EC1"/>
    <w:rsid w:val="00D70F4F"/>
    <w:rsid w:val="00D70FD8"/>
    <w:rsid w:val="00D70FDA"/>
    <w:rsid w:val="00D7100E"/>
    <w:rsid w:val="00D7104B"/>
    <w:rsid w:val="00D711D6"/>
    <w:rsid w:val="00D712CB"/>
    <w:rsid w:val="00D7131F"/>
    <w:rsid w:val="00D7153A"/>
    <w:rsid w:val="00D71560"/>
    <w:rsid w:val="00D717AC"/>
    <w:rsid w:val="00D71882"/>
    <w:rsid w:val="00D718DC"/>
    <w:rsid w:val="00D71AB9"/>
    <w:rsid w:val="00D71AF0"/>
    <w:rsid w:val="00D71B0F"/>
    <w:rsid w:val="00D71B8C"/>
    <w:rsid w:val="00D71C68"/>
    <w:rsid w:val="00D71CFA"/>
    <w:rsid w:val="00D71DF3"/>
    <w:rsid w:val="00D71E12"/>
    <w:rsid w:val="00D71F5A"/>
    <w:rsid w:val="00D71F6F"/>
    <w:rsid w:val="00D71FA0"/>
    <w:rsid w:val="00D720A5"/>
    <w:rsid w:val="00D720B2"/>
    <w:rsid w:val="00D721E6"/>
    <w:rsid w:val="00D722E7"/>
    <w:rsid w:val="00D722F3"/>
    <w:rsid w:val="00D7234E"/>
    <w:rsid w:val="00D723DC"/>
    <w:rsid w:val="00D72491"/>
    <w:rsid w:val="00D7249B"/>
    <w:rsid w:val="00D72512"/>
    <w:rsid w:val="00D725A2"/>
    <w:rsid w:val="00D727EA"/>
    <w:rsid w:val="00D72874"/>
    <w:rsid w:val="00D728DE"/>
    <w:rsid w:val="00D7297E"/>
    <w:rsid w:val="00D72A49"/>
    <w:rsid w:val="00D72B59"/>
    <w:rsid w:val="00D72D37"/>
    <w:rsid w:val="00D7315D"/>
    <w:rsid w:val="00D73285"/>
    <w:rsid w:val="00D7335F"/>
    <w:rsid w:val="00D733A5"/>
    <w:rsid w:val="00D73557"/>
    <w:rsid w:val="00D73898"/>
    <w:rsid w:val="00D738EB"/>
    <w:rsid w:val="00D7394C"/>
    <w:rsid w:val="00D73A33"/>
    <w:rsid w:val="00D73A35"/>
    <w:rsid w:val="00D73C40"/>
    <w:rsid w:val="00D73CDC"/>
    <w:rsid w:val="00D73F4A"/>
    <w:rsid w:val="00D73FE0"/>
    <w:rsid w:val="00D74019"/>
    <w:rsid w:val="00D7428A"/>
    <w:rsid w:val="00D7439A"/>
    <w:rsid w:val="00D74409"/>
    <w:rsid w:val="00D7467F"/>
    <w:rsid w:val="00D74848"/>
    <w:rsid w:val="00D74CDF"/>
    <w:rsid w:val="00D74DA9"/>
    <w:rsid w:val="00D74E12"/>
    <w:rsid w:val="00D74E15"/>
    <w:rsid w:val="00D74F3C"/>
    <w:rsid w:val="00D74F56"/>
    <w:rsid w:val="00D751FC"/>
    <w:rsid w:val="00D753E4"/>
    <w:rsid w:val="00D7548E"/>
    <w:rsid w:val="00D756B4"/>
    <w:rsid w:val="00D7571F"/>
    <w:rsid w:val="00D758A6"/>
    <w:rsid w:val="00D75A17"/>
    <w:rsid w:val="00D75A3A"/>
    <w:rsid w:val="00D75AD3"/>
    <w:rsid w:val="00D75C74"/>
    <w:rsid w:val="00D75D75"/>
    <w:rsid w:val="00D75DA9"/>
    <w:rsid w:val="00D75E02"/>
    <w:rsid w:val="00D75E15"/>
    <w:rsid w:val="00D75E1C"/>
    <w:rsid w:val="00D75F1A"/>
    <w:rsid w:val="00D76021"/>
    <w:rsid w:val="00D762BE"/>
    <w:rsid w:val="00D7672B"/>
    <w:rsid w:val="00D7673B"/>
    <w:rsid w:val="00D76A45"/>
    <w:rsid w:val="00D76A4D"/>
    <w:rsid w:val="00D76A82"/>
    <w:rsid w:val="00D76BB8"/>
    <w:rsid w:val="00D76E2F"/>
    <w:rsid w:val="00D76E7C"/>
    <w:rsid w:val="00D76E8D"/>
    <w:rsid w:val="00D76FCF"/>
    <w:rsid w:val="00D7704C"/>
    <w:rsid w:val="00D771DF"/>
    <w:rsid w:val="00D7735D"/>
    <w:rsid w:val="00D77434"/>
    <w:rsid w:val="00D77466"/>
    <w:rsid w:val="00D77499"/>
    <w:rsid w:val="00D77518"/>
    <w:rsid w:val="00D7759F"/>
    <w:rsid w:val="00D775C2"/>
    <w:rsid w:val="00D77849"/>
    <w:rsid w:val="00D778F2"/>
    <w:rsid w:val="00D779D6"/>
    <w:rsid w:val="00D779DE"/>
    <w:rsid w:val="00D77BF6"/>
    <w:rsid w:val="00D77C57"/>
    <w:rsid w:val="00D77F27"/>
    <w:rsid w:val="00D80048"/>
    <w:rsid w:val="00D8004C"/>
    <w:rsid w:val="00D8007A"/>
    <w:rsid w:val="00D803F9"/>
    <w:rsid w:val="00D803FE"/>
    <w:rsid w:val="00D80409"/>
    <w:rsid w:val="00D805D2"/>
    <w:rsid w:val="00D806CC"/>
    <w:rsid w:val="00D8081E"/>
    <w:rsid w:val="00D80964"/>
    <w:rsid w:val="00D8098F"/>
    <w:rsid w:val="00D809CD"/>
    <w:rsid w:val="00D80DB5"/>
    <w:rsid w:val="00D810A8"/>
    <w:rsid w:val="00D811DD"/>
    <w:rsid w:val="00D8124B"/>
    <w:rsid w:val="00D8126C"/>
    <w:rsid w:val="00D81324"/>
    <w:rsid w:val="00D814C2"/>
    <w:rsid w:val="00D8166D"/>
    <w:rsid w:val="00D81724"/>
    <w:rsid w:val="00D8175F"/>
    <w:rsid w:val="00D81940"/>
    <w:rsid w:val="00D81975"/>
    <w:rsid w:val="00D81988"/>
    <w:rsid w:val="00D81B92"/>
    <w:rsid w:val="00D81D78"/>
    <w:rsid w:val="00D81E5F"/>
    <w:rsid w:val="00D81E9E"/>
    <w:rsid w:val="00D81EB3"/>
    <w:rsid w:val="00D82033"/>
    <w:rsid w:val="00D82091"/>
    <w:rsid w:val="00D823F0"/>
    <w:rsid w:val="00D82552"/>
    <w:rsid w:val="00D825E5"/>
    <w:rsid w:val="00D8279E"/>
    <w:rsid w:val="00D827F0"/>
    <w:rsid w:val="00D8282D"/>
    <w:rsid w:val="00D829FE"/>
    <w:rsid w:val="00D82CD3"/>
    <w:rsid w:val="00D82D48"/>
    <w:rsid w:val="00D82D5D"/>
    <w:rsid w:val="00D82DD9"/>
    <w:rsid w:val="00D82E71"/>
    <w:rsid w:val="00D83004"/>
    <w:rsid w:val="00D83054"/>
    <w:rsid w:val="00D831E1"/>
    <w:rsid w:val="00D83288"/>
    <w:rsid w:val="00D8331A"/>
    <w:rsid w:val="00D835BE"/>
    <w:rsid w:val="00D8367F"/>
    <w:rsid w:val="00D838BE"/>
    <w:rsid w:val="00D8392A"/>
    <w:rsid w:val="00D83A27"/>
    <w:rsid w:val="00D83B15"/>
    <w:rsid w:val="00D83C36"/>
    <w:rsid w:val="00D83C6C"/>
    <w:rsid w:val="00D8427A"/>
    <w:rsid w:val="00D842CA"/>
    <w:rsid w:val="00D843A0"/>
    <w:rsid w:val="00D8444B"/>
    <w:rsid w:val="00D84635"/>
    <w:rsid w:val="00D8468F"/>
    <w:rsid w:val="00D84716"/>
    <w:rsid w:val="00D84824"/>
    <w:rsid w:val="00D849BF"/>
    <w:rsid w:val="00D84C28"/>
    <w:rsid w:val="00D84CCE"/>
    <w:rsid w:val="00D84E12"/>
    <w:rsid w:val="00D84FF6"/>
    <w:rsid w:val="00D8503B"/>
    <w:rsid w:val="00D8505D"/>
    <w:rsid w:val="00D850E7"/>
    <w:rsid w:val="00D8511C"/>
    <w:rsid w:val="00D85373"/>
    <w:rsid w:val="00D854D0"/>
    <w:rsid w:val="00D856D7"/>
    <w:rsid w:val="00D85712"/>
    <w:rsid w:val="00D857D9"/>
    <w:rsid w:val="00D859BA"/>
    <w:rsid w:val="00D85B00"/>
    <w:rsid w:val="00D85BB4"/>
    <w:rsid w:val="00D85D2E"/>
    <w:rsid w:val="00D85E7A"/>
    <w:rsid w:val="00D862A7"/>
    <w:rsid w:val="00D862B5"/>
    <w:rsid w:val="00D862E3"/>
    <w:rsid w:val="00D862FC"/>
    <w:rsid w:val="00D865C5"/>
    <w:rsid w:val="00D8678F"/>
    <w:rsid w:val="00D867AE"/>
    <w:rsid w:val="00D868AE"/>
    <w:rsid w:val="00D86A4C"/>
    <w:rsid w:val="00D86C0D"/>
    <w:rsid w:val="00D86C6A"/>
    <w:rsid w:val="00D86DBD"/>
    <w:rsid w:val="00D86DF4"/>
    <w:rsid w:val="00D86E55"/>
    <w:rsid w:val="00D86F66"/>
    <w:rsid w:val="00D86FB3"/>
    <w:rsid w:val="00D870DC"/>
    <w:rsid w:val="00D872A4"/>
    <w:rsid w:val="00D87329"/>
    <w:rsid w:val="00D87383"/>
    <w:rsid w:val="00D874DC"/>
    <w:rsid w:val="00D87757"/>
    <w:rsid w:val="00D87EFD"/>
    <w:rsid w:val="00D90175"/>
    <w:rsid w:val="00D903F0"/>
    <w:rsid w:val="00D905C8"/>
    <w:rsid w:val="00D90687"/>
    <w:rsid w:val="00D90784"/>
    <w:rsid w:val="00D90AE9"/>
    <w:rsid w:val="00D90CFD"/>
    <w:rsid w:val="00D90E0E"/>
    <w:rsid w:val="00D90F03"/>
    <w:rsid w:val="00D910BB"/>
    <w:rsid w:val="00D910E6"/>
    <w:rsid w:val="00D913A9"/>
    <w:rsid w:val="00D913C2"/>
    <w:rsid w:val="00D91535"/>
    <w:rsid w:val="00D91636"/>
    <w:rsid w:val="00D917D8"/>
    <w:rsid w:val="00D918D7"/>
    <w:rsid w:val="00D91F0F"/>
    <w:rsid w:val="00D920E4"/>
    <w:rsid w:val="00D921C1"/>
    <w:rsid w:val="00D9235E"/>
    <w:rsid w:val="00D923A8"/>
    <w:rsid w:val="00D92487"/>
    <w:rsid w:val="00D9286B"/>
    <w:rsid w:val="00D928C1"/>
    <w:rsid w:val="00D9296D"/>
    <w:rsid w:val="00D929C0"/>
    <w:rsid w:val="00D92CC9"/>
    <w:rsid w:val="00D92D51"/>
    <w:rsid w:val="00D92E94"/>
    <w:rsid w:val="00D9341F"/>
    <w:rsid w:val="00D934B6"/>
    <w:rsid w:val="00D93682"/>
    <w:rsid w:val="00D936BC"/>
    <w:rsid w:val="00D93916"/>
    <w:rsid w:val="00D9398C"/>
    <w:rsid w:val="00D939E4"/>
    <w:rsid w:val="00D93C08"/>
    <w:rsid w:val="00D93CA4"/>
    <w:rsid w:val="00D93F14"/>
    <w:rsid w:val="00D93F36"/>
    <w:rsid w:val="00D93F9E"/>
    <w:rsid w:val="00D9401A"/>
    <w:rsid w:val="00D9406C"/>
    <w:rsid w:val="00D941B7"/>
    <w:rsid w:val="00D942A2"/>
    <w:rsid w:val="00D94841"/>
    <w:rsid w:val="00D9496B"/>
    <w:rsid w:val="00D94B4D"/>
    <w:rsid w:val="00D94C69"/>
    <w:rsid w:val="00D94DDE"/>
    <w:rsid w:val="00D94EB1"/>
    <w:rsid w:val="00D951C5"/>
    <w:rsid w:val="00D95531"/>
    <w:rsid w:val="00D95577"/>
    <w:rsid w:val="00D95AA8"/>
    <w:rsid w:val="00D95CDA"/>
    <w:rsid w:val="00D95D86"/>
    <w:rsid w:val="00D95E27"/>
    <w:rsid w:val="00D95F1A"/>
    <w:rsid w:val="00D95F35"/>
    <w:rsid w:val="00D95F65"/>
    <w:rsid w:val="00D96005"/>
    <w:rsid w:val="00D9603D"/>
    <w:rsid w:val="00D9623E"/>
    <w:rsid w:val="00D962E4"/>
    <w:rsid w:val="00D962EC"/>
    <w:rsid w:val="00D962F7"/>
    <w:rsid w:val="00D963F9"/>
    <w:rsid w:val="00D9644B"/>
    <w:rsid w:val="00D965A4"/>
    <w:rsid w:val="00D965AE"/>
    <w:rsid w:val="00D96633"/>
    <w:rsid w:val="00D9668E"/>
    <w:rsid w:val="00D96777"/>
    <w:rsid w:val="00D96931"/>
    <w:rsid w:val="00D96A82"/>
    <w:rsid w:val="00D96C57"/>
    <w:rsid w:val="00D96CFF"/>
    <w:rsid w:val="00D96DA0"/>
    <w:rsid w:val="00D96FC9"/>
    <w:rsid w:val="00D9715C"/>
    <w:rsid w:val="00D97653"/>
    <w:rsid w:val="00D976CD"/>
    <w:rsid w:val="00D97886"/>
    <w:rsid w:val="00D978E3"/>
    <w:rsid w:val="00D97A07"/>
    <w:rsid w:val="00D97AC1"/>
    <w:rsid w:val="00D97B28"/>
    <w:rsid w:val="00D97C24"/>
    <w:rsid w:val="00D97C28"/>
    <w:rsid w:val="00D97C42"/>
    <w:rsid w:val="00D97CDE"/>
    <w:rsid w:val="00D97CF3"/>
    <w:rsid w:val="00D97DE1"/>
    <w:rsid w:val="00D97FFA"/>
    <w:rsid w:val="00DA003C"/>
    <w:rsid w:val="00DA00A1"/>
    <w:rsid w:val="00DA01C5"/>
    <w:rsid w:val="00DA02BE"/>
    <w:rsid w:val="00DA031E"/>
    <w:rsid w:val="00DA06A9"/>
    <w:rsid w:val="00DA07CC"/>
    <w:rsid w:val="00DA07E6"/>
    <w:rsid w:val="00DA0855"/>
    <w:rsid w:val="00DA0897"/>
    <w:rsid w:val="00DA0B4F"/>
    <w:rsid w:val="00DA0BE4"/>
    <w:rsid w:val="00DA0CC1"/>
    <w:rsid w:val="00DA0E36"/>
    <w:rsid w:val="00DA0F36"/>
    <w:rsid w:val="00DA0F4C"/>
    <w:rsid w:val="00DA0FD3"/>
    <w:rsid w:val="00DA1093"/>
    <w:rsid w:val="00DA116C"/>
    <w:rsid w:val="00DA1201"/>
    <w:rsid w:val="00DA12CD"/>
    <w:rsid w:val="00DA13C6"/>
    <w:rsid w:val="00DA1412"/>
    <w:rsid w:val="00DA1823"/>
    <w:rsid w:val="00DA195E"/>
    <w:rsid w:val="00DA19A8"/>
    <w:rsid w:val="00DA1B84"/>
    <w:rsid w:val="00DA1DA4"/>
    <w:rsid w:val="00DA1EF7"/>
    <w:rsid w:val="00DA205A"/>
    <w:rsid w:val="00DA20CE"/>
    <w:rsid w:val="00DA2399"/>
    <w:rsid w:val="00DA2796"/>
    <w:rsid w:val="00DA2886"/>
    <w:rsid w:val="00DA289C"/>
    <w:rsid w:val="00DA28E9"/>
    <w:rsid w:val="00DA2995"/>
    <w:rsid w:val="00DA2A65"/>
    <w:rsid w:val="00DA2A72"/>
    <w:rsid w:val="00DA2C10"/>
    <w:rsid w:val="00DA2CEA"/>
    <w:rsid w:val="00DA2DFA"/>
    <w:rsid w:val="00DA2FC1"/>
    <w:rsid w:val="00DA3162"/>
    <w:rsid w:val="00DA31DD"/>
    <w:rsid w:val="00DA336D"/>
    <w:rsid w:val="00DA3372"/>
    <w:rsid w:val="00DA33AB"/>
    <w:rsid w:val="00DA3487"/>
    <w:rsid w:val="00DA35EF"/>
    <w:rsid w:val="00DA3640"/>
    <w:rsid w:val="00DA36A2"/>
    <w:rsid w:val="00DA36E6"/>
    <w:rsid w:val="00DA37C7"/>
    <w:rsid w:val="00DA388E"/>
    <w:rsid w:val="00DA3955"/>
    <w:rsid w:val="00DA3A87"/>
    <w:rsid w:val="00DA3B36"/>
    <w:rsid w:val="00DA3B6E"/>
    <w:rsid w:val="00DA3B8F"/>
    <w:rsid w:val="00DA3BE2"/>
    <w:rsid w:val="00DA3EB9"/>
    <w:rsid w:val="00DA401D"/>
    <w:rsid w:val="00DA406D"/>
    <w:rsid w:val="00DA4299"/>
    <w:rsid w:val="00DA4452"/>
    <w:rsid w:val="00DA4767"/>
    <w:rsid w:val="00DA486E"/>
    <w:rsid w:val="00DA48A9"/>
    <w:rsid w:val="00DA4972"/>
    <w:rsid w:val="00DA49FA"/>
    <w:rsid w:val="00DA4A46"/>
    <w:rsid w:val="00DA4D97"/>
    <w:rsid w:val="00DA5010"/>
    <w:rsid w:val="00DA50E2"/>
    <w:rsid w:val="00DA51C9"/>
    <w:rsid w:val="00DA532B"/>
    <w:rsid w:val="00DA5503"/>
    <w:rsid w:val="00DA56FD"/>
    <w:rsid w:val="00DA58EF"/>
    <w:rsid w:val="00DA59D5"/>
    <w:rsid w:val="00DA59FF"/>
    <w:rsid w:val="00DA5EF3"/>
    <w:rsid w:val="00DA6112"/>
    <w:rsid w:val="00DA63D4"/>
    <w:rsid w:val="00DA6445"/>
    <w:rsid w:val="00DA6464"/>
    <w:rsid w:val="00DA6491"/>
    <w:rsid w:val="00DA64DE"/>
    <w:rsid w:val="00DA652B"/>
    <w:rsid w:val="00DA6633"/>
    <w:rsid w:val="00DA6636"/>
    <w:rsid w:val="00DA67D1"/>
    <w:rsid w:val="00DA67DC"/>
    <w:rsid w:val="00DA6A73"/>
    <w:rsid w:val="00DA6CC9"/>
    <w:rsid w:val="00DA6D33"/>
    <w:rsid w:val="00DA6D95"/>
    <w:rsid w:val="00DA6DAE"/>
    <w:rsid w:val="00DA6E2E"/>
    <w:rsid w:val="00DA6E3A"/>
    <w:rsid w:val="00DA6F0B"/>
    <w:rsid w:val="00DA736E"/>
    <w:rsid w:val="00DA74E2"/>
    <w:rsid w:val="00DA775E"/>
    <w:rsid w:val="00DA7884"/>
    <w:rsid w:val="00DA7B97"/>
    <w:rsid w:val="00DA7C07"/>
    <w:rsid w:val="00DA7CB1"/>
    <w:rsid w:val="00DA7CC4"/>
    <w:rsid w:val="00DA7E87"/>
    <w:rsid w:val="00DB0074"/>
    <w:rsid w:val="00DB00EA"/>
    <w:rsid w:val="00DB019F"/>
    <w:rsid w:val="00DB039F"/>
    <w:rsid w:val="00DB03DB"/>
    <w:rsid w:val="00DB05F1"/>
    <w:rsid w:val="00DB0714"/>
    <w:rsid w:val="00DB0C0A"/>
    <w:rsid w:val="00DB0D5D"/>
    <w:rsid w:val="00DB10F8"/>
    <w:rsid w:val="00DB10F9"/>
    <w:rsid w:val="00DB113B"/>
    <w:rsid w:val="00DB12F0"/>
    <w:rsid w:val="00DB1354"/>
    <w:rsid w:val="00DB14B4"/>
    <w:rsid w:val="00DB157F"/>
    <w:rsid w:val="00DB15AB"/>
    <w:rsid w:val="00DB15FD"/>
    <w:rsid w:val="00DB17F1"/>
    <w:rsid w:val="00DB1811"/>
    <w:rsid w:val="00DB193F"/>
    <w:rsid w:val="00DB1AD4"/>
    <w:rsid w:val="00DB1EEF"/>
    <w:rsid w:val="00DB1F02"/>
    <w:rsid w:val="00DB1FEE"/>
    <w:rsid w:val="00DB233F"/>
    <w:rsid w:val="00DB23A2"/>
    <w:rsid w:val="00DB258C"/>
    <w:rsid w:val="00DB27EC"/>
    <w:rsid w:val="00DB2A83"/>
    <w:rsid w:val="00DB2B9D"/>
    <w:rsid w:val="00DB2BF3"/>
    <w:rsid w:val="00DB2D84"/>
    <w:rsid w:val="00DB2E04"/>
    <w:rsid w:val="00DB2EB6"/>
    <w:rsid w:val="00DB31AC"/>
    <w:rsid w:val="00DB338F"/>
    <w:rsid w:val="00DB3490"/>
    <w:rsid w:val="00DB34F2"/>
    <w:rsid w:val="00DB34FE"/>
    <w:rsid w:val="00DB3502"/>
    <w:rsid w:val="00DB36D6"/>
    <w:rsid w:val="00DB384B"/>
    <w:rsid w:val="00DB3C2A"/>
    <w:rsid w:val="00DB3D1B"/>
    <w:rsid w:val="00DB3F1C"/>
    <w:rsid w:val="00DB3F90"/>
    <w:rsid w:val="00DB412C"/>
    <w:rsid w:val="00DB429E"/>
    <w:rsid w:val="00DB4377"/>
    <w:rsid w:val="00DB441B"/>
    <w:rsid w:val="00DB448F"/>
    <w:rsid w:val="00DB4696"/>
    <w:rsid w:val="00DB48CE"/>
    <w:rsid w:val="00DB48FE"/>
    <w:rsid w:val="00DB4934"/>
    <w:rsid w:val="00DB4970"/>
    <w:rsid w:val="00DB4A6E"/>
    <w:rsid w:val="00DB4B19"/>
    <w:rsid w:val="00DB4B22"/>
    <w:rsid w:val="00DB4CAF"/>
    <w:rsid w:val="00DB4ECF"/>
    <w:rsid w:val="00DB505E"/>
    <w:rsid w:val="00DB5191"/>
    <w:rsid w:val="00DB546B"/>
    <w:rsid w:val="00DB5482"/>
    <w:rsid w:val="00DB56B6"/>
    <w:rsid w:val="00DB579E"/>
    <w:rsid w:val="00DB57ED"/>
    <w:rsid w:val="00DB58A0"/>
    <w:rsid w:val="00DB5A7A"/>
    <w:rsid w:val="00DB5B30"/>
    <w:rsid w:val="00DB5C12"/>
    <w:rsid w:val="00DB5CA5"/>
    <w:rsid w:val="00DB5CCA"/>
    <w:rsid w:val="00DB5E84"/>
    <w:rsid w:val="00DB62F7"/>
    <w:rsid w:val="00DB630B"/>
    <w:rsid w:val="00DB6446"/>
    <w:rsid w:val="00DB6501"/>
    <w:rsid w:val="00DB6525"/>
    <w:rsid w:val="00DB6526"/>
    <w:rsid w:val="00DB6533"/>
    <w:rsid w:val="00DB65E9"/>
    <w:rsid w:val="00DB663D"/>
    <w:rsid w:val="00DB6796"/>
    <w:rsid w:val="00DB68E1"/>
    <w:rsid w:val="00DB6A95"/>
    <w:rsid w:val="00DB6AF5"/>
    <w:rsid w:val="00DB6BC2"/>
    <w:rsid w:val="00DB6BE8"/>
    <w:rsid w:val="00DB6C4E"/>
    <w:rsid w:val="00DB6C9B"/>
    <w:rsid w:val="00DB6E78"/>
    <w:rsid w:val="00DB6F26"/>
    <w:rsid w:val="00DB70E8"/>
    <w:rsid w:val="00DB728C"/>
    <w:rsid w:val="00DB734C"/>
    <w:rsid w:val="00DB7831"/>
    <w:rsid w:val="00DB7A8D"/>
    <w:rsid w:val="00DB7ACF"/>
    <w:rsid w:val="00DB7B57"/>
    <w:rsid w:val="00DB7D9B"/>
    <w:rsid w:val="00DB7F5B"/>
    <w:rsid w:val="00DC015D"/>
    <w:rsid w:val="00DC01D9"/>
    <w:rsid w:val="00DC02E2"/>
    <w:rsid w:val="00DC04E9"/>
    <w:rsid w:val="00DC0618"/>
    <w:rsid w:val="00DC08C4"/>
    <w:rsid w:val="00DC08CC"/>
    <w:rsid w:val="00DC09B8"/>
    <w:rsid w:val="00DC09D3"/>
    <w:rsid w:val="00DC0A51"/>
    <w:rsid w:val="00DC0A54"/>
    <w:rsid w:val="00DC0ABB"/>
    <w:rsid w:val="00DC0B41"/>
    <w:rsid w:val="00DC0ED6"/>
    <w:rsid w:val="00DC0FDA"/>
    <w:rsid w:val="00DC107B"/>
    <w:rsid w:val="00DC127A"/>
    <w:rsid w:val="00DC160F"/>
    <w:rsid w:val="00DC16A8"/>
    <w:rsid w:val="00DC1882"/>
    <w:rsid w:val="00DC1950"/>
    <w:rsid w:val="00DC1A1A"/>
    <w:rsid w:val="00DC1A23"/>
    <w:rsid w:val="00DC1CEC"/>
    <w:rsid w:val="00DC1D25"/>
    <w:rsid w:val="00DC1D3B"/>
    <w:rsid w:val="00DC1D44"/>
    <w:rsid w:val="00DC1E7F"/>
    <w:rsid w:val="00DC1FF4"/>
    <w:rsid w:val="00DC2061"/>
    <w:rsid w:val="00DC20E5"/>
    <w:rsid w:val="00DC2234"/>
    <w:rsid w:val="00DC23DC"/>
    <w:rsid w:val="00DC24C2"/>
    <w:rsid w:val="00DC2522"/>
    <w:rsid w:val="00DC2887"/>
    <w:rsid w:val="00DC28CE"/>
    <w:rsid w:val="00DC293F"/>
    <w:rsid w:val="00DC2B9B"/>
    <w:rsid w:val="00DC2C30"/>
    <w:rsid w:val="00DC2C87"/>
    <w:rsid w:val="00DC303D"/>
    <w:rsid w:val="00DC311E"/>
    <w:rsid w:val="00DC32A2"/>
    <w:rsid w:val="00DC32C8"/>
    <w:rsid w:val="00DC337F"/>
    <w:rsid w:val="00DC33F8"/>
    <w:rsid w:val="00DC34FB"/>
    <w:rsid w:val="00DC35E5"/>
    <w:rsid w:val="00DC379C"/>
    <w:rsid w:val="00DC3B86"/>
    <w:rsid w:val="00DC3B8F"/>
    <w:rsid w:val="00DC3C0E"/>
    <w:rsid w:val="00DC3D32"/>
    <w:rsid w:val="00DC40C0"/>
    <w:rsid w:val="00DC42E9"/>
    <w:rsid w:val="00DC4533"/>
    <w:rsid w:val="00DC4743"/>
    <w:rsid w:val="00DC4A7E"/>
    <w:rsid w:val="00DC4B57"/>
    <w:rsid w:val="00DC4BC7"/>
    <w:rsid w:val="00DC50AC"/>
    <w:rsid w:val="00DC53C6"/>
    <w:rsid w:val="00DC552F"/>
    <w:rsid w:val="00DC5557"/>
    <w:rsid w:val="00DC55EA"/>
    <w:rsid w:val="00DC5694"/>
    <w:rsid w:val="00DC59F1"/>
    <w:rsid w:val="00DC5AB2"/>
    <w:rsid w:val="00DC5FBF"/>
    <w:rsid w:val="00DC6278"/>
    <w:rsid w:val="00DC643E"/>
    <w:rsid w:val="00DC6538"/>
    <w:rsid w:val="00DC657C"/>
    <w:rsid w:val="00DC680F"/>
    <w:rsid w:val="00DC68BE"/>
    <w:rsid w:val="00DC6AD2"/>
    <w:rsid w:val="00DC6BC6"/>
    <w:rsid w:val="00DC6BEE"/>
    <w:rsid w:val="00DC6DF5"/>
    <w:rsid w:val="00DC6F9A"/>
    <w:rsid w:val="00DC6FDA"/>
    <w:rsid w:val="00DC7194"/>
    <w:rsid w:val="00DC7268"/>
    <w:rsid w:val="00DC735D"/>
    <w:rsid w:val="00DC7363"/>
    <w:rsid w:val="00DC7464"/>
    <w:rsid w:val="00DC7542"/>
    <w:rsid w:val="00DC76D3"/>
    <w:rsid w:val="00DC77C2"/>
    <w:rsid w:val="00DC7893"/>
    <w:rsid w:val="00DC78BC"/>
    <w:rsid w:val="00DC78EB"/>
    <w:rsid w:val="00DC7959"/>
    <w:rsid w:val="00DC7A70"/>
    <w:rsid w:val="00DC7E0F"/>
    <w:rsid w:val="00DD00A9"/>
    <w:rsid w:val="00DD01FB"/>
    <w:rsid w:val="00DD0326"/>
    <w:rsid w:val="00DD032A"/>
    <w:rsid w:val="00DD0370"/>
    <w:rsid w:val="00DD073C"/>
    <w:rsid w:val="00DD0795"/>
    <w:rsid w:val="00DD08DD"/>
    <w:rsid w:val="00DD0966"/>
    <w:rsid w:val="00DD0A60"/>
    <w:rsid w:val="00DD0A63"/>
    <w:rsid w:val="00DD0AEA"/>
    <w:rsid w:val="00DD0BD2"/>
    <w:rsid w:val="00DD0D5F"/>
    <w:rsid w:val="00DD10BC"/>
    <w:rsid w:val="00DD115F"/>
    <w:rsid w:val="00DD1211"/>
    <w:rsid w:val="00DD124E"/>
    <w:rsid w:val="00DD127F"/>
    <w:rsid w:val="00DD12B2"/>
    <w:rsid w:val="00DD13A2"/>
    <w:rsid w:val="00DD14B6"/>
    <w:rsid w:val="00DD160B"/>
    <w:rsid w:val="00DD168B"/>
    <w:rsid w:val="00DD1818"/>
    <w:rsid w:val="00DD182B"/>
    <w:rsid w:val="00DD1957"/>
    <w:rsid w:val="00DD19AC"/>
    <w:rsid w:val="00DD1A53"/>
    <w:rsid w:val="00DD1CCF"/>
    <w:rsid w:val="00DD1CDA"/>
    <w:rsid w:val="00DD1ED0"/>
    <w:rsid w:val="00DD1F98"/>
    <w:rsid w:val="00DD201C"/>
    <w:rsid w:val="00DD2211"/>
    <w:rsid w:val="00DD23DB"/>
    <w:rsid w:val="00DD23FB"/>
    <w:rsid w:val="00DD2656"/>
    <w:rsid w:val="00DD26D3"/>
    <w:rsid w:val="00DD2701"/>
    <w:rsid w:val="00DD2976"/>
    <w:rsid w:val="00DD2EEF"/>
    <w:rsid w:val="00DD3084"/>
    <w:rsid w:val="00DD331D"/>
    <w:rsid w:val="00DD33CB"/>
    <w:rsid w:val="00DD3713"/>
    <w:rsid w:val="00DD3B29"/>
    <w:rsid w:val="00DD3B3D"/>
    <w:rsid w:val="00DD3B55"/>
    <w:rsid w:val="00DD3B95"/>
    <w:rsid w:val="00DD3BAA"/>
    <w:rsid w:val="00DD3C72"/>
    <w:rsid w:val="00DD3E7E"/>
    <w:rsid w:val="00DD4240"/>
    <w:rsid w:val="00DD463B"/>
    <w:rsid w:val="00DD47D5"/>
    <w:rsid w:val="00DD4856"/>
    <w:rsid w:val="00DD4861"/>
    <w:rsid w:val="00DD48B6"/>
    <w:rsid w:val="00DD4A84"/>
    <w:rsid w:val="00DD4BEB"/>
    <w:rsid w:val="00DD4DB3"/>
    <w:rsid w:val="00DD4E2D"/>
    <w:rsid w:val="00DD4F99"/>
    <w:rsid w:val="00DD5079"/>
    <w:rsid w:val="00DD50C5"/>
    <w:rsid w:val="00DD50E2"/>
    <w:rsid w:val="00DD5245"/>
    <w:rsid w:val="00DD5357"/>
    <w:rsid w:val="00DD5511"/>
    <w:rsid w:val="00DD559A"/>
    <w:rsid w:val="00DD56DB"/>
    <w:rsid w:val="00DD596F"/>
    <w:rsid w:val="00DD5D97"/>
    <w:rsid w:val="00DD6012"/>
    <w:rsid w:val="00DD60CF"/>
    <w:rsid w:val="00DD615D"/>
    <w:rsid w:val="00DD61B4"/>
    <w:rsid w:val="00DD61B5"/>
    <w:rsid w:val="00DD6685"/>
    <w:rsid w:val="00DD66CB"/>
    <w:rsid w:val="00DD6BBE"/>
    <w:rsid w:val="00DD6D72"/>
    <w:rsid w:val="00DD6DE2"/>
    <w:rsid w:val="00DD6E60"/>
    <w:rsid w:val="00DD6F3E"/>
    <w:rsid w:val="00DD7214"/>
    <w:rsid w:val="00DD735A"/>
    <w:rsid w:val="00DD75F3"/>
    <w:rsid w:val="00DD79D0"/>
    <w:rsid w:val="00DD7B20"/>
    <w:rsid w:val="00DD7D0A"/>
    <w:rsid w:val="00DD7D67"/>
    <w:rsid w:val="00DE01BD"/>
    <w:rsid w:val="00DE03D5"/>
    <w:rsid w:val="00DE03E4"/>
    <w:rsid w:val="00DE03EA"/>
    <w:rsid w:val="00DE04C8"/>
    <w:rsid w:val="00DE05A0"/>
    <w:rsid w:val="00DE0634"/>
    <w:rsid w:val="00DE0739"/>
    <w:rsid w:val="00DE0854"/>
    <w:rsid w:val="00DE090B"/>
    <w:rsid w:val="00DE0A08"/>
    <w:rsid w:val="00DE0BFA"/>
    <w:rsid w:val="00DE0FD9"/>
    <w:rsid w:val="00DE1041"/>
    <w:rsid w:val="00DE1298"/>
    <w:rsid w:val="00DE1327"/>
    <w:rsid w:val="00DE1809"/>
    <w:rsid w:val="00DE185E"/>
    <w:rsid w:val="00DE193E"/>
    <w:rsid w:val="00DE199B"/>
    <w:rsid w:val="00DE1B18"/>
    <w:rsid w:val="00DE1CAA"/>
    <w:rsid w:val="00DE1E10"/>
    <w:rsid w:val="00DE1FEC"/>
    <w:rsid w:val="00DE21C6"/>
    <w:rsid w:val="00DE2494"/>
    <w:rsid w:val="00DE2850"/>
    <w:rsid w:val="00DE2954"/>
    <w:rsid w:val="00DE2A07"/>
    <w:rsid w:val="00DE2B94"/>
    <w:rsid w:val="00DE2C6D"/>
    <w:rsid w:val="00DE2FD4"/>
    <w:rsid w:val="00DE3135"/>
    <w:rsid w:val="00DE341B"/>
    <w:rsid w:val="00DE35BD"/>
    <w:rsid w:val="00DE3842"/>
    <w:rsid w:val="00DE395C"/>
    <w:rsid w:val="00DE3A65"/>
    <w:rsid w:val="00DE3A78"/>
    <w:rsid w:val="00DE3C9F"/>
    <w:rsid w:val="00DE3D8D"/>
    <w:rsid w:val="00DE3E2C"/>
    <w:rsid w:val="00DE3FFA"/>
    <w:rsid w:val="00DE41C4"/>
    <w:rsid w:val="00DE4247"/>
    <w:rsid w:val="00DE4398"/>
    <w:rsid w:val="00DE43F5"/>
    <w:rsid w:val="00DE46B6"/>
    <w:rsid w:val="00DE47B8"/>
    <w:rsid w:val="00DE4869"/>
    <w:rsid w:val="00DE4B0B"/>
    <w:rsid w:val="00DE4C4E"/>
    <w:rsid w:val="00DE4C59"/>
    <w:rsid w:val="00DE4C72"/>
    <w:rsid w:val="00DE4D59"/>
    <w:rsid w:val="00DE4E13"/>
    <w:rsid w:val="00DE4EAB"/>
    <w:rsid w:val="00DE508A"/>
    <w:rsid w:val="00DE56BE"/>
    <w:rsid w:val="00DE57ED"/>
    <w:rsid w:val="00DE5995"/>
    <w:rsid w:val="00DE59E4"/>
    <w:rsid w:val="00DE5AC5"/>
    <w:rsid w:val="00DE5EC6"/>
    <w:rsid w:val="00DE602C"/>
    <w:rsid w:val="00DE6083"/>
    <w:rsid w:val="00DE61C3"/>
    <w:rsid w:val="00DE62DB"/>
    <w:rsid w:val="00DE6350"/>
    <w:rsid w:val="00DE6414"/>
    <w:rsid w:val="00DE6505"/>
    <w:rsid w:val="00DE684F"/>
    <w:rsid w:val="00DE6B77"/>
    <w:rsid w:val="00DE6CAF"/>
    <w:rsid w:val="00DE6D08"/>
    <w:rsid w:val="00DE709D"/>
    <w:rsid w:val="00DE7114"/>
    <w:rsid w:val="00DE731D"/>
    <w:rsid w:val="00DE7603"/>
    <w:rsid w:val="00DE7692"/>
    <w:rsid w:val="00DE7974"/>
    <w:rsid w:val="00DE7BB4"/>
    <w:rsid w:val="00DE7C01"/>
    <w:rsid w:val="00DE7D2F"/>
    <w:rsid w:val="00DE7D9A"/>
    <w:rsid w:val="00DE7E36"/>
    <w:rsid w:val="00DE7E3D"/>
    <w:rsid w:val="00DF0016"/>
    <w:rsid w:val="00DF003A"/>
    <w:rsid w:val="00DF00AF"/>
    <w:rsid w:val="00DF01F5"/>
    <w:rsid w:val="00DF032A"/>
    <w:rsid w:val="00DF03A7"/>
    <w:rsid w:val="00DF03EE"/>
    <w:rsid w:val="00DF06B4"/>
    <w:rsid w:val="00DF0744"/>
    <w:rsid w:val="00DF07C5"/>
    <w:rsid w:val="00DF0844"/>
    <w:rsid w:val="00DF091A"/>
    <w:rsid w:val="00DF0B36"/>
    <w:rsid w:val="00DF0B7E"/>
    <w:rsid w:val="00DF0B7F"/>
    <w:rsid w:val="00DF0BB5"/>
    <w:rsid w:val="00DF0C64"/>
    <w:rsid w:val="00DF0CC2"/>
    <w:rsid w:val="00DF0CCA"/>
    <w:rsid w:val="00DF0D03"/>
    <w:rsid w:val="00DF0F49"/>
    <w:rsid w:val="00DF0F75"/>
    <w:rsid w:val="00DF134A"/>
    <w:rsid w:val="00DF15E9"/>
    <w:rsid w:val="00DF170C"/>
    <w:rsid w:val="00DF179D"/>
    <w:rsid w:val="00DF17FB"/>
    <w:rsid w:val="00DF18C5"/>
    <w:rsid w:val="00DF19B1"/>
    <w:rsid w:val="00DF19EB"/>
    <w:rsid w:val="00DF1A68"/>
    <w:rsid w:val="00DF1AF5"/>
    <w:rsid w:val="00DF1B01"/>
    <w:rsid w:val="00DF1B28"/>
    <w:rsid w:val="00DF1C8B"/>
    <w:rsid w:val="00DF1CC8"/>
    <w:rsid w:val="00DF1D8F"/>
    <w:rsid w:val="00DF1EC0"/>
    <w:rsid w:val="00DF204A"/>
    <w:rsid w:val="00DF2253"/>
    <w:rsid w:val="00DF2333"/>
    <w:rsid w:val="00DF245E"/>
    <w:rsid w:val="00DF24A8"/>
    <w:rsid w:val="00DF25B6"/>
    <w:rsid w:val="00DF2629"/>
    <w:rsid w:val="00DF27E9"/>
    <w:rsid w:val="00DF2A31"/>
    <w:rsid w:val="00DF2AF8"/>
    <w:rsid w:val="00DF2CB4"/>
    <w:rsid w:val="00DF2F20"/>
    <w:rsid w:val="00DF308B"/>
    <w:rsid w:val="00DF3137"/>
    <w:rsid w:val="00DF3258"/>
    <w:rsid w:val="00DF33B1"/>
    <w:rsid w:val="00DF3447"/>
    <w:rsid w:val="00DF35C7"/>
    <w:rsid w:val="00DF367F"/>
    <w:rsid w:val="00DF3706"/>
    <w:rsid w:val="00DF3BA8"/>
    <w:rsid w:val="00DF3C47"/>
    <w:rsid w:val="00DF3C63"/>
    <w:rsid w:val="00DF3DB2"/>
    <w:rsid w:val="00DF3E1A"/>
    <w:rsid w:val="00DF3E5E"/>
    <w:rsid w:val="00DF3EA4"/>
    <w:rsid w:val="00DF4105"/>
    <w:rsid w:val="00DF4269"/>
    <w:rsid w:val="00DF43D3"/>
    <w:rsid w:val="00DF43EF"/>
    <w:rsid w:val="00DF4469"/>
    <w:rsid w:val="00DF455B"/>
    <w:rsid w:val="00DF45E8"/>
    <w:rsid w:val="00DF46D3"/>
    <w:rsid w:val="00DF47D4"/>
    <w:rsid w:val="00DF4873"/>
    <w:rsid w:val="00DF4B43"/>
    <w:rsid w:val="00DF4CC4"/>
    <w:rsid w:val="00DF4D71"/>
    <w:rsid w:val="00DF4DB1"/>
    <w:rsid w:val="00DF4ECE"/>
    <w:rsid w:val="00DF4F46"/>
    <w:rsid w:val="00DF50B4"/>
    <w:rsid w:val="00DF50F8"/>
    <w:rsid w:val="00DF5100"/>
    <w:rsid w:val="00DF53D1"/>
    <w:rsid w:val="00DF545D"/>
    <w:rsid w:val="00DF552C"/>
    <w:rsid w:val="00DF55C8"/>
    <w:rsid w:val="00DF5769"/>
    <w:rsid w:val="00DF58A7"/>
    <w:rsid w:val="00DF5A98"/>
    <w:rsid w:val="00DF5D3C"/>
    <w:rsid w:val="00DF5F8E"/>
    <w:rsid w:val="00DF6107"/>
    <w:rsid w:val="00DF610D"/>
    <w:rsid w:val="00DF61BC"/>
    <w:rsid w:val="00DF6547"/>
    <w:rsid w:val="00DF664D"/>
    <w:rsid w:val="00DF695A"/>
    <w:rsid w:val="00DF6A5A"/>
    <w:rsid w:val="00DF6A69"/>
    <w:rsid w:val="00DF6C93"/>
    <w:rsid w:val="00DF6F9A"/>
    <w:rsid w:val="00DF70BC"/>
    <w:rsid w:val="00DF70F0"/>
    <w:rsid w:val="00DF7261"/>
    <w:rsid w:val="00DF73B5"/>
    <w:rsid w:val="00DF74AF"/>
    <w:rsid w:val="00DF7718"/>
    <w:rsid w:val="00DF777B"/>
    <w:rsid w:val="00DF77C5"/>
    <w:rsid w:val="00DF77DB"/>
    <w:rsid w:val="00DF780F"/>
    <w:rsid w:val="00DF78AE"/>
    <w:rsid w:val="00DF7A12"/>
    <w:rsid w:val="00DF7A54"/>
    <w:rsid w:val="00DF7CA9"/>
    <w:rsid w:val="00E002C7"/>
    <w:rsid w:val="00E0035B"/>
    <w:rsid w:val="00E0056B"/>
    <w:rsid w:val="00E005B8"/>
    <w:rsid w:val="00E005C9"/>
    <w:rsid w:val="00E006C6"/>
    <w:rsid w:val="00E007DE"/>
    <w:rsid w:val="00E00941"/>
    <w:rsid w:val="00E0099D"/>
    <w:rsid w:val="00E00A18"/>
    <w:rsid w:val="00E00A42"/>
    <w:rsid w:val="00E00D69"/>
    <w:rsid w:val="00E00D7B"/>
    <w:rsid w:val="00E00E14"/>
    <w:rsid w:val="00E00E96"/>
    <w:rsid w:val="00E01039"/>
    <w:rsid w:val="00E01051"/>
    <w:rsid w:val="00E01053"/>
    <w:rsid w:val="00E01060"/>
    <w:rsid w:val="00E010F3"/>
    <w:rsid w:val="00E01105"/>
    <w:rsid w:val="00E013EF"/>
    <w:rsid w:val="00E01402"/>
    <w:rsid w:val="00E014BD"/>
    <w:rsid w:val="00E01642"/>
    <w:rsid w:val="00E016F5"/>
    <w:rsid w:val="00E018E6"/>
    <w:rsid w:val="00E0194A"/>
    <w:rsid w:val="00E01B9C"/>
    <w:rsid w:val="00E01F47"/>
    <w:rsid w:val="00E0204B"/>
    <w:rsid w:val="00E020FF"/>
    <w:rsid w:val="00E0217D"/>
    <w:rsid w:val="00E022B0"/>
    <w:rsid w:val="00E02311"/>
    <w:rsid w:val="00E02592"/>
    <w:rsid w:val="00E02784"/>
    <w:rsid w:val="00E028D1"/>
    <w:rsid w:val="00E02A5F"/>
    <w:rsid w:val="00E02C1D"/>
    <w:rsid w:val="00E02C37"/>
    <w:rsid w:val="00E02C7B"/>
    <w:rsid w:val="00E02CCA"/>
    <w:rsid w:val="00E02EF8"/>
    <w:rsid w:val="00E03073"/>
    <w:rsid w:val="00E0309D"/>
    <w:rsid w:val="00E031CC"/>
    <w:rsid w:val="00E033CC"/>
    <w:rsid w:val="00E0342B"/>
    <w:rsid w:val="00E0348F"/>
    <w:rsid w:val="00E0350F"/>
    <w:rsid w:val="00E036B5"/>
    <w:rsid w:val="00E037EF"/>
    <w:rsid w:val="00E03A1A"/>
    <w:rsid w:val="00E03A94"/>
    <w:rsid w:val="00E03BBC"/>
    <w:rsid w:val="00E03BF8"/>
    <w:rsid w:val="00E03EAA"/>
    <w:rsid w:val="00E03EEA"/>
    <w:rsid w:val="00E03F15"/>
    <w:rsid w:val="00E03F37"/>
    <w:rsid w:val="00E042CA"/>
    <w:rsid w:val="00E04435"/>
    <w:rsid w:val="00E0444A"/>
    <w:rsid w:val="00E04560"/>
    <w:rsid w:val="00E046C6"/>
    <w:rsid w:val="00E046E8"/>
    <w:rsid w:val="00E046F6"/>
    <w:rsid w:val="00E0479E"/>
    <w:rsid w:val="00E0488E"/>
    <w:rsid w:val="00E04899"/>
    <w:rsid w:val="00E04942"/>
    <w:rsid w:val="00E049BB"/>
    <w:rsid w:val="00E04A9B"/>
    <w:rsid w:val="00E04D76"/>
    <w:rsid w:val="00E04EF0"/>
    <w:rsid w:val="00E0512B"/>
    <w:rsid w:val="00E0532B"/>
    <w:rsid w:val="00E054CA"/>
    <w:rsid w:val="00E05545"/>
    <w:rsid w:val="00E055FE"/>
    <w:rsid w:val="00E05785"/>
    <w:rsid w:val="00E057AF"/>
    <w:rsid w:val="00E0580E"/>
    <w:rsid w:val="00E05953"/>
    <w:rsid w:val="00E05AAD"/>
    <w:rsid w:val="00E05B6C"/>
    <w:rsid w:val="00E05D30"/>
    <w:rsid w:val="00E05D63"/>
    <w:rsid w:val="00E05FE2"/>
    <w:rsid w:val="00E05FFF"/>
    <w:rsid w:val="00E062A2"/>
    <w:rsid w:val="00E06343"/>
    <w:rsid w:val="00E06737"/>
    <w:rsid w:val="00E0674C"/>
    <w:rsid w:val="00E0695E"/>
    <w:rsid w:val="00E06CC9"/>
    <w:rsid w:val="00E06CFA"/>
    <w:rsid w:val="00E06D71"/>
    <w:rsid w:val="00E06E13"/>
    <w:rsid w:val="00E06E1B"/>
    <w:rsid w:val="00E06E93"/>
    <w:rsid w:val="00E06EFF"/>
    <w:rsid w:val="00E0713E"/>
    <w:rsid w:val="00E071F1"/>
    <w:rsid w:val="00E0726C"/>
    <w:rsid w:val="00E072BA"/>
    <w:rsid w:val="00E0750F"/>
    <w:rsid w:val="00E0760C"/>
    <w:rsid w:val="00E07660"/>
    <w:rsid w:val="00E0766E"/>
    <w:rsid w:val="00E0768D"/>
    <w:rsid w:val="00E076E1"/>
    <w:rsid w:val="00E078C5"/>
    <w:rsid w:val="00E07975"/>
    <w:rsid w:val="00E07B10"/>
    <w:rsid w:val="00E07C31"/>
    <w:rsid w:val="00E07C8C"/>
    <w:rsid w:val="00E07CB7"/>
    <w:rsid w:val="00E07CBD"/>
    <w:rsid w:val="00E07CF2"/>
    <w:rsid w:val="00E07F1A"/>
    <w:rsid w:val="00E10083"/>
    <w:rsid w:val="00E101D9"/>
    <w:rsid w:val="00E102E9"/>
    <w:rsid w:val="00E10533"/>
    <w:rsid w:val="00E105F1"/>
    <w:rsid w:val="00E10731"/>
    <w:rsid w:val="00E107C7"/>
    <w:rsid w:val="00E10849"/>
    <w:rsid w:val="00E10CAC"/>
    <w:rsid w:val="00E10CD1"/>
    <w:rsid w:val="00E10D6A"/>
    <w:rsid w:val="00E10DEB"/>
    <w:rsid w:val="00E10E9C"/>
    <w:rsid w:val="00E10F23"/>
    <w:rsid w:val="00E1110C"/>
    <w:rsid w:val="00E111D4"/>
    <w:rsid w:val="00E1124C"/>
    <w:rsid w:val="00E11440"/>
    <w:rsid w:val="00E11548"/>
    <w:rsid w:val="00E115F3"/>
    <w:rsid w:val="00E11897"/>
    <w:rsid w:val="00E11923"/>
    <w:rsid w:val="00E119F6"/>
    <w:rsid w:val="00E11A15"/>
    <w:rsid w:val="00E11B09"/>
    <w:rsid w:val="00E11BD9"/>
    <w:rsid w:val="00E11C52"/>
    <w:rsid w:val="00E11C7C"/>
    <w:rsid w:val="00E11CB9"/>
    <w:rsid w:val="00E11F06"/>
    <w:rsid w:val="00E1202E"/>
    <w:rsid w:val="00E1205C"/>
    <w:rsid w:val="00E12063"/>
    <w:rsid w:val="00E12097"/>
    <w:rsid w:val="00E12260"/>
    <w:rsid w:val="00E122B3"/>
    <w:rsid w:val="00E125D9"/>
    <w:rsid w:val="00E12623"/>
    <w:rsid w:val="00E12C34"/>
    <w:rsid w:val="00E12EFD"/>
    <w:rsid w:val="00E12F0C"/>
    <w:rsid w:val="00E13071"/>
    <w:rsid w:val="00E131AE"/>
    <w:rsid w:val="00E13359"/>
    <w:rsid w:val="00E136CB"/>
    <w:rsid w:val="00E13723"/>
    <w:rsid w:val="00E137FD"/>
    <w:rsid w:val="00E13854"/>
    <w:rsid w:val="00E13898"/>
    <w:rsid w:val="00E139E3"/>
    <w:rsid w:val="00E13B08"/>
    <w:rsid w:val="00E13B76"/>
    <w:rsid w:val="00E13D15"/>
    <w:rsid w:val="00E13D61"/>
    <w:rsid w:val="00E13E8F"/>
    <w:rsid w:val="00E13F87"/>
    <w:rsid w:val="00E13F9D"/>
    <w:rsid w:val="00E14145"/>
    <w:rsid w:val="00E141DD"/>
    <w:rsid w:val="00E143DB"/>
    <w:rsid w:val="00E14566"/>
    <w:rsid w:val="00E145FF"/>
    <w:rsid w:val="00E148C2"/>
    <w:rsid w:val="00E14BF1"/>
    <w:rsid w:val="00E14C1A"/>
    <w:rsid w:val="00E14C43"/>
    <w:rsid w:val="00E14D03"/>
    <w:rsid w:val="00E14D1A"/>
    <w:rsid w:val="00E14ED7"/>
    <w:rsid w:val="00E14F23"/>
    <w:rsid w:val="00E15197"/>
    <w:rsid w:val="00E151EA"/>
    <w:rsid w:val="00E152AB"/>
    <w:rsid w:val="00E153D3"/>
    <w:rsid w:val="00E15410"/>
    <w:rsid w:val="00E15554"/>
    <w:rsid w:val="00E15556"/>
    <w:rsid w:val="00E155AE"/>
    <w:rsid w:val="00E15888"/>
    <w:rsid w:val="00E15910"/>
    <w:rsid w:val="00E159B9"/>
    <w:rsid w:val="00E15ABD"/>
    <w:rsid w:val="00E15C53"/>
    <w:rsid w:val="00E15D9C"/>
    <w:rsid w:val="00E15E46"/>
    <w:rsid w:val="00E15EDB"/>
    <w:rsid w:val="00E15EFF"/>
    <w:rsid w:val="00E15F90"/>
    <w:rsid w:val="00E16172"/>
    <w:rsid w:val="00E1619C"/>
    <w:rsid w:val="00E1622D"/>
    <w:rsid w:val="00E162D2"/>
    <w:rsid w:val="00E162D6"/>
    <w:rsid w:val="00E162E1"/>
    <w:rsid w:val="00E1636D"/>
    <w:rsid w:val="00E163AD"/>
    <w:rsid w:val="00E1641F"/>
    <w:rsid w:val="00E16558"/>
    <w:rsid w:val="00E16969"/>
    <w:rsid w:val="00E16BE7"/>
    <w:rsid w:val="00E16CC9"/>
    <w:rsid w:val="00E16CF5"/>
    <w:rsid w:val="00E16DFD"/>
    <w:rsid w:val="00E16FC5"/>
    <w:rsid w:val="00E16FCE"/>
    <w:rsid w:val="00E17052"/>
    <w:rsid w:val="00E17096"/>
    <w:rsid w:val="00E17158"/>
    <w:rsid w:val="00E17161"/>
    <w:rsid w:val="00E17203"/>
    <w:rsid w:val="00E174C2"/>
    <w:rsid w:val="00E175F1"/>
    <w:rsid w:val="00E175F8"/>
    <w:rsid w:val="00E17834"/>
    <w:rsid w:val="00E179C7"/>
    <w:rsid w:val="00E17AAC"/>
    <w:rsid w:val="00E17AB3"/>
    <w:rsid w:val="00E17F78"/>
    <w:rsid w:val="00E17FD5"/>
    <w:rsid w:val="00E200D7"/>
    <w:rsid w:val="00E201BE"/>
    <w:rsid w:val="00E20212"/>
    <w:rsid w:val="00E202B6"/>
    <w:rsid w:val="00E20391"/>
    <w:rsid w:val="00E20511"/>
    <w:rsid w:val="00E205C8"/>
    <w:rsid w:val="00E2060D"/>
    <w:rsid w:val="00E209E5"/>
    <w:rsid w:val="00E20B1E"/>
    <w:rsid w:val="00E20CC3"/>
    <w:rsid w:val="00E20E46"/>
    <w:rsid w:val="00E20EA9"/>
    <w:rsid w:val="00E21185"/>
    <w:rsid w:val="00E2155B"/>
    <w:rsid w:val="00E21571"/>
    <w:rsid w:val="00E2174C"/>
    <w:rsid w:val="00E2177E"/>
    <w:rsid w:val="00E217EF"/>
    <w:rsid w:val="00E21859"/>
    <w:rsid w:val="00E218E9"/>
    <w:rsid w:val="00E219E1"/>
    <w:rsid w:val="00E21A0F"/>
    <w:rsid w:val="00E21BF3"/>
    <w:rsid w:val="00E21DDB"/>
    <w:rsid w:val="00E2203F"/>
    <w:rsid w:val="00E223F7"/>
    <w:rsid w:val="00E22512"/>
    <w:rsid w:val="00E2254F"/>
    <w:rsid w:val="00E22788"/>
    <w:rsid w:val="00E2278A"/>
    <w:rsid w:val="00E227DB"/>
    <w:rsid w:val="00E22816"/>
    <w:rsid w:val="00E22AA6"/>
    <w:rsid w:val="00E22DFE"/>
    <w:rsid w:val="00E22E7A"/>
    <w:rsid w:val="00E2318A"/>
    <w:rsid w:val="00E23273"/>
    <w:rsid w:val="00E232C0"/>
    <w:rsid w:val="00E23325"/>
    <w:rsid w:val="00E2335C"/>
    <w:rsid w:val="00E23388"/>
    <w:rsid w:val="00E2352C"/>
    <w:rsid w:val="00E23575"/>
    <w:rsid w:val="00E235EC"/>
    <w:rsid w:val="00E236ED"/>
    <w:rsid w:val="00E238D6"/>
    <w:rsid w:val="00E23948"/>
    <w:rsid w:val="00E239B9"/>
    <w:rsid w:val="00E23A0A"/>
    <w:rsid w:val="00E23BAA"/>
    <w:rsid w:val="00E23EFB"/>
    <w:rsid w:val="00E2404C"/>
    <w:rsid w:val="00E240CD"/>
    <w:rsid w:val="00E2421E"/>
    <w:rsid w:val="00E242A6"/>
    <w:rsid w:val="00E24358"/>
    <w:rsid w:val="00E243DC"/>
    <w:rsid w:val="00E244AD"/>
    <w:rsid w:val="00E24659"/>
    <w:rsid w:val="00E24672"/>
    <w:rsid w:val="00E24681"/>
    <w:rsid w:val="00E246E2"/>
    <w:rsid w:val="00E24841"/>
    <w:rsid w:val="00E24B5D"/>
    <w:rsid w:val="00E24B8D"/>
    <w:rsid w:val="00E24C56"/>
    <w:rsid w:val="00E25051"/>
    <w:rsid w:val="00E25055"/>
    <w:rsid w:val="00E25145"/>
    <w:rsid w:val="00E2522A"/>
    <w:rsid w:val="00E25396"/>
    <w:rsid w:val="00E253FF"/>
    <w:rsid w:val="00E254AC"/>
    <w:rsid w:val="00E2550B"/>
    <w:rsid w:val="00E25939"/>
    <w:rsid w:val="00E25BAB"/>
    <w:rsid w:val="00E25D9B"/>
    <w:rsid w:val="00E26181"/>
    <w:rsid w:val="00E26332"/>
    <w:rsid w:val="00E26363"/>
    <w:rsid w:val="00E264B8"/>
    <w:rsid w:val="00E264FE"/>
    <w:rsid w:val="00E26575"/>
    <w:rsid w:val="00E266D1"/>
    <w:rsid w:val="00E267D2"/>
    <w:rsid w:val="00E268CC"/>
    <w:rsid w:val="00E269D7"/>
    <w:rsid w:val="00E26AA1"/>
    <w:rsid w:val="00E26B2A"/>
    <w:rsid w:val="00E26C6E"/>
    <w:rsid w:val="00E26D44"/>
    <w:rsid w:val="00E26D68"/>
    <w:rsid w:val="00E27362"/>
    <w:rsid w:val="00E273B7"/>
    <w:rsid w:val="00E2745C"/>
    <w:rsid w:val="00E275A9"/>
    <w:rsid w:val="00E2768A"/>
    <w:rsid w:val="00E276A6"/>
    <w:rsid w:val="00E27A7F"/>
    <w:rsid w:val="00E27C02"/>
    <w:rsid w:val="00E302D3"/>
    <w:rsid w:val="00E304CB"/>
    <w:rsid w:val="00E3064C"/>
    <w:rsid w:val="00E30653"/>
    <w:rsid w:val="00E3067A"/>
    <w:rsid w:val="00E307E6"/>
    <w:rsid w:val="00E308E2"/>
    <w:rsid w:val="00E30960"/>
    <w:rsid w:val="00E30C59"/>
    <w:rsid w:val="00E30C72"/>
    <w:rsid w:val="00E30D3D"/>
    <w:rsid w:val="00E30E26"/>
    <w:rsid w:val="00E30EA5"/>
    <w:rsid w:val="00E30F2E"/>
    <w:rsid w:val="00E30F58"/>
    <w:rsid w:val="00E3112F"/>
    <w:rsid w:val="00E312CA"/>
    <w:rsid w:val="00E3137E"/>
    <w:rsid w:val="00E3154E"/>
    <w:rsid w:val="00E31716"/>
    <w:rsid w:val="00E31917"/>
    <w:rsid w:val="00E31995"/>
    <w:rsid w:val="00E31A43"/>
    <w:rsid w:val="00E31B9D"/>
    <w:rsid w:val="00E31E6F"/>
    <w:rsid w:val="00E31F10"/>
    <w:rsid w:val="00E31F5A"/>
    <w:rsid w:val="00E31F69"/>
    <w:rsid w:val="00E31FBA"/>
    <w:rsid w:val="00E32095"/>
    <w:rsid w:val="00E3213B"/>
    <w:rsid w:val="00E321D6"/>
    <w:rsid w:val="00E321DD"/>
    <w:rsid w:val="00E323A1"/>
    <w:rsid w:val="00E32477"/>
    <w:rsid w:val="00E325D8"/>
    <w:rsid w:val="00E3276F"/>
    <w:rsid w:val="00E32BEF"/>
    <w:rsid w:val="00E32C36"/>
    <w:rsid w:val="00E32D89"/>
    <w:rsid w:val="00E32EF9"/>
    <w:rsid w:val="00E33051"/>
    <w:rsid w:val="00E330F1"/>
    <w:rsid w:val="00E33113"/>
    <w:rsid w:val="00E33129"/>
    <w:rsid w:val="00E33283"/>
    <w:rsid w:val="00E3334D"/>
    <w:rsid w:val="00E33502"/>
    <w:rsid w:val="00E3362A"/>
    <w:rsid w:val="00E3366F"/>
    <w:rsid w:val="00E336A7"/>
    <w:rsid w:val="00E336D0"/>
    <w:rsid w:val="00E336F4"/>
    <w:rsid w:val="00E33A51"/>
    <w:rsid w:val="00E33AFB"/>
    <w:rsid w:val="00E33BF5"/>
    <w:rsid w:val="00E33C17"/>
    <w:rsid w:val="00E33C52"/>
    <w:rsid w:val="00E33E4C"/>
    <w:rsid w:val="00E33EB6"/>
    <w:rsid w:val="00E340E4"/>
    <w:rsid w:val="00E34470"/>
    <w:rsid w:val="00E34513"/>
    <w:rsid w:val="00E34551"/>
    <w:rsid w:val="00E346D3"/>
    <w:rsid w:val="00E346F9"/>
    <w:rsid w:val="00E34917"/>
    <w:rsid w:val="00E349C2"/>
    <w:rsid w:val="00E34A25"/>
    <w:rsid w:val="00E34C40"/>
    <w:rsid w:val="00E34D30"/>
    <w:rsid w:val="00E34F01"/>
    <w:rsid w:val="00E34F96"/>
    <w:rsid w:val="00E35024"/>
    <w:rsid w:val="00E35190"/>
    <w:rsid w:val="00E3529B"/>
    <w:rsid w:val="00E354F7"/>
    <w:rsid w:val="00E355E4"/>
    <w:rsid w:val="00E356E8"/>
    <w:rsid w:val="00E35786"/>
    <w:rsid w:val="00E35802"/>
    <w:rsid w:val="00E3582E"/>
    <w:rsid w:val="00E35AED"/>
    <w:rsid w:val="00E35D09"/>
    <w:rsid w:val="00E35D7E"/>
    <w:rsid w:val="00E35E18"/>
    <w:rsid w:val="00E35E70"/>
    <w:rsid w:val="00E35EE1"/>
    <w:rsid w:val="00E36103"/>
    <w:rsid w:val="00E36337"/>
    <w:rsid w:val="00E367A1"/>
    <w:rsid w:val="00E368EE"/>
    <w:rsid w:val="00E36A74"/>
    <w:rsid w:val="00E36C2A"/>
    <w:rsid w:val="00E36D17"/>
    <w:rsid w:val="00E37099"/>
    <w:rsid w:val="00E370D0"/>
    <w:rsid w:val="00E37AC4"/>
    <w:rsid w:val="00E37AFB"/>
    <w:rsid w:val="00E37B77"/>
    <w:rsid w:val="00E37BCC"/>
    <w:rsid w:val="00E37D17"/>
    <w:rsid w:val="00E37F44"/>
    <w:rsid w:val="00E40014"/>
    <w:rsid w:val="00E40070"/>
    <w:rsid w:val="00E40108"/>
    <w:rsid w:val="00E403FE"/>
    <w:rsid w:val="00E40A0E"/>
    <w:rsid w:val="00E40C2B"/>
    <w:rsid w:val="00E40CD4"/>
    <w:rsid w:val="00E40DF0"/>
    <w:rsid w:val="00E40E4E"/>
    <w:rsid w:val="00E40F15"/>
    <w:rsid w:val="00E40F7D"/>
    <w:rsid w:val="00E410EC"/>
    <w:rsid w:val="00E41141"/>
    <w:rsid w:val="00E41149"/>
    <w:rsid w:val="00E4121A"/>
    <w:rsid w:val="00E41258"/>
    <w:rsid w:val="00E413A4"/>
    <w:rsid w:val="00E413D0"/>
    <w:rsid w:val="00E41435"/>
    <w:rsid w:val="00E41485"/>
    <w:rsid w:val="00E417A9"/>
    <w:rsid w:val="00E41A3A"/>
    <w:rsid w:val="00E41BFD"/>
    <w:rsid w:val="00E41D59"/>
    <w:rsid w:val="00E41EB7"/>
    <w:rsid w:val="00E41F8C"/>
    <w:rsid w:val="00E4204B"/>
    <w:rsid w:val="00E42152"/>
    <w:rsid w:val="00E422F7"/>
    <w:rsid w:val="00E42523"/>
    <w:rsid w:val="00E425B9"/>
    <w:rsid w:val="00E42639"/>
    <w:rsid w:val="00E4268C"/>
    <w:rsid w:val="00E42762"/>
    <w:rsid w:val="00E42B6E"/>
    <w:rsid w:val="00E42BC7"/>
    <w:rsid w:val="00E42DA6"/>
    <w:rsid w:val="00E43090"/>
    <w:rsid w:val="00E4313E"/>
    <w:rsid w:val="00E43179"/>
    <w:rsid w:val="00E431A1"/>
    <w:rsid w:val="00E4332F"/>
    <w:rsid w:val="00E4339F"/>
    <w:rsid w:val="00E43545"/>
    <w:rsid w:val="00E4358E"/>
    <w:rsid w:val="00E43590"/>
    <w:rsid w:val="00E43628"/>
    <w:rsid w:val="00E43703"/>
    <w:rsid w:val="00E4371F"/>
    <w:rsid w:val="00E43797"/>
    <w:rsid w:val="00E43865"/>
    <w:rsid w:val="00E4387C"/>
    <w:rsid w:val="00E43987"/>
    <w:rsid w:val="00E43A6F"/>
    <w:rsid w:val="00E43B8B"/>
    <w:rsid w:val="00E43CA1"/>
    <w:rsid w:val="00E43E99"/>
    <w:rsid w:val="00E440D7"/>
    <w:rsid w:val="00E4411D"/>
    <w:rsid w:val="00E442D1"/>
    <w:rsid w:val="00E44510"/>
    <w:rsid w:val="00E445F9"/>
    <w:rsid w:val="00E4465B"/>
    <w:rsid w:val="00E44894"/>
    <w:rsid w:val="00E4493F"/>
    <w:rsid w:val="00E449E8"/>
    <w:rsid w:val="00E44BE0"/>
    <w:rsid w:val="00E44C3A"/>
    <w:rsid w:val="00E44C6A"/>
    <w:rsid w:val="00E44D63"/>
    <w:rsid w:val="00E44D6B"/>
    <w:rsid w:val="00E44E75"/>
    <w:rsid w:val="00E44EF3"/>
    <w:rsid w:val="00E44F3B"/>
    <w:rsid w:val="00E4506F"/>
    <w:rsid w:val="00E4536B"/>
    <w:rsid w:val="00E456B0"/>
    <w:rsid w:val="00E45836"/>
    <w:rsid w:val="00E45A22"/>
    <w:rsid w:val="00E45A29"/>
    <w:rsid w:val="00E45CA6"/>
    <w:rsid w:val="00E45CBF"/>
    <w:rsid w:val="00E45DD6"/>
    <w:rsid w:val="00E45DE2"/>
    <w:rsid w:val="00E460A3"/>
    <w:rsid w:val="00E460A7"/>
    <w:rsid w:val="00E4619B"/>
    <w:rsid w:val="00E46215"/>
    <w:rsid w:val="00E46356"/>
    <w:rsid w:val="00E46410"/>
    <w:rsid w:val="00E4650A"/>
    <w:rsid w:val="00E4650C"/>
    <w:rsid w:val="00E46576"/>
    <w:rsid w:val="00E46595"/>
    <w:rsid w:val="00E466A5"/>
    <w:rsid w:val="00E466C5"/>
    <w:rsid w:val="00E46749"/>
    <w:rsid w:val="00E46782"/>
    <w:rsid w:val="00E46886"/>
    <w:rsid w:val="00E46D9B"/>
    <w:rsid w:val="00E46EC9"/>
    <w:rsid w:val="00E47000"/>
    <w:rsid w:val="00E47279"/>
    <w:rsid w:val="00E473DA"/>
    <w:rsid w:val="00E473E7"/>
    <w:rsid w:val="00E47445"/>
    <w:rsid w:val="00E47699"/>
    <w:rsid w:val="00E476EF"/>
    <w:rsid w:val="00E47807"/>
    <w:rsid w:val="00E479D2"/>
    <w:rsid w:val="00E479F3"/>
    <w:rsid w:val="00E47A42"/>
    <w:rsid w:val="00E47AA7"/>
    <w:rsid w:val="00E47B78"/>
    <w:rsid w:val="00E47C8D"/>
    <w:rsid w:val="00E47DB4"/>
    <w:rsid w:val="00E47E0F"/>
    <w:rsid w:val="00E47EB2"/>
    <w:rsid w:val="00E500EA"/>
    <w:rsid w:val="00E5018C"/>
    <w:rsid w:val="00E5035E"/>
    <w:rsid w:val="00E506B5"/>
    <w:rsid w:val="00E50931"/>
    <w:rsid w:val="00E509AB"/>
    <w:rsid w:val="00E509CE"/>
    <w:rsid w:val="00E509F8"/>
    <w:rsid w:val="00E50DCD"/>
    <w:rsid w:val="00E50E85"/>
    <w:rsid w:val="00E50EDF"/>
    <w:rsid w:val="00E51007"/>
    <w:rsid w:val="00E51055"/>
    <w:rsid w:val="00E510D0"/>
    <w:rsid w:val="00E51139"/>
    <w:rsid w:val="00E5128E"/>
    <w:rsid w:val="00E514DF"/>
    <w:rsid w:val="00E5167C"/>
    <w:rsid w:val="00E518F3"/>
    <w:rsid w:val="00E51927"/>
    <w:rsid w:val="00E519E0"/>
    <w:rsid w:val="00E51A21"/>
    <w:rsid w:val="00E51A4A"/>
    <w:rsid w:val="00E51A84"/>
    <w:rsid w:val="00E51BC4"/>
    <w:rsid w:val="00E51CCB"/>
    <w:rsid w:val="00E51CCC"/>
    <w:rsid w:val="00E51E65"/>
    <w:rsid w:val="00E51E79"/>
    <w:rsid w:val="00E51E87"/>
    <w:rsid w:val="00E51F27"/>
    <w:rsid w:val="00E524ED"/>
    <w:rsid w:val="00E525BB"/>
    <w:rsid w:val="00E5273E"/>
    <w:rsid w:val="00E52754"/>
    <w:rsid w:val="00E52953"/>
    <w:rsid w:val="00E52968"/>
    <w:rsid w:val="00E529F2"/>
    <w:rsid w:val="00E52AC5"/>
    <w:rsid w:val="00E52BE4"/>
    <w:rsid w:val="00E52C09"/>
    <w:rsid w:val="00E52D0D"/>
    <w:rsid w:val="00E52D65"/>
    <w:rsid w:val="00E52FF4"/>
    <w:rsid w:val="00E52FFD"/>
    <w:rsid w:val="00E5323F"/>
    <w:rsid w:val="00E5328D"/>
    <w:rsid w:val="00E532DA"/>
    <w:rsid w:val="00E53555"/>
    <w:rsid w:val="00E53791"/>
    <w:rsid w:val="00E539C0"/>
    <w:rsid w:val="00E53A10"/>
    <w:rsid w:val="00E53AFA"/>
    <w:rsid w:val="00E53D58"/>
    <w:rsid w:val="00E54005"/>
    <w:rsid w:val="00E5415E"/>
    <w:rsid w:val="00E5434D"/>
    <w:rsid w:val="00E544B9"/>
    <w:rsid w:val="00E54695"/>
    <w:rsid w:val="00E546CE"/>
    <w:rsid w:val="00E54CC6"/>
    <w:rsid w:val="00E54D92"/>
    <w:rsid w:val="00E54D98"/>
    <w:rsid w:val="00E54E64"/>
    <w:rsid w:val="00E54EE6"/>
    <w:rsid w:val="00E54F51"/>
    <w:rsid w:val="00E55393"/>
    <w:rsid w:val="00E55576"/>
    <w:rsid w:val="00E555CA"/>
    <w:rsid w:val="00E5562D"/>
    <w:rsid w:val="00E556E9"/>
    <w:rsid w:val="00E5572C"/>
    <w:rsid w:val="00E557A8"/>
    <w:rsid w:val="00E5580D"/>
    <w:rsid w:val="00E558C1"/>
    <w:rsid w:val="00E559E9"/>
    <w:rsid w:val="00E55A58"/>
    <w:rsid w:val="00E55ADB"/>
    <w:rsid w:val="00E55BF3"/>
    <w:rsid w:val="00E55C41"/>
    <w:rsid w:val="00E55D37"/>
    <w:rsid w:val="00E55D5E"/>
    <w:rsid w:val="00E55DAF"/>
    <w:rsid w:val="00E55F0F"/>
    <w:rsid w:val="00E56128"/>
    <w:rsid w:val="00E5616C"/>
    <w:rsid w:val="00E5624C"/>
    <w:rsid w:val="00E5637D"/>
    <w:rsid w:val="00E5647A"/>
    <w:rsid w:val="00E565EF"/>
    <w:rsid w:val="00E566E2"/>
    <w:rsid w:val="00E5673F"/>
    <w:rsid w:val="00E56786"/>
    <w:rsid w:val="00E567A5"/>
    <w:rsid w:val="00E5695D"/>
    <w:rsid w:val="00E56973"/>
    <w:rsid w:val="00E56AA5"/>
    <w:rsid w:val="00E56BFA"/>
    <w:rsid w:val="00E56C20"/>
    <w:rsid w:val="00E56C49"/>
    <w:rsid w:val="00E5732A"/>
    <w:rsid w:val="00E57375"/>
    <w:rsid w:val="00E5744B"/>
    <w:rsid w:val="00E574D7"/>
    <w:rsid w:val="00E5781D"/>
    <w:rsid w:val="00E5783B"/>
    <w:rsid w:val="00E578EE"/>
    <w:rsid w:val="00E57998"/>
    <w:rsid w:val="00E57A4C"/>
    <w:rsid w:val="00E57AE1"/>
    <w:rsid w:val="00E57B7E"/>
    <w:rsid w:val="00E57F75"/>
    <w:rsid w:val="00E6017F"/>
    <w:rsid w:val="00E6022B"/>
    <w:rsid w:val="00E60299"/>
    <w:rsid w:val="00E6029D"/>
    <w:rsid w:val="00E60374"/>
    <w:rsid w:val="00E605F4"/>
    <w:rsid w:val="00E606B0"/>
    <w:rsid w:val="00E606E0"/>
    <w:rsid w:val="00E606E4"/>
    <w:rsid w:val="00E607B9"/>
    <w:rsid w:val="00E60827"/>
    <w:rsid w:val="00E60873"/>
    <w:rsid w:val="00E6090F"/>
    <w:rsid w:val="00E60969"/>
    <w:rsid w:val="00E60AE7"/>
    <w:rsid w:val="00E60CBF"/>
    <w:rsid w:val="00E60D17"/>
    <w:rsid w:val="00E60FC9"/>
    <w:rsid w:val="00E61088"/>
    <w:rsid w:val="00E61160"/>
    <w:rsid w:val="00E61278"/>
    <w:rsid w:val="00E6132E"/>
    <w:rsid w:val="00E6143E"/>
    <w:rsid w:val="00E61459"/>
    <w:rsid w:val="00E6152A"/>
    <w:rsid w:val="00E615BB"/>
    <w:rsid w:val="00E615C4"/>
    <w:rsid w:val="00E6170F"/>
    <w:rsid w:val="00E6174D"/>
    <w:rsid w:val="00E61785"/>
    <w:rsid w:val="00E6182D"/>
    <w:rsid w:val="00E61933"/>
    <w:rsid w:val="00E61A06"/>
    <w:rsid w:val="00E61A6C"/>
    <w:rsid w:val="00E61A88"/>
    <w:rsid w:val="00E61CC2"/>
    <w:rsid w:val="00E61D9A"/>
    <w:rsid w:val="00E61D9E"/>
    <w:rsid w:val="00E62087"/>
    <w:rsid w:val="00E620D9"/>
    <w:rsid w:val="00E6212D"/>
    <w:rsid w:val="00E6213D"/>
    <w:rsid w:val="00E621D1"/>
    <w:rsid w:val="00E6229C"/>
    <w:rsid w:val="00E62420"/>
    <w:rsid w:val="00E6247F"/>
    <w:rsid w:val="00E625F8"/>
    <w:rsid w:val="00E62A2F"/>
    <w:rsid w:val="00E62AA0"/>
    <w:rsid w:val="00E62C00"/>
    <w:rsid w:val="00E62C99"/>
    <w:rsid w:val="00E62E03"/>
    <w:rsid w:val="00E62E46"/>
    <w:rsid w:val="00E630C4"/>
    <w:rsid w:val="00E630F7"/>
    <w:rsid w:val="00E63199"/>
    <w:rsid w:val="00E63221"/>
    <w:rsid w:val="00E63568"/>
    <w:rsid w:val="00E63681"/>
    <w:rsid w:val="00E63759"/>
    <w:rsid w:val="00E637A3"/>
    <w:rsid w:val="00E6384C"/>
    <w:rsid w:val="00E639A6"/>
    <w:rsid w:val="00E63A28"/>
    <w:rsid w:val="00E63BD8"/>
    <w:rsid w:val="00E63C35"/>
    <w:rsid w:val="00E63CC5"/>
    <w:rsid w:val="00E64283"/>
    <w:rsid w:val="00E6429E"/>
    <w:rsid w:val="00E643D0"/>
    <w:rsid w:val="00E643EE"/>
    <w:rsid w:val="00E6457C"/>
    <w:rsid w:val="00E6457D"/>
    <w:rsid w:val="00E64625"/>
    <w:rsid w:val="00E64735"/>
    <w:rsid w:val="00E64759"/>
    <w:rsid w:val="00E64839"/>
    <w:rsid w:val="00E64A4B"/>
    <w:rsid w:val="00E64AE9"/>
    <w:rsid w:val="00E64DEA"/>
    <w:rsid w:val="00E651FC"/>
    <w:rsid w:val="00E652B7"/>
    <w:rsid w:val="00E652E6"/>
    <w:rsid w:val="00E6537C"/>
    <w:rsid w:val="00E654CC"/>
    <w:rsid w:val="00E65524"/>
    <w:rsid w:val="00E656C4"/>
    <w:rsid w:val="00E6571E"/>
    <w:rsid w:val="00E65868"/>
    <w:rsid w:val="00E6596E"/>
    <w:rsid w:val="00E65B45"/>
    <w:rsid w:val="00E65D04"/>
    <w:rsid w:val="00E65D48"/>
    <w:rsid w:val="00E65D84"/>
    <w:rsid w:val="00E65DA5"/>
    <w:rsid w:val="00E65F03"/>
    <w:rsid w:val="00E65F39"/>
    <w:rsid w:val="00E65F47"/>
    <w:rsid w:val="00E66008"/>
    <w:rsid w:val="00E6609A"/>
    <w:rsid w:val="00E66361"/>
    <w:rsid w:val="00E664DC"/>
    <w:rsid w:val="00E665EE"/>
    <w:rsid w:val="00E66616"/>
    <w:rsid w:val="00E66B18"/>
    <w:rsid w:val="00E66BE7"/>
    <w:rsid w:val="00E66E0B"/>
    <w:rsid w:val="00E66F8A"/>
    <w:rsid w:val="00E67071"/>
    <w:rsid w:val="00E670EA"/>
    <w:rsid w:val="00E672E6"/>
    <w:rsid w:val="00E6735D"/>
    <w:rsid w:val="00E67559"/>
    <w:rsid w:val="00E676A5"/>
    <w:rsid w:val="00E679C6"/>
    <w:rsid w:val="00E67A98"/>
    <w:rsid w:val="00E67BE4"/>
    <w:rsid w:val="00E67BE6"/>
    <w:rsid w:val="00E67C48"/>
    <w:rsid w:val="00E67DDA"/>
    <w:rsid w:val="00E67F06"/>
    <w:rsid w:val="00E67F35"/>
    <w:rsid w:val="00E67F4A"/>
    <w:rsid w:val="00E70209"/>
    <w:rsid w:val="00E7028D"/>
    <w:rsid w:val="00E70343"/>
    <w:rsid w:val="00E7050E"/>
    <w:rsid w:val="00E70A47"/>
    <w:rsid w:val="00E70B3B"/>
    <w:rsid w:val="00E70B88"/>
    <w:rsid w:val="00E70BD0"/>
    <w:rsid w:val="00E70BF4"/>
    <w:rsid w:val="00E70FD1"/>
    <w:rsid w:val="00E71009"/>
    <w:rsid w:val="00E7104A"/>
    <w:rsid w:val="00E71095"/>
    <w:rsid w:val="00E71643"/>
    <w:rsid w:val="00E7198D"/>
    <w:rsid w:val="00E71DA9"/>
    <w:rsid w:val="00E71E06"/>
    <w:rsid w:val="00E720EA"/>
    <w:rsid w:val="00E721BE"/>
    <w:rsid w:val="00E721F8"/>
    <w:rsid w:val="00E72356"/>
    <w:rsid w:val="00E72466"/>
    <w:rsid w:val="00E7257C"/>
    <w:rsid w:val="00E725BC"/>
    <w:rsid w:val="00E725E4"/>
    <w:rsid w:val="00E726D6"/>
    <w:rsid w:val="00E72727"/>
    <w:rsid w:val="00E72973"/>
    <w:rsid w:val="00E72A13"/>
    <w:rsid w:val="00E72AE1"/>
    <w:rsid w:val="00E72B1D"/>
    <w:rsid w:val="00E72BAD"/>
    <w:rsid w:val="00E72BFD"/>
    <w:rsid w:val="00E72C51"/>
    <w:rsid w:val="00E72E7A"/>
    <w:rsid w:val="00E72EA0"/>
    <w:rsid w:val="00E73040"/>
    <w:rsid w:val="00E73187"/>
    <w:rsid w:val="00E731A9"/>
    <w:rsid w:val="00E7335E"/>
    <w:rsid w:val="00E73390"/>
    <w:rsid w:val="00E73410"/>
    <w:rsid w:val="00E734A9"/>
    <w:rsid w:val="00E735C2"/>
    <w:rsid w:val="00E73645"/>
    <w:rsid w:val="00E73755"/>
    <w:rsid w:val="00E73769"/>
    <w:rsid w:val="00E7392D"/>
    <w:rsid w:val="00E7396A"/>
    <w:rsid w:val="00E739AE"/>
    <w:rsid w:val="00E73A47"/>
    <w:rsid w:val="00E73A88"/>
    <w:rsid w:val="00E73B79"/>
    <w:rsid w:val="00E73BA1"/>
    <w:rsid w:val="00E73C0D"/>
    <w:rsid w:val="00E73D05"/>
    <w:rsid w:val="00E73D3E"/>
    <w:rsid w:val="00E73DFC"/>
    <w:rsid w:val="00E73FD6"/>
    <w:rsid w:val="00E740F7"/>
    <w:rsid w:val="00E74123"/>
    <w:rsid w:val="00E74296"/>
    <w:rsid w:val="00E742FB"/>
    <w:rsid w:val="00E7437F"/>
    <w:rsid w:val="00E74480"/>
    <w:rsid w:val="00E747CC"/>
    <w:rsid w:val="00E747D0"/>
    <w:rsid w:val="00E7488E"/>
    <w:rsid w:val="00E748B2"/>
    <w:rsid w:val="00E748BA"/>
    <w:rsid w:val="00E74A41"/>
    <w:rsid w:val="00E74B08"/>
    <w:rsid w:val="00E74B58"/>
    <w:rsid w:val="00E74BBA"/>
    <w:rsid w:val="00E74D41"/>
    <w:rsid w:val="00E74EC8"/>
    <w:rsid w:val="00E74ED2"/>
    <w:rsid w:val="00E74EF9"/>
    <w:rsid w:val="00E74F3E"/>
    <w:rsid w:val="00E74FD4"/>
    <w:rsid w:val="00E750C0"/>
    <w:rsid w:val="00E751A7"/>
    <w:rsid w:val="00E751C6"/>
    <w:rsid w:val="00E751F3"/>
    <w:rsid w:val="00E7522E"/>
    <w:rsid w:val="00E7538C"/>
    <w:rsid w:val="00E753AC"/>
    <w:rsid w:val="00E7570A"/>
    <w:rsid w:val="00E7580A"/>
    <w:rsid w:val="00E7582E"/>
    <w:rsid w:val="00E759CF"/>
    <w:rsid w:val="00E759FF"/>
    <w:rsid w:val="00E75A1A"/>
    <w:rsid w:val="00E75A61"/>
    <w:rsid w:val="00E75BD9"/>
    <w:rsid w:val="00E75CEE"/>
    <w:rsid w:val="00E75F02"/>
    <w:rsid w:val="00E75F2E"/>
    <w:rsid w:val="00E7606F"/>
    <w:rsid w:val="00E760BE"/>
    <w:rsid w:val="00E761EC"/>
    <w:rsid w:val="00E76430"/>
    <w:rsid w:val="00E76498"/>
    <w:rsid w:val="00E76505"/>
    <w:rsid w:val="00E7651E"/>
    <w:rsid w:val="00E765BC"/>
    <w:rsid w:val="00E7670C"/>
    <w:rsid w:val="00E7676A"/>
    <w:rsid w:val="00E76AC6"/>
    <w:rsid w:val="00E76C46"/>
    <w:rsid w:val="00E76EE4"/>
    <w:rsid w:val="00E76F60"/>
    <w:rsid w:val="00E7703F"/>
    <w:rsid w:val="00E770CC"/>
    <w:rsid w:val="00E7716C"/>
    <w:rsid w:val="00E773D8"/>
    <w:rsid w:val="00E774D8"/>
    <w:rsid w:val="00E774DB"/>
    <w:rsid w:val="00E77A70"/>
    <w:rsid w:val="00E77B4A"/>
    <w:rsid w:val="00E77CF6"/>
    <w:rsid w:val="00E7BD68"/>
    <w:rsid w:val="00E80084"/>
    <w:rsid w:val="00E80134"/>
    <w:rsid w:val="00E8019F"/>
    <w:rsid w:val="00E801DB"/>
    <w:rsid w:val="00E80233"/>
    <w:rsid w:val="00E80428"/>
    <w:rsid w:val="00E80437"/>
    <w:rsid w:val="00E80491"/>
    <w:rsid w:val="00E805DA"/>
    <w:rsid w:val="00E807F5"/>
    <w:rsid w:val="00E8090D"/>
    <w:rsid w:val="00E8094A"/>
    <w:rsid w:val="00E80997"/>
    <w:rsid w:val="00E809C0"/>
    <w:rsid w:val="00E809CE"/>
    <w:rsid w:val="00E80A6F"/>
    <w:rsid w:val="00E80BD5"/>
    <w:rsid w:val="00E80BE3"/>
    <w:rsid w:val="00E80D86"/>
    <w:rsid w:val="00E80FA0"/>
    <w:rsid w:val="00E80FFF"/>
    <w:rsid w:val="00E8111C"/>
    <w:rsid w:val="00E81150"/>
    <w:rsid w:val="00E811D6"/>
    <w:rsid w:val="00E8157E"/>
    <w:rsid w:val="00E815DC"/>
    <w:rsid w:val="00E817C8"/>
    <w:rsid w:val="00E81862"/>
    <w:rsid w:val="00E81A39"/>
    <w:rsid w:val="00E81A59"/>
    <w:rsid w:val="00E81C70"/>
    <w:rsid w:val="00E81DDB"/>
    <w:rsid w:val="00E81EE0"/>
    <w:rsid w:val="00E81F58"/>
    <w:rsid w:val="00E82160"/>
    <w:rsid w:val="00E82257"/>
    <w:rsid w:val="00E8227B"/>
    <w:rsid w:val="00E822EF"/>
    <w:rsid w:val="00E82335"/>
    <w:rsid w:val="00E82AD0"/>
    <w:rsid w:val="00E82DC4"/>
    <w:rsid w:val="00E82F69"/>
    <w:rsid w:val="00E82F7A"/>
    <w:rsid w:val="00E83076"/>
    <w:rsid w:val="00E83160"/>
    <w:rsid w:val="00E831FA"/>
    <w:rsid w:val="00E833E0"/>
    <w:rsid w:val="00E83483"/>
    <w:rsid w:val="00E83600"/>
    <w:rsid w:val="00E837A1"/>
    <w:rsid w:val="00E8382E"/>
    <w:rsid w:val="00E838B5"/>
    <w:rsid w:val="00E839D6"/>
    <w:rsid w:val="00E83CC8"/>
    <w:rsid w:val="00E83D9A"/>
    <w:rsid w:val="00E83DD9"/>
    <w:rsid w:val="00E83F07"/>
    <w:rsid w:val="00E84099"/>
    <w:rsid w:val="00E843B6"/>
    <w:rsid w:val="00E843EC"/>
    <w:rsid w:val="00E84483"/>
    <w:rsid w:val="00E84635"/>
    <w:rsid w:val="00E846B3"/>
    <w:rsid w:val="00E846FA"/>
    <w:rsid w:val="00E84734"/>
    <w:rsid w:val="00E84940"/>
    <w:rsid w:val="00E84C90"/>
    <w:rsid w:val="00E84D0B"/>
    <w:rsid w:val="00E85170"/>
    <w:rsid w:val="00E852C2"/>
    <w:rsid w:val="00E85440"/>
    <w:rsid w:val="00E854FF"/>
    <w:rsid w:val="00E8551F"/>
    <w:rsid w:val="00E85696"/>
    <w:rsid w:val="00E8578B"/>
    <w:rsid w:val="00E857DC"/>
    <w:rsid w:val="00E8581E"/>
    <w:rsid w:val="00E85901"/>
    <w:rsid w:val="00E859A9"/>
    <w:rsid w:val="00E859DA"/>
    <w:rsid w:val="00E85A7F"/>
    <w:rsid w:val="00E85B98"/>
    <w:rsid w:val="00E85D38"/>
    <w:rsid w:val="00E85D81"/>
    <w:rsid w:val="00E85F9D"/>
    <w:rsid w:val="00E8600F"/>
    <w:rsid w:val="00E86018"/>
    <w:rsid w:val="00E86071"/>
    <w:rsid w:val="00E860EF"/>
    <w:rsid w:val="00E86225"/>
    <w:rsid w:val="00E863CA"/>
    <w:rsid w:val="00E86503"/>
    <w:rsid w:val="00E86922"/>
    <w:rsid w:val="00E86945"/>
    <w:rsid w:val="00E869D9"/>
    <w:rsid w:val="00E869E4"/>
    <w:rsid w:val="00E86A07"/>
    <w:rsid w:val="00E86AB6"/>
    <w:rsid w:val="00E86BAF"/>
    <w:rsid w:val="00E86E1F"/>
    <w:rsid w:val="00E87031"/>
    <w:rsid w:val="00E87083"/>
    <w:rsid w:val="00E87111"/>
    <w:rsid w:val="00E87161"/>
    <w:rsid w:val="00E87169"/>
    <w:rsid w:val="00E87281"/>
    <w:rsid w:val="00E8728B"/>
    <w:rsid w:val="00E874C1"/>
    <w:rsid w:val="00E87934"/>
    <w:rsid w:val="00E87964"/>
    <w:rsid w:val="00E87CF9"/>
    <w:rsid w:val="00E87FE2"/>
    <w:rsid w:val="00E9002C"/>
    <w:rsid w:val="00E903EB"/>
    <w:rsid w:val="00E90448"/>
    <w:rsid w:val="00E9044F"/>
    <w:rsid w:val="00E904F1"/>
    <w:rsid w:val="00E9060F"/>
    <w:rsid w:val="00E906D6"/>
    <w:rsid w:val="00E90820"/>
    <w:rsid w:val="00E9090C"/>
    <w:rsid w:val="00E90FF7"/>
    <w:rsid w:val="00E91059"/>
    <w:rsid w:val="00E911EB"/>
    <w:rsid w:val="00E912A0"/>
    <w:rsid w:val="00E91385"/>
    <w:rsid w:val="00E91440"/>
    <w:rsid w:val="00E915CC"/>
    <w:rsid w:val="00E9163F"/>
    <w:rsid w:val="00E9165E"/>
    <w:rsid w:val="00E91662"/>
    <w:rsid w:val="00E91763"/>
    <w:rsid w:val="00E917EB"/>
    <w:rsid w:val="00E917F3"/>
    <w:rsid w:val="00E91840"/>
    <w:rsid w:val="00E919B0"/>
    <w:rsid w:val="00E91A41"/>
    <w:rsid w:val="00E91B5F"/>
    <w:rsid w:val="00E91D31"/>
    <w:rsid w:val="00E91D72"/>
    <w:rsid w:val="00E91DA2"/>
    <w:rsid w:val="00E91F3D"/>
    <w:rsid w:val="00E92180"/>
    <w:rsid w:val="00E921B2"/>
    <w:rsid w:val="00E92264"/>
    <w:rsid w:val="00E92312"/>
    <w:rsid w:val="00E92693"/>
    <w:rsid w:val="00E926D2"/>
    <w:rsid w:val="00E929CF"/>
    <w:rsid w:val="00E92B07"/>
    <w:rsid w:val="00E92B44"/>
    <w:rsid w:val="00E92C9A"/>
    <w:rsid w:val="00E92E6E"/>
    <w:rsid w:val="00E93061"/>
    <w:rsid w:val="00E93374"/>
    <w:rsid w:val="00E9374A"/>
    <w:rsid w:val="00E93884"/>
    <w:rsid w:val="00E939D1"/>
    <w:rsid w:val="00E93A8C"/>
    <w:rsid w:val="00E93E22"/>
    <w:rsid w:val="00E940F3"/>
    <w:rsid w:val="00E94141"/>
    <w:rsid w:val="00E941D1"/>
    <w:rsid w:val="00E941D7"/>
    <w:rsid w:val="00E941F4"/>
    <w:rsid w:val="00E942BD"/>
    <w:rsid w:val="00E942E9"/>
    <w:rsid w:val="00E9439C"/>
    <w:rsid w:val="00E943AF"/>
    <w:rsid w:val="00E94443"/>
    <w:rsid w:val="00E9473F"/>
    <w:rsid w:val="00E94853"/>
    <w:rsid w:val="00E94855"/>
    <w:rsid w:val="00E94AA7"/>
    <w:rsid w:val="00E94AD5"/>
    <w:rsid w:val="00E94B4D"/>
    <w:rsid w:val="00E94C30"/>
    <w:rsid w:val="00E94DF7"/>
    <w:rsid w:val="00E94E92"/>
    <w:rsid w:val="00E94EBF"/>
    <w:rsid w:val="00E94F4A"/>
    <w:rsid w:val="00E94F80"/>
    <w:rsid w:val="00E951F7"/>
    <w:rsid w:val="00E95226"/>
    <w:rsid w:val="00E9534E"/>
    <w:rsid w:val="00E954AF"/>
    <w:rsid w:val="00E95571"/>
    <w:rsid w:val="00E9575C"/>
    <w:rsid w:val="00E95833"/>
    <w:rsid w:val="00E95961"/>
    <w:rsid w:val="00E95969"/>
    <w:rsid w:val="00E95C5E"/>
    <w:rsid w:val="00E95CA1"/>
    <w:rsid w:val="00E95D84"/>
    <w:rsid w:val="00E95E0A"/>
    <w:rsid w:val="00E95E74"/>
    <w:rsid w:val="00E95FA5"/>
    <w:rsid w:val="00E962C2"/>
    <w:rsid w:val="00E96368"/>
    <w:rsid w:val="00E963E3"/>
    <w:rsid w:val="00E963F9"/>
    <w:rsid w:val="00E9644A"/>
    <w:rsid w:val="00E96615"/>
    <w:rsid w:val="00E9666E"/>
    <w:rsid w:val="00E966BC"/>
    <w:rsid w:val="00E96747"/>
    <w:rsid w:val="00E96978"/>
    <w:rsid w:val="00E96A8B"/>
    <w:rsid w:val="00E96DFF"/>
    <w:rsid w:val="00E96E9C"/>
    <w:rsid w:val="00E96ED0"/>
    <w:rsid w:val="00E96F79"/>
    <w:rsid w:val="00E97087"/>
    <w:rsid w:val="00E971E2"/>
    <w:rsid w:val="00E9723D"/>
    <w:rsid w:val="00E972D8"/>
    <w:rsid w:val="00E974EE"/>
    <w:rsid w:val="00E976DD"/>
    <w:rsid w:val="00E9785D"/>
    <w:rsid w:val="00E9799B"/>
    <w:rsid w:val="00E979AF"/>
    <w:rsid w:val="00E979E5"/>
    <w:rsid w:val="00E97B9A"/>
    <w:rsid w:val="00E97C4D"/>
    <w:rsid w:val="00E97D37"/>
    <w:rsid w:val="00E97DC6"/>
    <w:rsid w:val="00E97FA5"/>
    <w:rsid w:val="00E9E7DC"/>
    <w:rsid w:val="00EA0078"/>
    <w:rsid w:val="00EA01CE"/>
    <w:rsid w:val="00EA04E2"/>
    <w:rsid w:val="00EA0608"/>
    <w:rsid w:val="00EA073F"/>
    <w:rsid w:val="00EA07B7"/>
    <w:rsid w:val="00EA0882"/>
    <w:rsid w:val="00EA0972"/>
    <w:rsid w:val="00EA0976"/>
    <w:rsid w:val="00EA0983"/>
    <w:rsid w:val="00EA0A2B"/>
    <w:rsid w:val="00EA0ADC"/>
    <w:rsid w:val="00EA0B8E"/>
    <w:rsid w:val="00EA0CC7"/>
    <w:rsid w:val="00EA0DB8"/>
    <w:rsid w:val="00EA0E5A"/>
    <w:rsid w:val="00EA0F1B"/>
    <w:rsid w:val="00EA1225"/>
    <w:rsid w:val="00EA1230"/>
    <w:rsid w:val="00EA12E9"/>
    <w:rsid w:val="00EA14B1"/>
    <w:rsid w:val="00EA1632"/>
    <w:rsid w:val="00EA1AB4"/>
    <w:rsid w:val="00EA1B3A"/>
    <w:rsid w:val="00EA1C7D"/>
    <w:rsid w:val="00EA1CD8"/>
    <w:rsid w:val="00EA1D4A"/>
    <w:rsid w:val="00EA1DFD"/>
    <w:rsid w:val="00EA1E8B"/>
    <w:rsid w:val="00EA1F1C"/>
    <w:rsid w:val="00EA1FF7"/>
    <w:rsid w:val="00EA216E"/>
    <w:rsid w:val="00EA2281"/>
    <w:rsid w:val="00EA2763"/>
    <w:rsid w:val="00EA27A2"/>
    <w:rsid w:val="00EA290C"/>
    <w:rsid w:val="00EA2938"/>
    <w:rsid w:val="00EA2A6D"/>
    <w:rsid w:val="00EA2C1C"/>
    <w:rsid w:val="00EA2D74"/>
    <w:rsid w:val="00EA331D"/>
    <w:rsid w:val="00EA33C9"/>
    <w:rsid w:val="00EA356C"/>
    <w:rsid w:val="00EA3953"/>
    <w:rsid w:val="00EA3974"/>
    <w:rsid w:val="00EA3A2F"/>
    <w:rsid w:val="00EA3A3C"/>
    <w:rsid w:val="00EA3A3D"/>
    <w:rsid w:val="00EA3C17"/>
    <w:rsid w:val="00EA3CA9"/>
    <w:rsid w:val="00EA3D12"/>
    <w:rsid w:val="00EA3D47"/>
    <w:rsid w:val="00EA3FA8"/>
    <w:rsid w:val="00EA3FC6"/>
    <w:rsid w:val="00EA40D8"/>
    <w:rsid w:val="00EA4297"/>
    <w:rsid w:val="00EA433C"/>
    <w:rsid w:val="00EA43FB"/>
    <w:rsid w:val="00EA44DF"/>
    <w:rsid w:val="00EA49F0"/>
    <w:rsid w:val="00EA4BF7"/>
    <w:rsid w:val="00EA4C9F"/>
    <w:rsid w:val="00EA4CB9"/>
    <w:rsid w:val="00EA4E19"/>
    <w:rsid w:val="00EA4F29"/>
    <w:rsid w:val="00EA50DE"/>
    <w:rsid w:val="00EA5160"/>
    <w:rsid w:val="00EA526E"/>
    <w:rsid w:val="00EA52CD"/>
    <w:rsid w:val="00EA54CF"/>
    <w:rsid w:val="00EA563A"/>
    <w:rsid w:val="00EA5770"/>
    <w:rsid w:val="00EA5876"/>
    <w:rsid w:val="00EA5891"/>
    <w:rsid w:val="00EA5A35"/>
    <w:rsid w:val="00EA5AED"/>
    <w:rsid w:val="00EA5C5E"/>
    <w:rsid w:val="00EA5CDC"/>
    <w:rsid w:val="00EA5D2F"/>
    <w:rsid w:val="00EA5FEB"/>
    <w:rsid w:val="00EA6009"/>
    <w:rsid w:val="00EA608E"/>
    <w:rsid w:val="00EA60B0"/>
    <w:rsid w:val="00EA6248"/>
    <w:rsid w:val="00EA64F7"/>
    <w:rsid w:val="00EA6854"/>
    <w:rsid w:val="00EA69C3"/>
    <w:rsid w:val="00EA6A34"/>
    <w:rsid w:val="00EA6BAB"/>
    <w:rsid w:val="00EA6C70"/>
    <w:rsid w:val="00EA6D1F"/>
    <w:rsid w:val="00EA6D37"/>
    <w:rsid w:val="00EA6E76"/>
    <w:rsid w:val="00EA6F09"/>
    <w:rsid w:val="00EA6F21"/>
    <w:rsid w:val="00EA718C"/>
    <w:rsid w:val="00EA7265"/>
    <w:rsid w:val="00EA726C"/>
    <w:rsid w:val="00EA72CC"/>
    <w:rsid w:val="00EA7493"/>
    <w:rsid w:val="00EA7641"/>
    <w:rsid w:val="00EA784C"/>
    <w:rsid w:val="00EA79B3"/>
    <w:rsid w:val="00EA7ABC"/>
    <w:rsid w:val="00EA7B2C"/>
    <w:rsid w:val="00EA7B74"/>
    <w:rsid w:val="00EA7BC9"/>
    <w:rsid w:val="00EA7D3A"/>
    <w:rsid w:val="00EA7E8F"/>
    <w:rsid w:val="00EA7ED2"/>
    <w:rsid w:val="00EA7F51"/>
    <w:rsid w:val="00EB0173"/>
    <w:rsid w:val="00EB0347"/>
    <w:rsid w:val="00EB0513"/>
    <w:rsid w:val="00EB0583"/>
    <w:rsid w:val="00EB0A1D"/>
    <w:rsid w:val="00EB0B58"/>
    <w:rsid w:val="00EB0C7A"/>
    <w:rsid w:val="00EB0F09"/>
    <w:rsid w:val="00EB0FBE"/>
    <w:rsid w:val="00EB1102"/>
    <w:rsid w:val="00EB123A"/>
    <w:rsid w:val="00EB1286"/>
    <w:rsid w:val="00EB142B"/>
    <w:rsid w:val="00EB156F"/>
    <w:rsid w:val="00EB15C7"/>
    <w:rsid w:val="00EB1853"/>
    <w:rsid w:val="00EB1954"/>
    <w:rsid w:val="00EB19A6"/>
    <w:rsid w:val="00EB1A46"/>
    <w:rsid w:val="00EB1ACB"/>
    <w:rsid w:val="00EB1C99"/>
    <w:rsid w:val="00EB1E4D"/>
    <w:rsid w:val="00EB1EB6"/>
    <w:rsid w:val="00EB1F4B"/>
    <w:rsid w:val="00EB20D5"/>
    <w:rsid w:val="00EB21EF"/>
    <w:rsid w:val="00EB2353"/>
    <w:rsid w:val="00EB256F"/>
    <w:rsid w:val="00EB25A2"/>
    <w:rsid w:val="00EB27B7"/>
    <w:rsid w:val="00EB27B8"/>
    <w:rsid w:val="00EB27DB"/>
    <w:rsid w:val="00EB2973"/>
    <w:rsid w:val="00EB2A8E"/>
    <w:rsid w:val="00EB2CE4"/>
    <w:rsid w:val="00EB2EAA"/>
    <w:rsid w:val="00EB2F5C"/>
    <w:rsid w:val="00EB2FC9"/>
    <w:rsid w:val="00EB310F"/>
    <w:rsid w:val="00EB3259"/>
    <w:rsid w:val="00EB32D1"/>
    <w:rsid w:val="00EB32FE"/>
    <w:rsid w:val="00EB33D4"/>
    <w:rsid w:val="00EB3556"/>
    <w:rsid w:val="00EB35F5"/>
    <w:rsid w:val="00EB370D"/>
    <w:rsid w:val="00EB37B3"/>
    <w:rsid w:val="00EB3810"/>
    <w:rsid w:val="00EB38D8"/>
    <w:rsid w:val="00EB39CE"/>
    <w:rsid w:val="00EB3C73"/>
    <w:rsid w:val="00EB3C80"/>
    <w:rsid w:val="00EB3CC7"/>
    <w:rsid w:val="00EB3D8B"/>
    <w:rsid w:val="00EB3E48"/>
    <w:rsid w:val="00EB3F3F"/>
    <w:rsid w:val="00EB4185"/>
    <w:rsid w:val="00EB42F0"/>
    <w:rsid w:val="00EB43D5"/>
    <w:rsid w:val="00EB45C9"/>
    <w:rsid w:val="00EB4777"/>
    <w:rsid w:val="00EB4C52"/>
    <w:rsid w:val="00EB5077"/>
    <w:rsid w:val="00EB5153"/>
    <w:rsid w:val="00EB5165"/>
    <w:rsid w:val="00EB532B"/>
    <w:rsid w:val="00EB5453"/>
    <w:rsid w:val="00EB5566"/>
    <w:rsid w:val="00EB56DC"/>
    <w:rsid w:val="00EB58BD"/>
    <w:rsid w:val="00EB59C2"/>
    <w:rsid w:val="00EB59E4"/>
    <w:rsid w:val="00EB5A89"/>
    <w:rsid w:val="00EB5B9A"/>
    <w:rsid w:val="00EB5C62"/>
    <w:rsid w:val="00EB5D02"/>
    <w:rsid w:val="00EB5E14"/>
    <w:rsid w:val="00EB5E66"/>
    <w:rsid w:val="00EB5E80"/>
    <w:rsid w:val="00EB601C"/>
    <w:rsid w:val="00EB60AA"/>
    <w:rsid w:val="00EB60EF"/>
    <w:rsid w:val="00EB6138"/>
    <w:rsid w:val="00EB625E"/>
    <w:rsid w:val="00EB62F6"/>
    <w:rsid w:val="00EB62F7"/>
    <w:rsid w:val="00EB637F"/>
    <w:rsid w:val="00EB6390"/>
    <w:rsid w:val="00EB64B1"/>
    <w:rsid w:val="00EB653A"/>
    <w:rsid w:val="00EB6549"/>
    <w:rsid w:val="00EB6654"/>
    <w:rsid w:val="00EB666D"/>
    <w:rsid w:val="00EB670A"/>
    <w:rsid w:val="00EB68BD"/>
    <w:rsid w:val="00EB6B75"/>
    <w:rsid w:val="00EB6B77"/>
    <w:rsid w:val="00EB6C1D"/>
    <w:rsid w:val="00EB6EC7"/>
    <w:rsid w:val="00EB6FCE"/>
    <w:rsid w:val="00EB72AE"/>
    <w:rsid w:val="00EB73D1"/>
    <w:rsid w:val="00EB745B"/>
    <w:rsid w:val="00EB758A"/>
    <w:rsid w:val="00EB75D4"/>
    <w:rsid w:val="00EB7672"/>
    <w:rsid w:val="00EB7966"/>
    <w:rsid w:val="00EB79AC"/>
    <w:rsid w:val="00EB7BC6"/>
    <w:rsid w:val="00EB7BDB"/>
    <w:rsid w:val="00EB7CFC"/>
    <w:rsid w:val="00EB7ED4"/>
    <w:rsid w:val="00EB7F10"/>
    <w:rsid w:val="00EC03DA"/>
    <w:rsid w:val="00EC046E"/>
    <w:rsid w:val="00EC0491"/>
    <w:rsid w:val="00EC0511"/>
    <w:rsid w:val="00EC0616"/>
    <w:rsid w:val="00EC072A"/>
    <w:rsid w:val="00EC084F"/>
    <w:rsid w:val="00EC0933"/>
    <w:rsid w:val="00EC0BCD"/>
    <w:rsid w:val="00EC0E1E"/>
    <w:rsid w:val="00EC0E66"/>
    <w:rsid w:val="00EC0E8F"/>
    <w:rsid w:val="00EC10D8"/>
    <w:rsid w:val="00EC1259"/>
    <w:rsid w:val="00EC13C2"/>
    <w:rsid w:val="00EC141D"/>
    <w:rsid w:val="00EC158B"/>
    <w:rsid w:val="00EC17A5"/>
    <w:rsid w:val="00EC17C0"/>
    <w:rsid w:val="00EC17F7"/>
    <w:rsid w:val="00EC1868"/>
    <w:rsid w:val="00EC19D3"/>
    <w:rsid w:val="00EC1B02"/>
    <w:rsid w:val="00EC1B07"/>
    <w:rsid w:val="00EC1C17"/>
    <w:rsid w:val="00EC1CF6"/>
    <w:rsid w:val="00EC1F0B"/>
    <w:rsid w:val="00EC2035"/>
    <w:rsid w:val="00EC2174"/>
    <w:rsid w:val="00EC2313"/>
    <w:rsid w:val="00EC23F1"/>
    <w:rsid w:val="00EC2532"/>
    <w:rsid w:val="00EC28BE"/>
    <w:rsid w:val="00EC2A7B"/>
    <w:rsid w:val="00EC2B0A"/>
    <w:rsid w:val="00EC2C09"/>
    <w:rsid w:val="00EC2CA2"/>
    <w:rsid w:val="00EC2D35"/>
    <w:rsid w:val="00EC2E37"/>
    <w:rsid w:val="00EC2F7C"/>
    <w:rsid w:val="00EC2FEE"/>
    <w:rsid w:val="00EC3285"/>
    <w:rsid w:val="00EC34D9"/>
    <w:rsid w:val="00EC3604"/>
    <w:rsid w:val="00EC39A6"/>
    <w:rsid w:val="00EC39C9"/>
    <w:rsid w:val="00EC3CBE"/>
    <w:rsid w:val="00EC3FA2"/>
    <w:rsid w:val="00EC3FC9"/>
    <w:rsid w:val="00EC40A8"/>
    <w:rsid w:val="00EC43F3"/>
    <w:rsid w:val="00EC44AA"/>
    <w:rsid w:val="00EC4667"/>
    <w:rsid w:val="00EC4895"/>
    <w:rsid w:val="00EC48D6"/>
    <w:rsid w:val="00EC492D"/>
    <w:rsid w:val="00EC4B2F"/>
    <w:rsid w:val="00EC4DF1"/>
    <w:rsid w:val="00EC4E19"/>
    <w:rsid w:val="00EC4F18"/>
    <w:rsid w:val="00EC5167"/>
    <w:rsid w:val="00EC51B1"/>
    <w:rsid w:val="00EC51C6"/>
    <w:rsid w:val="00EC5416"/>
    <w:rsid w:val="00EC5522"/>
    <w:rsid w:val="00EC5572"/>
    <w:rsid w:val="00EC57B5"/>
    <w:rsid w:val="00EC57C0"/>
    <w:rsid w:val="00EC595B"/>
    <w:rsid w:val="00EC59B5"/>
    <w:rsid w:val="00EC5A39"/>
    <w:rsid w:val="00EC5A70"/>
    <w:rsid w:val="00EC5B2A"/>
    <w:rsid w:val="00EC5EC8"/>
    <w:rsid w:val="00EC5FA5"/>
    <w:rsid w:val="00EC5FAE"/>
    <w:rsid w:val="00EC613C"/>
    <w:rsid w:val="00EC6166"/>
    <w:rsid w:val="00EC62C9"/>
    <w:rsid w:val="00EC62F6"/>
    <w:rsid w:val="00EC6565"/>
    <w:rsid w:val="00EC6697"/>
    <w:rsid w:val="00EC66C0"/>
    <w:rsid w:val="00EC6877"/>
    <w:rsid w:val="00EC6A81"/>
    <w:rsid w:val="00EC6B02"/>
    <w:rsid w:val="00EC6E3E"/>
    <w:rsid w:val="00EC6E87"/>
    <w:rsid w:val="00EC704A"/>
    <w:rsid w:val="00EC71A0"/>
    <w:rsid w:val="00EC723E"/>
    <w:rsid w:val="00EC7728"/>
    <w:rsid w:val="00EC77DB"/>
    <w:rsid w:val="00EC7857"/>
    <w:rsid w:val="00EC7D1F"/>
    <w:rsid w:val="00EC7FC8"/>
    <w:rsid w:val="00ED0478"/>
    <w:rsid w:val="00ED06BA"/>
    <w:rsid w:val="00ED086F"/>
    <w:rsid w:val="00ED08E8"/>
    <w:rsid w:val="00ED0C53"/>
    <w:rsid w:val="00ED0D0D"/>
    <w:rsid w:val="00ED0D92"/>
    <w:rsid w:val="00ED14AB"/>
    <w:rsid w:val="00ED156B"/>
    <w:rsid w:val="00ED17C8"/>
    <w:rsid w:val="00ED195A"/>
    <w:rsid w:val="00ED19A0"/>
    <w:rsid w:val="00ED1C06"/>
    <w:rsid w:val="00ED1F21"/>
    <w:rsid w:val="00ED2312"/>
    <w:rsid w:val="00ED2484"/>
    <w:rsid w:val="00ED24F7"/>
    <w:rsid w:val="00ED2551"/>
    <w:rsid w:val="00ED2699"/>
    <w:rsid w:val="00ED273C"/>
    <w:rsid w:val="00ED2878"/>
    <w:rsid w:val="00ED28CA"/>
    <w:rsid w:val="00ED2A74"/>
    <w:rsid w:val="00ED2ADA"/>
    <w:rsid w:val="00ED2D16"/>
    <w:rsid w:val="00ED2DE6"/>
    <w:rsid w:val="00ED3012"/>
    <w:rsid w:val="00ED302D"/>
    <w:rsid w:val="00ED32AE"/>
    <w:rsid w:val="00ED338A"/>
    <w:rsid w:val="00ED34AA"/>
    <w:rsid w:val="00ED351C"/>
    <w:rsid w:val="00ED35E4"/>
    <w:rsid w:val="00ED3631"/>
    <w:rsid w:val="00ED38C0"/>
    <w:rsid w:val="00ED3907"/>
    <w:rsid w:val="00ED39B7"/>
    <w:rsid w:val="00ED3A6C"/>
    <w:rsid w:val="00ED3AA8"/>
    <w:rsid w:val="00ED3ABB"/>
    <w:rsid w:val="00ED3B22"/>
    <w:rsid w:val="00ED3BA6"/>
    <w:rsid w:val="00ED3BA9"/>
    <w:rsid w:val="00ED3C66"/>
    <w:rsid w:val="00ED3D9B"/>
    <w:rsid w:val="00ED3ED2"/>
    <w:rsid w:val="00ED3EF5"/>
    <w:rsid w:val="00ED425E"/>
    <w:rsid w:val="00ED4275"/>
    <w:rsid w:val="00ED43EA"/>
    <w:rsid w:val="00ED476D"/>
    <w:rsid w:val="00ED4CF9"/>
    <w:rsid w:val="00ED4E86"/>
    <w:rsid w:val="00ED508B"/>
    <w:rsid w:val="00ED5103"/>
    <w:rsid w:val="00ED5274"/>
    <w:rsid w:val="00ED550C"/>
    <w:rsid w:val="00ED5637"/>
    <w:rsid w:val="00ED584C"/>
    <w:rsid w:val="00ED6042"/>
    <w:rsid w:val="00ED61AE"/>
    <w:rsid w:val="00ED6238"/>
    <w:rsid w:val="00ED62F8"/>
    <w:rsid w:val="00ED658F"/>
    <w:rsid w:val="00ED65F9"/>
    <w:rsid w:val="00ED6643"/>
    <w:rsid w:val="00ED679C"/>
    <w:rsid w:val="00ED689A"/>
    <w:rsid w:val="00ED692B"/>
    <w:rsid w:val="00ED6984"/>
    <w:rsid w:val="00ED69D4"/>
    <w:rsid w:val="00ED6A19"/>
    <w:rsid w:val="00ED6B8B"/>
    <w:rsid w:val="00ED6EFA"/>
    <w:rsid w:val="00ED6F05"/>
    <w:rsid w:val="00ED7081"/>
    <w:rsid w:val="00ED7200"/>
    <w:rsid w:val="00ED7268"/>
    <w:rsid w:val="00ED7321"/>
    <w:rsid w:val="00ED7359"/>
    <w:rsid w:val="00ED7420"/>
    <w:rsid w:val="00ED752E"/>
    <w:rsid w:val="00ED764C"/>
    <w:rsid w:val="00ED7691"/>
    <w:rsid w:val="00ED79A4"/>
    <w:rsid w:val="00ED7A27"/>
    <w:rsid w:val="00ED7B01"/>
    <w:rsid w:val="00ED7C62"/>
    <w:rsid w:val="00ED7EA6"/>
    <w:rsid w:val="00ED9145"/>
    <w:rsid w:val="00EE016F"/>
    <w:rsid w:val="00EE0378"/>
    <w:rsid w:val="00EE0718"/>
    <w:rsid w:val="00EE0914"/>
    <w:rsid w:val="00EE0AED"/>
    <w:rsid w:val="00EE0AFA"/>
    <w:rsid w:val="00EE0C4A"/>
    <w:rsid w:val="00EE0EBD"/>
    <w:rsid w:val="00EE115A"/>
    <w:rsid w:val="00EE1476"/>
    <w:rsid w:val="00EE153C"/>
    <w:rsid w:val="00EE15B1"/>
    <w:rsid w:val="00EE15BC"/>
    <w:rsid w:val="00EE174D"/>
    <w:rsid w:val="00EE1769"/>
    <w:rsid w:val="00EE17CE"/>
    <w:rsid w:val="00EE1A5D"/>
    <w:rsid w:val="00EE1C86"/>
    <w:rsid w:val="00EE1E1B"/>
    <w:rsid w:val="00EE1E21"/>
    <w:rsid w:val="00EE2466"/>
    <w:rsid w:val="00EE25EF"/>
    <w:rsid w:val="00EE269C"/>
    <w:rsid w:val="00EE273E"/>
    <w:rsid w:val="00EE27BE"/>
    <w:rsid w:val="00EE297D"/>
    <w:rsid w:val="00EE2ABB"/>
    <w:rsid w:val="00EE2C4B"/>
    <w:rsid w:val="00EE2C86"/>
    <w:rsid w:val="00EE2CE3"/>
    <w:rsid w:val="00EE2D86"/>
    <w:rsid w:val="00EE304A"/>
    <w:rsid w:val="00EE3090"/>
    <w:rsid w:val="00EE3154"/>
    <w:rsid w:val="00EE315B"/>
    <w:rsid w:val="00EE3550"/>
    <w:rsid w:val="00EE35C5"/>
    <w:rsid w:val="00EE360B"/>
    <w:rsid w:val="00EE3641"/>
    <w:rsid w:val="00EE3681"/>
    <w:rsid w:val="00EE3773"/>
    <w:rsid w:val="00EE38C1"/>
    <w:rsid w:val="00EE397E"/>
    <w:rsid w:val="00EE3BC3"/>
    <w:rsid w:val="00EE3D8D"/>
    <w:rsid w:val="00EE3DA0"/>
    <w:rsid w:val="00EE3E0D"/>
    <w:rsid w:val="00EE3E6A"/>
    <w:rsid w:val="00EE3F68"/>
    <w:rsid w:val="00EE3FBC"/>
    <w:rsid w:val="00EE3FC4"/>
    <w:rsid w:val="00EE4099"/>
    <w:rsid w:val="00EE40A5"/>
    <w:rsid w:val="00EE40C2"/>
    <w:rsid w:val="00EE419A"/>
    <w:rsid w:val="00EE4414"/>
    <w:rsid w:val="00EE46B5"/>
    <w:rsid w:val="00EE4736"/>
    <w:rsid w:val="00EE49D1"/>
    <w:rsid w:val="00EE4AA2"/>
    <w:rsid w:val="00EE4B43"/>
    <w:rsid w:val="00EE4B56"/>
    <w:rsid w:val="00EE4D89"/>
    <w:rsid w:val="00EE5018"/>
    <w:rsid w:val="00EE525D"/>
    <w:rsid w:val="00EE5448"/>
    <w:rsid w:val="00EE5457"/>
    <w:rsid w:val="00EE547B"/>
    <w:rsid w:val="00EE55BD"/>
    <w:rsid w:val="00EE5734"/>
    <w:rsid w:val="00EE57B4"/>
    <w:rsid w:val="00EE58E4"/>
    <w:rsid w:val="00EE5992"/>
    <w:rsid w:val="00EE59DD"/>
    <w:rsid w:val="00EE5A6F"/>
    <w:rsid w:val="00EE5B15"/>
    <w:rsid w:val="00EE5C44"/>
    <w:rsid w:val="00EE5D34"/>
    <w:rsid w:val="00EE5E72"/>
    <w:rsid w:val="00EE5EFB"/>
    <w:rsid w:val="00EE5FF5"/>
    <w:rsid w:val="00EE6003"/>
    <w:rsid w:val="00EE617A"/>
    <w:rsid w:val="00EE6425"/>
    <w:rsid w:val="00EE643D"/>
    <w:rsid w:val="00EE6504"/>
    <w:rsid w:val="00EE6725"/>
    <w:rsid w:val="00EE6814"/>
    <w:rsid w:val="00EE685A"/>
    <w:rsid w:val="00EE68A3"/>
    <w:rsid w:val="00EE68F8"/>
    <w:rsid w:val="00EE6A5A"/>
    <w:rsid w:val="00EE6D2F"/>
    <w:rsid w:val="00EE70E8"/>
    <w:rsid w:val="00EE71F8"/>
    <w:rsid w:val="00EE7220"/>
    <w:rsid w:val="00EE731D"/>
    <w:rsid w:val="00EE77AB"/>
    <w:rsid w:val="00EE7805"/>
    <w:rsid w:val="00EE78C7"/>
    <w:rsid w:val="00EE78FA"/>
    <w:rsid w:val="00EE7A79"/>
    <w:rsid w:val="00EE7ADA"/>
    <w:rsid w:val="00EE7CF5"/>
    <w:rsid w:val="00EF0130"/>
    <w:rsid w:val="00EF0413"/>
    <w:rsid w:val="00EF0477"/>
    <w:rsid w:val="00EF0480"/>
    <w:rsid w:val="00EF0568"/>
    <w:rsid w:val="00EF058D"/>
    <w:rsid w:val="00EF0673"/>
    <w:rsid w:val="00EF0680"/>
    <w:rsid w:val="00EF06BA"/>
    <w:rsid w:val="00EF074B"/>
    <w:rsid w:val="00EF083F"/>
    <w:rsid w:val="00EF0A6B"/>
    <w:rsid w:val="00EF0AB0"/>
    <w:rsid w:val="00EF0BF7"/>
    <w:rsid w:val="00EF0C45"/>
    <w:rsid w:val="00EF0E68"/>
    <w:rsid w:val="00EF0E6C"/>
    <w:rsid w:val="00EF0EAF"/>
    <w:rsid w:val="00EF0FED"/>
    <w:rsid w:val="00EF0FF5"/>
    <w:rsid w:val="00EF0FFD"/>
    <w:rsid w:val="00EF10E7"/>
    <w:rsid w:val="00EF10EE"/>
    <w:rsid w:val="00EF125C"/>
    <w:rsid w:val="00EF12B3"/>
    <w:rsid w:val="00EF12FD"/>
    <w:rsid w:val="00EF1323"/>
    <w:rsid w:val="00EF1413"/>
    <w:rsid w:val="00EF1466"/>
    <w:rsid w:val="00EF1556"/>
    <w:rsid w:val="00EF1710"/>
    <w:rsid w:val="00EF1A49"/>
    <w:rsid w:val="00EF1AD9"/>
    <w:rsid w:val="00EF1CB1"/>
    <w:rsid w:val="00EF1D90"/>
    <w:rsid w:val="00EF205F"/>
    <w:rsid w:val="00EF22D3"/>
    <w:rsid w:val="00EF253D"/>
    <w:rsid w:val="00EF25DE"/>
    <w:rsid w:val="00EF28B8"/>
    <w:rsid w:val="00EF2AD5"/>
    <w:rsid w:val="00EF2C2A"/>
    <w:rsid w:val="00EF2C6A"/>
    <w:rsid w:val="00EF2CDA"/>
    <w:rsid w:val="00EF2E96"/>
    <w:rsid w:val="00EF2F1B"/>
    <w:rsid w:val="00EF316A"/>
    <w:rsid w:val="00EF3307"/>
    <w:rsid w:val="00EF3411"/>
    <w:rsid w:val="00EF3582"/>
    <w:rsid w:val="00EF359E"/>
    <w:rsid w:val="00EF361E"/>
    <w:rsid w:val="00EF36DA"/>
    <w:rsid w:val="00EF3709"/>
    <w:rsid w:val="00EF3712"/>
    <w:rsid w:val="00EF3921"/>
    <w:rsid w:val="00EF39F3"/>
    <w:rsid w:val="00EF3A0C"/>
    <w:rsid w:val="00EF3B2F"/>
    <w:rsid w:val="00EF3C24"/>
    <w:rsid w:val="00EF3F68"/>
    <w:rsid w:val="00EF3F7B"/>
    <w:rsid w:val="00EF3FBE"/>
    <w:rsid w:val="00EF3FD1"/>
    <w:rsid w:val="00EF4103"/>
    <w:rsid w:val="00EF417D"/>
    <w:rsid w:val="00EF4263"/>
    <w:rsid w:val="00EF42A7"/>
    <w:rsid w:val="00EF4503"/>
    <w:rsid w:val="00EF4623"/>
    <w:rsid w:val="00EF46BC"/>
    <w:rsid w:val="00EF47D4"/>
    <w:rsid w:val="00EF492A"/>
    <w:rsid w:val="00EF4B21"/>
    <w:rsid w:val="00EF4C1A"/>
    <w:rsid w:val="00EF4C79"/>
    <w:rsid w:val="00EF4CEC"/>
    <w:rsid w:val="00EF4DF0"/>
    <w:rsid w:val="00EF4FA8"/>
    <w:rsid w:val="00EF4FE8"/>
    <w:rsid w:val="00EF51CB"/>
    <w:rsid w:val="00EF5234"/>
    <w:rsid w:val="00EF53E3"/>
    <w:rsid w:val="00EF53F4"/>
    <w:rsid w:val="00EF5863"/>
    <w:rsid w:val="00EF5923"/>
    <w:rsid w:val="00EF59BA"/>
    <w:rsid w:val="00EF5B1B"/>
    <w:rsid w:val="00EF5B51"/>
    <w:rsid w:val="00EF5BF2"/>
    <w:rsid w:val="00EF5CBA"/>
    <w:rsid w:val="00EF5D32"/>
    <w:rsid w:val="00EF5FC6"/>
    <w:rsid w:val="00EF6328"/>
    <w:rsid w:val="00EF6362"/>
    <w:rsid w:val="00EF64AC"/>
    <w:rsid w:val="00EF656E"/>
    <w:rsid w:val="00EF667C"/>
    <w:rsid w:val="00EF6851"/>
    <w:rsid w:val="00EF6A1A"/>
    <w:rsid w:val="00EF6C89"/>
    <w:rsid w:val="00EF6D7A"/>
    <w:rsid w:val="00EF6E2A"/>
    <w:rsid w:val="00EF6ECC"/>
    <w:rsid w:val="00EF6FFE"/>
    <w:rsid w:val="00EF7324"/>
    <w:rsid w:val="00EF75BB"/>
    <w:rsid w:val="00EF78D6"/>
    <w:rsid w:val="00EF7A91"/>
    <w:rsid w:val="00EF7B12"/>
    <w:rsid w:val="00EF7C26"/>
    <w:rsid w:val="00EF7C40"/>
    <w:rsid w:val="00EF7CE9"/>
    <w:rsid w:val="00EF7D3E"/>
    <w:rsid w:val="00EF7D89"/>
    <w:rsid w:val="00F000F9"/>
    <w:rsid w:val="00F00186"/>
    <w:rsid w:val="00F00197"/>
    <w:rsid w:val="00F002C1"/>
    <w:rsid w:val="00F0043F"/>
    <w:rsid w:val="00F00554"/>
    <w:rsid w:val="00F00578"/>
    <w:rsid w:val="00F005C1"/>
    <w:rsid w:val="00F0078C"/>
    <w:rsid w:val="00F008D4"/>
    <w:rsid w:val="00F00915"/>
    <w:rsid w:val="00F00946"/>
    <w:rsid w:val="00F009A8"/>
    <w:rsid w:val="00F009D7"/>
    <w:rsid w:val="00F00A65"/>
    <w:rsid w:val="00F00BBC"/>
    <w:rsid w:val="00F00D52"/>
    <w:rsid w:val="00F00DA1"/>
    <w:rsid w:val="00F00DF1"/>
    <w:rsid w:val="00F00E0C"/>
    <w:rsid w:val="00F010B8"/>
    <w:rsid w:val="00F01307"/>
    <w:rsid w:val="00F0133F"/>
    <w:rsid w:val="00F013C6"/>
    <w:rsid w:val="00F014B7"/>
    <w:rsid w:val="00F01509"/>
    <w:rsid w:val="00F01617"/>
    <w:rsid w:val="00F0183A"/>
    <w:rsid w:val="00F0187C"/>
    <w:rsid w:val="00F018DE"/>
    <w:rsid w:val="00F019D3"/>
    <w:rsid w:val="00F019F9"/>
    <w:rsid w:val="00F01C15"/>
    <w:rsid w:val="00F01C8D"/>
    <w:rsid w:val="00F01E5D"/>
    <w:rsid w:val="00F01E61"/>
    <w:rsid w:val="00F01EB1"/>
    <w:rsid w:val="00F01F41"/>
    <w:rsid w:val="00F02000"/>
    <w:rsid w:val="00F0213B"/>
    <w:rsid w:val="00F02391"/>
    <w:rsid w:val="00F027D1"/>
    <w:rsid w:val="00F02A8E"/>
    <w:rsid w:val="00F02A94"/>
    <w:rsid w:val="00F02A97"/>
    <w:rsid w:val="00F02AE6"/>
    <w:rsid w:val="00F02BF5"/>
    <w:rsid w:val="00F02C2F"/>
    <w:rsid w:val="00F02C83"/>
    <w:rsid w:val="00F02E2B"/>
    <w:rsid w:val="00F02EBB"/>
    <w:rsid w:val="00F02F23"/>
    <w:rsid w:val="00F03116"/>
    <w:rsid w:val="00F03251"/>
    <w:rsid w:val="00F03331"/>
    <w:rsid w:val="00F03440"/>
    <w:rsid w:val="00F03668"/>
    <w:rsid w:val="00F03691"/>
    <w:rsid w:val="00F03788"/>
    <w:rsid w:val="00F037C9"/>
    <w:rsid w:val="00F037FF"/>
    <w:rsid w:val="00F03904"/>
    <w:rsid w:val="00F0398F"/>
    <w:rsid w:val="00F03AA6"/>
    <w:rsid w:val="00F03C2B"/>
    <w:rsid w:val="00F03DB0"/>
    <w:rsid w:val="00F03E3C"/>
    <w:rsid w:val="00F03E55"/>
    <w:rsid w:val="00F03E67"/>
    <w:rsid w:val="00F03F20"/>
    <w:rsid w:val="00F03FAC"/>
    <w:rsid w:val="00F041C4"/>
    <w:rsid w:val="00F04205"/>
    <w:rsid w:val="00F04230"/>
    <w:rsid w:val="00F0441B"/>
    <w:rsid w:val="00F04516"/>
    <w:rsid w:val="00F0461C"/>
    <w:rsid w:val="00F046B2"/>
    <w:rsid w:val="00F04A5C"/>
    <w:rsid w:val="00F04A7A"/>
    <w:rsid w:val="00F04B5C"/>
    <w:rsid w:val="00F04CF8"/>
    <w:rsid w:val="00F04EE6"/>
    <w:rsid w:val="00F04F3F"/>
    <w:rsid w:val="00F05102"/>
    <w:rsid w:val="00F0515D"/>
    <w:rsid w:val="00F051AA"/>
    <w:rsid w:val="00F0555C"/>
    <w:rsid w:val="00F05926"/>
    <w:rsid w:val="00F05996"/>
    <w:rsid w:val="00F059B5"/>
    <w:rsid w:val="00F05A48"/>
    <w:rsid w:val="00F05CC0"/>
    <w:rsid w:val="00F05F64"/>
    <w:rsid w:val="00F05FB2"/>
    <w:rsid w:val="00F06025"/>
    <w:rsid w:val="00F06079"/>
    <w:rsid w:val="00F060C7"/>
    <w:rsid w:val="00F060C9"/>
    <w:rsid w:val="00F060D7"/>
    <w:rsid w:val="00F0642A"/>
    <w:rsid w:val="00F064B8"/>
    <w:rsid w:val="00F0660F"/>
    <w:rsid w:val="00F0687C"/>
    <w:rsid w:val="00F06AFB"/>
    <w:rsid w:val="00F06B6C"/>
    <w:rsid w:val="00F06B9A"/>
    <w:rsid w:val="00F06E2A"/>
    <w:rsid w:val="00F06E3D"/>
    <w:rsid w:val="00F06E81"/>
    <w:rsid w:val="00F06F56"/>
    <w:rsid w:val="00F072B2"/>
    <w:rsid w:val="00F072E2"/>
    <w:rsid w:val="00F07317"/>
    <w:rsid w:val="00F073E8"/>
    <w:rsid w:val="00F07481"/>
    <w:rsid w:val="00F07722"/>
    <w:rsid w:val="00F077E8"/>
    <w:rsid w:val="00F0781D"/>
    <w:rsid w:val="00F07826"/>
    <w:rsid w:val="00F07851"/>
    <w:rsid w:val="00F079A1"/>
    <w:rsid w:val="00F07B2E"/>
    <w:rsid w:val="00F07C31"/>
    <w:rsid w:val="00F07CD1"/>
    <w:rsid w:val="00F07D41"/>
    <w:rsid w:val="00F10023"/>
    <w:rsid w:val="00F10038"/>
    <w:rsid w:val="00F10184"/>
    <w:rsid w:val="00F104C6"/>
    <w:rsid w:val="00F105B9"/>
    <w:rsid w:val="00F10700"/>
    <w:rsid w:val="00F10712"/>
    <w:rsid w:val="00F10817"/>
    <w:rsid w:val="00F1086C"/>
    <w:rsid w:val="00F10AFB"/>
    <w:rsid w:val="00F10B83"/>
    <w:rsid w:val="00F10C02"/>
    <w:rsid w:val="00F10E6D"/>
    <w:rsid w:val="00F10E81"/>
    <w:rsid w:val="00F10FB2"/>
    <w:rsid w:val="00F11120"/>
    <w:rsid w:val="00F112CA"/>
    <w:rsid w:val="00F11315"/>
    <w:rsid w:val="00F1145A"/>
    <w:rsid w:val="00F11463"/>
    <w:rsid w:val="00F11486"/>
    <w:rsid w:val="00F114B7"/>
    <w:rsid w:val="00F115AD"/>
    <w:rsid w:val="00F116DB"/>
    <w:rsid w:val="00F117C3"/>
    <w:rsid w:val="00F117D1"/>
    <w:rsid w:val="00F118DE"/>
    <w:rsid w:val="00F118FA"/>
    <w:rsid w:val="00F11984"/>
    <w:rsid w:val="00F119FC"/>
    <w:rsid w:val="00F11A13"/>
    <w:rsid w:val="00F11AF2"/>
    <w:rsid w:val="00F11B9F"/>
    <w:rsid w:val="00F11BB8"/>
    <w:rsid w:val="00F11C50"/>
    <w:rsid w:val="00F11E7C"/>
    <w:rsid w:val="00F11FD1"/>
    <w:rsid w:val="00F1206B"/>
    <w:rsid w:val="00F12286"/>
    <w:rsid w:val="00F122C8"/>
    <w:rsid w:val="00F124F7"/>
    <w:rsid w:val="00F1254C"/>
    <w:rsid w:val="00F12876"/>
    <w:rsid w:val="00F12D3A"/>
    <w:rsid w:val="00F12D73"/>
    <w:rsid w:val="00F13112"/>
    <w:rsid w:val="00F13169"/>
    <w:rsid w:val="00F132D6"/>
    <w:rsid w:val="00F13383"/>
    <w:rsid w:val="00F133DD"/>
    <w:rsid w:val="00F13480"/>
    <w:rsid w:val="00F137E6"/>
    <w:rsid w:val="00F13869"/>
    <w:rsid w:val="00F13880"/>
    <w:rsid w:val="00F138F8"/>
    <w:rsid w:val="00F13B4E"/>
    <w:rsid w:val="00F13C10"/>
    <w:rsid w:val="00F13D1E"/>
    <w:rsid w:val="00F141D2"/>
    <w:rsid w:val="00F1478B"/>
    <w:rsid w:val="00F1478F"/>
    <w:rsid w:val="00F14830"/>
    <w:rsid w:val="00F1488E"/>
    <w:rsid w:val="00F1494D"/>
    <w:rsid w:val="00F14ACB"/>
    <w:rsid w:val="00F14BC4"/>
    <w:rsid w:val="00F14BDD"/>
    <w:rsid w:val="00F14D76"/>
    <w:rsid w:val="00F1500A"/>
    <w:rsid w:val="00F1502F"/>
    <w:rsid w:val="00F1505A"/>
    <w:rsid w:val="00F1519A"/>
    <w:rsid w:val="00F151B9"/>
    <w:rsid w:val="00F1534D"/>
    <w:rsid w:val="00F1537D"/>
    <w:rsid w:val="00F15462"/>
    <w:rsid w:val="00F1547D"/>
    <w:rsid w:val="00F154F3"/>
    <w:rsid w:val="00F1558C"/>
    <w:rsid w:val="00F156BA"/>
    <w:rsid w:val="00F15714"/>
    <w:rsid w:val="00F157C5"/>
    <w:rsid w:val="00F157E1"/>
    <w:rsid w:val="00F158F2"/>
    <w:rsid w:val="00F159AD"/>
    <w:rsid w:val="00F15CA8"/>
    <w:rsid w:val="00F15DC0"/>
    <w:rsid w:val="00F15F71"/>
    <w:rsid w:val="00F1626F"/>
    <w:rsid w:val="00F1628E"/>
    <w:rsid w:val="00F162DF"/>
    <w:rsid w:val="00F16317"/>
    <w:rsid w:val="00F16424"/>
    <w:rsid w:val="00F16682"/>
    <w:rsid w:val="00F1669E"/>
    <w:rsid w:val="00F166CF"/>
    <w:rsid w:val="00F16758"/>
    <w:rsid w:val="00F16915"/>
    <w:rsid w:val="00F16974"/>
    <w:rsid w:val="00F16A3B"/>
    <w:rsid w:val="00F16A3F"/>
    <w:rsid w:val="00F16A98"/>
    <w:rsid w:val="00F16CEF"/>
    <w:rsid w:val="00F16D17"/>
    <w:rsid w:val="00F16D5B"/>
    <w:rsid w:val="00F16DC8"/>
    <w:rsid w:val="00F16DEE"/>
    <w:rsid w:val="00F16FE9"/>
    <w:rsid w:val="00F17093"/>
    <w:rsid w:val="00F17185"/>
    <w:rsid w:val="00F17235"/>
    <w:rsid w:val="00F17431"/>
    <w:rsid w:val="00F175DF"/>
    <w:rsid w:val="00F17641"/>
    <w:rsid w:val="00F17710"/>
    <w:rsid w:val="00F17800"/>
    <w:rsid w:val="00F1789E"/>
    <w:rsid w:val="00F17BC3"/>
    <w:rsid w:val="00F17F18"/>
    <w:rsid w:val="00F20105"/>
    <w:rsid w:val="00F2023A"/>
    <w:rsid w:val="00F202FB"/>
    <w:rsid w:val="00F2050D"/>
    <w:rsid w:val="00F20660"/>
    <w:rsid w:val="00F20746"/>
    <w:rsid w:val="00F2083D"/>
    <w:rsid w:val="00F208EF"/>
    <w:rsid w:val="00F20A55"/>
    <w:rsid w:val="00F20A69"/>
    <w:rsid w:val="00F20CA1"/>
    <w:rsid w:val="00F20CAE"/>
    <w:rsid w:val="00F20D2F"/>
    <w:rsid w:val="00F20DFC"/>
    <w:rsid w:val="00F20F2C"/>
    <w:rsid w:val="00F20F75"/>
    <w:rsid w:val="00F20F98"/>
    <w:rsid w:val="00F21045"/>
    <w:rsid w:val="00F2133A"/>
    <w:rsid w:val="00F215CC"/>
    <w:rsid w:val="00F21862"/>
    <w:rsid w:val="00F218FF"/>
    <w:rsid w:val="00F21929"/>
    <w:rsid w:val="00F21AD5"/>
    <w:rsid w:val="00F21C9F"/>
    <w:rsid w:val="00F21D78"/>
    <w:rsid w:val="00F21DE9"/>
    <w:rsid w:val="00F21E12"/>
    <w:rsid w:val="00F21F40"/>
    <w:rsid w:val="00F21FBF"/>
    <w:rsid w:val="00F22144"/>
    <w:rsid w:val="00F2232A"/>
    <w:rsid w:val="00F22384"/>
    <w:rsid w:val="00F22509"/>
    <w:rsid w:val="00F226A8"/>
    <w:rsid w:val="00F22997"/>
    <w:rsid w:val="00F229A4"/>
    <w:rsid w:val="00F229DF"/>
    <w:rsid w:val="00F22A93"/>
    <w:rsid w:val="00F22B66"/>
    <w:rsid w:val="00F22B67"/>
    <w:rsid w:val="00F22BC2"/>
    <w:rsid w:val="00F22C41"/>
    <w:rsid w:val="00F22DD5"/>
    <w:rsid w:val="00F22E9F"/>
    <w:rsid w:val="00F22ED4"/>
    <w:rsid w:val="00F22FE0"/>
    <w:rsid w:val="00F231CD"/>
    <w:rsid w:val="00F23349"/>
    <w:rsid w:val="00F234BC"/>
    <w:rsid w:val="00F23729"/>
    <w:rsid w:val="00F2384B"/>
    <w:rsid w:val="00F23AF3"/>
    <w:rsid w:val="00F23B21"/>
    <w:rsid w:val="00F23CD2"/>
    <w:rsid w:val="00F23E44"/>
    <w:rsid w:val="00F23FEC"/>
    <w:rsid w:val="00F24311"/>
    <w:rsid w:val="00F24376"/>
    <w:rsid w:val="00F243C7"/>
    <w:rsid w:val="00F243EE"/>
    <w:rsid w:val="00F244AA"/>
    <w:rsid w:val="00F24527"/>
    <w:rsid w:val="00F24606"/>
    <w:rsid w:val="00F2464A"/>
    <w:rsid w:val="00F247AC"/>
    <w:rsid w:val="00F24837"/>
    <w:rsid w:val="00F248FE"/>
    <w:rsid w:val="00F24B7D"/>
    <w:rsid w:val="00F24BDB"/>
    <w:rsid w:val="00F24BF0"/>
    <w:rsid w:val="00F25337"/>
    <w:rsid w:val="00F253FB"/>
    <w:rsid w:val="00F25448"/>
    <w:rsid w:val="00F254C9"/>
    <w:rsid w:val="00F25602"/>
    <w:rsid w:val="00F25646"/>
    <w:rsid w:val="00F257C5"/>
    <w:rsid w:val="00F258DC"/>
    <w:rsid w:val="00F2597D"/>
    <w:rsid w:val="00F25A3A"/>
    <w:rsid w:val="00F25B5E"/>
    <w:rsid w:val="00F25E02"/>
    <w:rsid w:val="00F25E07"/>
    <w:rsid w:val="00F25EDE"/>
    <w:rsid w:val="00F25F32"/>
    <w:rsid w:val="00F25F9C"/>
    <w:rsid w:val="00F26300"/>
    <w:rsid w:val="00F263F4"/>
    <w:rsid w:val="00F26691"/>
    <w:rsid w:val="00F266DB"/>
    <w:rsid w:val="00F267F8"/>
    <w:rsid w:val="00F26862"/>
    <w:rsid w:val="00F268AE"/>
    <w:rsid w:val="00F268B4"/>
    <w:rsid w:val="00F26A1D"/>
    <w:rsid w:val="00F26B28"/>
    <w:rsid w:val="00F26B50"/>
    <w:rsid w:val="00F26C3A"/>
    <w:rsid w:val="00F26D5D"/>
    <w:rsid w:val="00F26D7E"/>
    <w:rsid w:val="00F26DA3"/>
    <w:rsid w:val="00F26DAD"/>
    <w:rsid w:val="00F26E2A"/>
    <w:rsid w:val="00F26EFC"/>
    <w:rsid w:val="00F26FF4"/>
    <w:rsid w:val="00F26FF5"/>
    <w:rsid w:val="00F270F2"/>
    <w:rsid w:val="00F27110"/>
    <w:rsid w:val="00F2733C"/>
    <w:rsid w:val="00F277D9"/>
    <w:rsid w:val="00F277FF"/>
    <w:rsid w:val="00F279D6"/>
    <w:rsid w:val="00F279FF"/>
    <w:rsid w:val="00F27A0C"/>
    <w:rsid w:val="00F27A5C"/>
    <w:rsid w:val="00F27AB3"/>
    <w:rsid w:val="00F27B35"/>
    <w:rsid w:val="00F27CB4"/>
    <w:rsid w:val="00F27CD9"/>
    <w:rsid w:val="00F27D03"/>
    <w:rsid w:val="00F27DF7"/>
    <w:rsid w:val="00F300D5"/>
    <w:rsid w:val="00F30179"/>
    <w:rsid w:val="00F3043A"/>
    <w:rsid w:val="00F3053D"/>
    <w:rsid w:val="00F3088C"/>
    <w:rsid w:val="00F30957"/>
    <w:rsid w:val="00F3097F"/>
    <w:rsid w:val="00F309B1"/>
    <w:rsid w:val="00F309CB"/>
    <w:rsid w:val="00F30B6D"/>
    <w:rsid w:val="00F30C83"/>
    <w:rsid w:val="00F30EC8"/>
    <w:rsid w:val="00F311A5"/>
    <w:rsid w:val="00F31589"/>
    <w:rsid w:val="00F3175A"/>
    <w:rsid w:val="00F318BC"/>
    <w:rsid w:val="00F31A4B"/>
    <w:rsid w:val="00F31A96"/>
    <w:rsid w:val="00F31B6D"/>
    <w:rsid w:val="00F31E93"/>
    <w:rsid w:val="00F31EE5"/>
    <w:rsid w:val="00F320EB"/>
    <w:rsid w:val="00F32152"/>
    <w:rsid w:val="00F3217F"/>
    <w:rsid w:val="00F321F9"/>
    <w:rsid w:val="00F324B5"/>
    <w:rsid w:val="00F3250B"/>
    <w:rsid w:val="00F3254F"/>
    <w:rsid w:val="00F327D9"/>
    <w:rsid w:val="00F32A49"/>
    <w:rsid w:val="00F32BF2"/>
    <w:rsid w:val="00F32C41"/>
    <w:rsid w:val="00F32C43"/>
    <w:rsid w:val="00F32D0F"/>
    <w:rsid w:val="00F330DE"/>
    <w:rsid w:val="00F3312E"/>
    <w:rsid w:val="00F331B7"/>
    <w:rsid w:val="00F332AF"/>
    <w:rsid w:val="00F334DA"/>
    <w:rsid w:val="00F33547"/>
    <w:rsid w:val="00F335B2"/>
    <w:rsid w:val="00F33635"/>
    <w:rsid w:val="00F338FF"/>
    <w:rsid w:val="00F33AC1"/>
    <w:rsid w:val="00F33B4B"/>
    <w:rsid w:val="00F33B87"/>
    <w:rsid w:val="00F33E0D"/>
    <w:rsid w:val="00F340EE"/>
    <w:rsid w:val="00F34143"/>
    <w:rsid w:val="00F34305"/>
    <w:rsid w:val="00F34322"/>
    <w:rsid w:val="00F344B4"/>
    <w:rsid w:val="00F344BD"/>
    <w:rsid w:val="00F3463B"/>
    <w:rsid w:val="00F34709"/>
    <w:rsid w:val="00F34740"/>
    <w:rsid w:val="00F349E6"/>
    <w:rsid w:val="00F34A64"/>
    <w:rsid w:val="00F34B9C"/>
    <w:rsid w:val="00F34C4D"/>
    <w:rsid w:val="00F34E2F"/>
    <w:rsid w:val="00F34F79"/>
    <w:rsid w:val="00F34F96"/>
    <w:rsid w:val="00F34F9E"/>
    <w:rsid w:val="00F34FE8"/>
    <w:rsid w:val="00F35010"/>
    <w:rsid w:val="00F350CF"/>
    <w:rsid w:val="00F35216"/>
    <w:rsid w:val="00F352B9"/>
    <w:rsid w:val="00F354A2"/>
    <w:rsid w:val="00F3553D"/>
    <w:rsid w:val="00F3556C"/>
    <w:rsid w:val="00F35708"/>
    <w:rsid w:val="00F35877"/>
    <w:rsid w:val="00F3588A"/>
    <w:rsid w:val="00F3588B"/>
    <w:rsid w:val="00F358C8"/>
    <w:rsid w:val="00F359D2"/>
    <w:rsid w:val="00F35AC8"/>
    <w:rsid w:val="00F35D6B"/>
    <w:rsid w:val="00F35D99"/>
    <w:rsid w:val="00F35ECC"/>
    <w:rsid w:val="00F35FCE"/>
    <w:rsid w:val="00F3603C"/>
    <w:rsid w:val="00F361FD"/>
    <w:rsid w:val="00F3627D"/>
    <w:rsid w:val="00F36497"/>
    <w:rsid w:val="00F36513"/>
    <w:rsid w:val="00F36583"/>
    <w:rsid w:val="00F365B7"/>
    <w:rsid w:val="00F365CB"/>
    <w:rsid w:val="00F3692C"/>
    <w:rsid w:val="00F36ADC"/>
    <w:rsid w:val="00F36E5E"/>
    <w:rsid w:val="00F37009"/>
    <w:rsid w:val="00F370E8"/>
    <w:rsid w:val="00F371FF"/>
    <w:rsid w:val="00F37442"/>
    <w:rsid w:val="00F37727"/>
    <w:rsid w:val="00F379FC"/>
    <w:rsid w:val="00F37C75"/>
    <w:rsid w:val="00F40018"/>
    <w:rsid w:val="00F40143"/>
    <w:rsid w:val="00F40321"/>
    <w:rsid w:val="00F4048D"/>
    <w:rsid w:val="00F40709"/>
    <w:rsid w:val="00F40740"/>
    <w:rsid w:val="00F4082C"/>
    <w:rsid w:val="00F40902"/>
    <w:rsid w:val="00F40939"/>
    <w:rsid w:val="00F40BD3"/>
    <w:rsid w:val="00F40BF1"/>
    <w:rsid w:val="00F40CD0"/>
    <w:rsid w:val="00F40D2C"/>
    <w:rsid w:val="00F40E89"/>
    <w:rsid w:val="00F40F55"/>
    <w:rsid w:val="00F40F9A"/>
    <w:rsid w:val="00F41150"/>
    <w:rsid w:val="00F411D7"/>
    <w:rsid w:val="00F4133A"/>
    <w:rsid w:val="00F415D1"/>
    <w:rsid w:val="00F4162F"/>
    <w:rsid w:val="00F4167C"/>
    <w:rsid w:val="00F416B7"/>
    <w:rsid w:val="00F41ADB"/>
    <w:rsid w:val="00F41B64"/>
    <w:rsid w:val="00F41F78"/>
    <w:rsid w:val="00F42084"/>
    <w:rsid w:val="00F420A1"/>
    <w:rsid w:val="00F42150"/>
    <w:rsid w:val="00F421B5"/>
    <w:rsid w:val="00F4226E"/>
    <w:rsid w:val="00F42347"/>
    <w:rsid w:val="00F42417"/>
    <w:rsid w:val="00F425B1"/>
    <w:rsid w:val="00F425C4"/>
    <w:rsid w:val="00F426ED"/>
    <w:rsid w:val="00F427CC"/>
    <w:rsid w:val="00F4285B"/>
    <w:rsid w:val="00F42D3A"/>
    <w:rsid w:val="00F42EAA"/>
    <w:rsid w:val="00F42F02"/>
    <w:rsid w:val="00F42F6D"/>
    <w:rsid w:val="00F42FB0"/>
    <w:rsid w:val="00F4303B"/>
    <w:rsid w:val="00F430B8"/>
    <w:rsid w:val="00F4312A"/>
    <w:rsid w:val="00F4315E"/>
    <w:rsid w:val="00F43207"/>
    <w:rsid w:val="00F432F0"/>
    <w:rsid w:val="00F43499"/>
    <w:rsid w:val="00F4358B"/>
    <w:rsid w:val="00F435A0"/>
    <w:rsid w:val="00F435F4"/>
    <w:rsid w:val="00F438A0"/>
    <w:rsid w:val="00F4393B"/>
    <w:rsid w:val="00F43954"/>
    <w:rsid w:val="00F43995"/>
    <w:rsid w:val="00F43AB4"/>
    <w:rsid w:val="00F43B13"/>
    <w:rsid w:val="00F43D08"/>
    <w:rsid w:val="00F43EDC"/>
    <w:rsid w:val="00F4408B"/>
    <w:rsid w:val="00F4417B"/>
    <w:rsid w:val="00F441C0"/>
    <w:rsid w:val="00F44449"/>
    <w:rsid w:val="00F44702"/>
    <w:rsid w:val="00F44728"/>
    <w:rsid w:val="00F447CF"/>
    <w:rsid w:val="00F44AF8"/>
    <w:rsid w:val="00F44CB5"/>
    <w:rsid w:val="00F44D6E"/>
    <w:rsid w:val="00F44E96"/>
    <w:rsid w:val="00F44F75"/>
    <w:rsid w:val="00F45085"/>
    <w:rsid w:val="00F455E2"/>
    <w:rsid w:val="00F45622"/>
    <w:rsid w:val="00F456A4"/>
    <w:rsid w:val="00F456AB"/>
    <w:rsid w:val="00F45743"/>
    <w:rsid w:val="00F4578B"/>
    <w:rsid w:val="00F459FA"/>
    <w:rsid w:val="00F45A55"/>
    <w:rsid w:val="00F45AC1"/>
    <w:rsid w:val="00F45B9E"/>
    <w:rsid w:val="00F45BE3"/>
    <w:rsid w:val="00F45C3F"/>
    <w:rsid w:val="00F460A9"/>
    <w:rsid w:val="00F461CF"/>
    <w:rsid w:val="00F462FA"/>
    <w:rsid w:val="00F4631C"/>
    <w:rsid w:val="00F4634E"/>
    <w:rsid w:val="00F46433"/>
    <w:rsid w:val="00F46435"/>
    <w:rsid w:val="00F46696"/>
    <w:rsid w:val="00F467AB"/>
    <w:rsid w:val="00F467CA"/>
    <w:rsid w:val="00F46925"/>
    <w:rsid w:val="00F46A3B"/>
    <w:rsid w:val="00F46AE7"/>
    <w:rsid w:val="00F46B3C"/>
    <w:rsid w:val="00F46C56"/>
    <w:rsid w:val="00F46C83"/>
    <w:rsid w:val="00F46CBE"/>
    <w:rsid w:val="00F47046"/>
    <w:rsid w:val="00F47337"/>
    <w:rsid w:val="00F4740E"/>
    <w:rsid w:val="00F47488"/>
    <w:rsid w:val="00F4761A"/>
    <w:rsid w:val="00F476A3"/>
    <w:rsid w:val="00F47B10"/>
    <w:rsid w:val="00F47B71"/>
    <w:rsid w:val="00F47F50"/>
    <w:rsid w:val="00F5007F"/>
    <w:rsid w:val="00F500B9"/>
    <w:rsid w:val="00F50112"/>
    <w:rsid w:val="00F50251"/>
    <w:rsid w:val="00F504EE"/>
    <w:rsid w:val="00F50510"/>
    <w:rsid w:val="00F5058E"/>
    <w:rsid w:val="00F505A9"/>
    <w:rsid w:val="00F5062E"/>
    <w:rsid w:val="00F507FC"/>
    <w:rsid w:val="00F50967"/>
    <w:rsid w:val="00F509C4"/>
    <w:rsid w:val="00F50A4E"/>
    <w:rsid w:val="00F50AB7"/>
    <w:rsid w:val="00F50B49"/>
    <w:rsid w:val="00F50E4A"/>
    <w:rsid w:val="00F50E9D"/>
    <w:rsid w:val="00F510C5"/>
    <w:rsid w:val="00F51128"/>
    <w:rsid w:val="00F5126F"/>
    <w:rsid w:val="00F51412"/>
    <w:rsid w:val="00F51486"/>
    <w:rsid w:val="00F516FE"/>
    <w:rsid w:val="00F5196F"/>
    <w:rsid w:val="00F51A86"/>
    <w:rsid w:val="00F51BC1"/>
    <w:rsid w:val="00F51CB3"/>
    <w:rsid w:val="00F51FC1"/>
    <w:rsid w:val="00F520A4"/>
    <w:rsid w:val="00F52283"/>
    <w:rsid w:val="00F52474"/>
    <w:rsid w:val="00F524DA"/>
    <w:rsid w:val="00F5271B"/>
    <w:rsid w:val="00F5283A"/>
    <w:rsid w:val="00F52AA3"/>
    <w:rsid w:val="00F52C1D"/>
    <w:rsid w:val="00F52D2B"/>
    <w:rsid w:val="00F52E20"/>
    <w:rsid w:val="00F52ED0"/>
    <w:rsid w:val="00F5301B"/>
    <w:rsid w:val="00F53060"/>
    <w:rsid w:val="00F532EA"/>
    <w:rsid w:val="00F535DD"/>
    <w:rsid w:val="00F536A2"/>
    <w:rsid w:val="00F53726"/>
    <w:rsid w:val="00F537F2"/>
    <w:rsid w:val="00F53857"/>
    <w:rsid w:val="00F53997"/>
    <w:rsid w:val="00F53A3A"/>
    <w:rsid w:val="00F53B58"/>
    <w:rsid w:val="00F53C18"/>
    <w:rsid w:val="00F53C76"/>
    <w:rsid w:val="00F53CC6"/>
    <w:rsid w:val="00F53CE7"/>
    <w:rsid w:val="00F53DA7"/>
    <w:rsid w:val="00F541DF"/>
    <w:rsid w:val="00F5446D"/>
    <w:rsid w:val="00F544FF"/>
    <w:rsid w:val="00F546FB"/>
    <w:rsid w:val="00F54961"/>
    <w:rsid w:val="00F5498A"/>
    <w:rsid w:val="00F54C28"/>
    <w:rsid w:val="00F54C7F"/>
    <w:rsid w:val="00F54C8F"/>
    <w:rsid w:val="00F54C96"/>
    <w:rsid w:val="00F54D18"/>
    <w:rsid w:val="00F54D56"/>
    <w:rsid w:val="00F54DC5"/>
    <w:rsid w:val="00F54E50"/>
    <w:rsid w:val="00F54FBE"/>
    <w:rsid w:val="00F551B8"/>
    <w:rsid w:val="00F5521C"/>
    <w:rsid w:val="00F55285"/>
    <w:rsid w:val="00F552A0"/>
    <w:rsid w:val="00F554A1"/>
    <w:rsid w:val="00F55717"/>
    <w:rsid w:val="00F55751"/>
    <w:rsid w:val="00F55785"/>
    <w:rsid w:val="00F557C5"/>
    <w:rsid w:val="00F55860"/>
    <w:rsid w:val="00F558AE"/>
    <w:rsid w:val="00F558DA"/>
    <w:rsid w:val="00F55A9E"/>
    <w:rsid w:val="00F55D2C"/>
    <w:rsid w:val="00F55DD5"/>
    <w:rsid w:val="00F55E66"/>
    <w:rsid w:val="00F55F10"/>
    <w:rsid w:val="00F55F31"/>
    <w:rsid w:val="00F55FAE"/>
    <w:rsid w:val="00F56222"/>
    <w:rsid w:val="00F562BF"/>
    <w:rsid w:val="00F5647D"/>
    <w:rsid w:val="00F56522"/>
    <w:rsid w:val="00F5655D"/>
    <w:rsid w:val="00F565F6"/>
    <w:rsid w:val="00F5662A"/>
    <w:rsid w:val="00F567A5"/>
    <w:rsid w:val="00F567DE"/>
    <w:rsid w:val="00F567FC"/>
    <w:rsid w:val="00F56889"/>
    <w:rsid w:val="00F569DB"/>
    <w:rsid w:val="00F56B01"/>
    <w:rsid w:val="00F56E24"/>
    <w:rsid w:val="00F56E7E"/>
    <w:rsid w:val="00F56F1B"/>
    <w:rsid w:val="00F56FD6"/>
    <w:rsid w:val="00F5703C"/>
    <w:rsid w:val="00F570C6"/>
    <w:rsid w:val="00F571D3"/>
    <w:rsid w:val="00F572CA"/>
    <w:rsid w:val="00F5738A"/>
    <w:rsid w:val="00F574E4"/>
    <w:rsid w:val="00F57512"/>
    <w:rsid w:val="00F57E09"/>
    <w:rsid w:val="00F57E35"/>
    <w:rsid w:val="00F57F89"/>
    <w:rsid w:val="00F59716"/>
    <w:rsid w:val="00F60032"/>
    <w:rsid w:val="00F60092"/>
    <w:rsid w:val="00F601E5"/>
    <w:rsid w:val="00F6046E"/>
    <w:rsid w:val="00F605D1"/>
    <w:rsid w:val="00F60669"/>
    <w:rsid w:val="00F60717"/>
    <w:rsid w:val="00F607A5"/>
    <w:rsid w:val="00F607CE"/>
    <w:rsid w:val="00F60862"/>
    <w:rsid w:val="00F60938"/>
    <w:rsid w:val="00F609A5"/>
    <w:rsid w:val="00F60B77"/>
    <w:rsid w:val="00F60F6A"/>
    <w:rsid w:val="00F60FCB"/>
    <w:rsid w:val="00F615FF"/>
    <w:rsid w:val="00F61746"/>
    <w:rsid w:val="00F61804"/>
    <w:rsid w:val="00F61AD1"/>
    <w:rsid w:val="00F61D8A"/>
    <w:rsid w:val="00F61DA8"/>
    <w:rsid w:val="00F61DD9"/>
    <w:rsid w:val="00F61F1D"/>
    <w:rsid w:val="00F61FDD"/>
    <w:rsid w:val="00F62002"/>
    <w:rsid w:val="00F62059"/>
    <w:rsid w:val="00F62077"/>
    <w:rsid w:val="00F6210B"/>
    <w:rsid w:val="00F6221D"/>
    <w:rsid w:val="00F6230F"/>
    <w:rsid w:val="00F62396"/>
    <w:rsid w:val="00F623C8"/>
    <w:rsid w:val="00F624AB"/>
    <w:rsid w:val="00F624D1"/>
    <w:rsid w:val="00F62602"/>
    <w:rsid w:val="00F62609"/>
    <w:rsid w:val="00F626CC"/>
    <w:rsid w:val="00F62745"/>
    <w:rsid w:val="00F627D6"/>
    <w:rsid w:val="00F6294A"/>
    <w:rsid w:val="00F62ADB"/>
    <w:rsid w:val="00F62AFB"/>
    <w:rsid w:val="00F62CE5"/>
    <w:rsid w:val="00F62D3E"/>
    <w:rsid w:val="00F62E35"/>
    <w:rsid w:val="00F62E88"/>
    <w:rsid w:val="00F62EB4"/>
    <w:rsid w:val="00F62EDC"/>
    <w:rsid w:val="00F62F28"/>
    <w:rsid w:val="00F62F4B"/>
    <w:rsid w:val="00F63198"/>
    <w:rsid w:val="00F632B6"/>
    <w:rsid w:val="00F633F7"/>
    <w:rsid w:val="00F634DC"/>
    <w:rsid w:val="00F63516"/>
    <w:rsid w:val="00F6359E"/>
    <w:rsid w:val="00F635CA"/>
    <w:rsid w:val="00F63727"/>
    <w:rsid w:val="00F6382C"/>
    <w:rsid w:val="00F6387B"/>
    <w:rsid w:val="00F63966"/>
    <w:rsid w:val="00F639F6"/>
    <w:rsid w:val="00F63A7A"/>
    <w:rsid w:val="00F63ACB"/>
    <w:rsid w:val="00F63B6A"/>
    <w:rsid w:val="00F63C23"/>
    <w:rsid w:val="00F63C65"/>
    <w:rsid w:val="00F63CC1"/>
    <w:rsid w:val="00F63D16"/>
    <w:rsid w:val="00F63DF5"/>
    <w:rsid w:val="00F63FE0"/>
    <w:rsid w:val="00F6405C"/>
    <w:rsid w:val="00F6413E"/>
    <w:rsid w:val="00F64219"/>
    <w:rsid w:val="00F64221"/>
    <w:rsid w:val="00F64335"/>
    <w:rsid w:val="00F643E2"/>
    <w:rsid w:val="00F644F1"/>
    <w:rsid w:val="00F64512"/>
    <w:rsid w:val="00F6475E"/>
    <w:rsid w:val="00F647EF"/>
    <w:rsid w:val="00F64945"/>
    <w:rsid w:val="00F64AF2"/>
    <w:rsid w:val="00F64F3D"/>
    <w:rsid w:val="00F65009"/>
    <w:rsid w:val="00F65076"/>
    <w:rsid w:val="00F651E0"/>
    <w:rsid w:val="00F65329"/>
    <w:rsid w:val="00F65362"/>
    <w:rsid w:val="00F654CB"/>
    <w:rsid w:val="00F6574A"/>
    <w:rsid w:val="00F657B8"/>
    <w:rsid w:val="00F65B6E"/>
    <w:rsid w:val="00F65B89"/>
    <w:rsid w:val="00F65C31"/>
    <w:rsid w:val="00F65D58"/>
    <w:rsid w:val="00F6648D"/>
    <w:rsid w:val="00F6654A"/>
    <w:rsid w:val="00F66559"/>
    <w:rsid w:val="00F66833"/>
    <w:rsid w:val="00F66847"/>
    <w:rsid w:val="00F668C6"/>
    <w:rsid w:val="00F66A7C"/>
    <w:rsid w:val="00F66A82"/>
    <w:rsid w:val="00F66B63"/>
    <w:rsid w:val="00F66BD8"/>
    <w:rsid w:val="00F66C88"/>
    <w:rsid w:val="00F66D3A"/>
    <w:rsid w:val="00F66D61"/>
    <w:rsid w:val="00F66DAB"/>
    <w:rsid w:val="00F66E5D"/>
    <w:rsid w:val="00F67058"/>
    <w:rsid w:val="00F67294"/>
    <w:rsid w:val="00F6742E"/>
    <w:rsid w:val="00F676AB"/>
    <w:rsid w:val="00F676C2"/>
    <w:rsid w:val="00F67804"/>
    <w:rsid w:val="00F678AB"/>
    <w:rsid w:val="00F67C41"/>
    <w:rsid w:val="00F67DFF"/>
    <w:rsid w:val="00F67E4C"/>
    <w:rsid w:val="00F70045"/>
    <w:rsid w:val="00F70071"/>
    <w:rsid w:val="00F7010D"/>
    <w:rsid w:val="00F7014B"/>
    <w:rsid w:val="00F70228"/>
    <w:rsid w:val="00F7028D"/>
    <w:rsid w:val="00F702F3"/>
    <w:rsid w:val="00F70399"/>
    <w:rsid w:val="00F7043F"/>
    <w:rsid w:val="00F7055E"/>
    <w:rsid w:val="00F7059B"/>
    <w:rsid w:val="00F705BD"/>
    <w:rsid w:val="00F70945"/>
    <w:rsid w:val="00F70B2A"/>
    <w:rsid w:val="00F70CB3"/>
    <w:rsid w:val="00F70D81"/>
    <w:rsid w:val="00F70DB4"/>
    <w:rsid w:val="00F7121D"/>
    <w:rsid w:val="00F712A2"/>
    <w:rsid w:val="00F712AD"/>
    <w:rsid w:val="00F71630"/>
    <w:rsid w:val="00F7167C"/>
    <w:rsid w:val="00F71782"/>
    <w:rsid w:val="00F71870"/>
    <w:rsid w:val="00F71940"/>
    <w:rsid w:val="00F719B5"/>
    <w:rsid w:val="00F719CE"/>
    <w:rsid w:val="00F71BA3"/>
    <w:rsid w:val="00F71E3E"/>
    <w:rsid w:val="00F71E62"/>
    <w:rsid w:val="00F71EFA"/>
    <w:rsid w:val="00F71F61"/>
    <w:rsid w:val="00F721D4"/>
    <w:rsid w:val="00F72246"/>
    <w:rsid w:val="00F722EB"/>
    <w:rsid w:val="00F7246D"/>
    <w:rsid w:val="00F726AE"/>
    <w:rsid w:val="00F7275F"/>
    <w:rsid w:val="00F727AA"/>
    <w:rsid w:val="00F72877"/>
    <w:rsid w:val="00F72A84"/>
    <w:rsid w:val="00F72A95"/>
    <w:rsid w:val="00F72AC2"/>
    <w:rsid w:val="00F72B6F"/>
    <w:rsid w:val="00F72C46"/>
    <w:rsid w:val="00F72D02"/>
    <w:rsid w:val="00F72D72"/>
    <w:rsid w:val="00F72D78"/>
    <w:rsid w:val="00F72DB4"/>
    <w:rsid w:val="00F72EDD"/>
    <w:rsid w:val="00F730C5"/>
    <w:rsid w:val="00F73204"/>
    <w:rsid w:val="00F732B6"/>
    <w:rsid w:val="00F7334F"/>
    <w:rsid w:val="00F734C5"/>
    <w:rsid w:val="00F734DB"/>
    <w:rsid w:val="00F736BE"/>
    <w:rsid w:val="00F737E3"/>
    <w:rsid w:val="00F73836"/>
    <w:rsid w:val="00F73941"/>
    <w:rsid w:val="00F739E4"/>
    <w:rsid w:val="00F73CB6"/>
    <w:rsid w:val="00F73D0D"/>
    <w:rsid w:val="00F73E07"/>
    <w:rsid w:val="00F73E9B"/>
    <w:rsid w:val="00F73ECE"/>
    <w:rsid w:val="00F73ED3"/>
    <w:rsid w:val="00F73FF5"/>
    <w:rsid w:val="00F7407C"/>
    <w:rsid w:val="00F742A8"/>
    <w:rsid w:val="00F742E8"/>
    <w:rsid w:val="00F74444"/>
    <w:rsid w:val="00F74519"/>
    <w:rsid w:val="00F74536"/>
    <w:rsid w:val="00F7465B"/>
    <w:rsid w:val="00F746B2"/>
    <w:rsid w:val="00F7470E"/>
    <w:rsid w:val="00F747D5"/>
    <w:rsid w:val="00F74B2D"/>
    <w:rsid w:val="00F74B69"/>
    <w:rsid w:val="00F74E78"/>
    <w:rsid w:val="00F74F89"/>
    <w:rsid w:val="00F75000"/>
    <w:rsid w:val="00F7508E"/>
    <w:rsid w:val="00F7527A"/>
    <w:rsid w:val="00F75389"/>
    <w:rsid w:val="00F75702"/>
    <w:rsid w:val="00F75A59"/>
    <w:rsid w:val="00F75C18"/>
    <w:rsid w:val="00F75DAA"/>
    <w:rsid w:val="00F75E88"/>
    <w:rsid w:val="00F7601D"/>
    <w:rsid w:val="00F76233"/>
    <w:rsid w:val="00F763EE"/>
    <w:rsid w:val="00F764A2"/>
    <w:rsid w:val="00F76530"/>
    <w:rsid w:val="00F76A20"/>
    <w:rsid w:val="00F76C53"/>
    <w:rsid w:val="00F76C71"/>
    <w:rsid w:val="00F76CA9"/>
    <w:rsid w:val="00F76F93"/>
    <w:rsid w:val="00F77031"/>
    <w:rsid w:val="00F7709E"/>
    <w:rsid w:val="00F7714B"/>
    <w:rsid w:val="00F772FA"/>
    <w:rsid w:val="00F77336"/>
    <w:rsid w:val="00F77471"/>
    <w:rsid w:val="00F776A6"/>
    <w:rsid w:val="00F77804"/>
    <w:rsid w:val="00F77BE6"/>
    <w:rsid w:val="00F77E15"/>
    <w:rsid w:val="00F77ECC"/>
    <w:rsid w:val="00F77F30"/>
    <w:rsid w:val="00F8021E"/>
    <w:rsid w:val="00F80263"/>
    <w:rsid w:val="00F80543"/>
    <w:rsid w:val="00F80652"/>
    <w:rsid w:val="00F80759"/>
    <w:rsid w:val="00F809B3"/>
    <w:rsid w:val="00F809FE"/>
    <w:rsid w:val="00F80A21"/>
    <w:rsid w:val="00F80CD4"/>
    <w:rsid w:val="00F80DC6"/>
    <w:rsid w:val="00F80F55"/>
    <w:rsid w:val="00F80F5F"/>
    <w:rsid w:val="00F812FB"/>
    <w:rsid w:val="00F81312"/>
    <w:rsid w:val="00F8133C"/>
    <w:rsid w:val="00F81350"/>
    <w:rsid w:val="00F813C8"/>
    <w:rsid w:val="00F81432"/>
    <w:rsid w:val="00F81660"/>
    <w:rsid w:val="00F8169C"/>
    <w:rsid w:val="00F817DF"/>
    <w:rsid w:val="00F81839"/>
    <w:rsid w:val="00F81987"/>
    <w:rsid w:val="00F81B22"/>
    <w:rsid w:val="00F81C5E"/>
    <w:rsid w:val="00F81C6D"/>
    <w:rsid w:val="00F81E42"/>
    <w:rsid w:val="00F81E6A"/>
    <w:rsid w:val="00F81FF3"/>
    <w:rsid w:val="00F82176"/>
    <w:rsid w:val="00F82317"/>
    <w:rsid w:val="00F8236E"/>
    <w:rsid w:val="00F82433"/>
    <w:rsid w:val="00F82535"/>
    <w:rsid w:val="00F828F8"/>
    <w:rsid w:val="00F8292C"/>
    <w:rsid w:val="00F829B4"/>
    <w:rsid w:val="00F82AF6"/>
    <w:rsid w:val="00F82F2F"/>
    <w:rsid w:val="00F8313B"/>
    <w:rsid w:val="00F83179"/>
    <w:rsid w:val="00F8318F"/>
    <w:rsid w:val="00F83340"/>
    <w:rsid w:val="00F83490"/>
    <w:rsid w:val="00F835EE"/>
    <w:rsid w:val="00F836D8"/>
    <w:rsid w:val="00F8375C"/>
    <w:rsid w:val="00F83913"/>
    <w:rsid w:val="00F83973"/>
    <w:rsid w:val="00F83A2F"/>
    <w:rsid w:val="00F83ABC"/>
    <w:rsid w:val="00F83AD0"/>
    <w:rsid w:val="00F83AF4"/>
    <w:rsid w:val="00F83CE5"/>
    <w:rsid w:val="00F83DD4"/>
    <w:rsid w:val="00F83FE3"/>
    <w:rsid w:val="00F84164"/>
    <w:rsid w:val="00F84202"/>
    <w:rsid w:val="00F84442"/>
    <w:rsid w:val="00F844B6"/>
    <w:rsid w:val="00F845D1"/>
    <w:rsid w:val="00F8461D"/>
    <w:rsid w:val="00F84749"/>
    <w:rsid w:val="00F84884"/>
    <w:rsid w:val="00F848F1"/>
    <w:rsid w:val="00F84A0C"/>
    <w:rsid w:val="00F84ACA"/>
    <w:rsid w:val="00F84B1F"/>
    <w:rsid w:val="00F84B8E"/>
    <w:rsid w:val="00F84D28"/>
    <w:rsid w:val="00F84F03"/>
    <w:rsid w:val="00F850B5"/>
    <w:rsid w:val="00F852F8"/>
    <w:rsid w:val="00F8532C"/>
    <w:rsid w:val="00F85729"/>
    <w:rsid w:val="00F8598B"/>
    <w:rsid w:val="00F85DF8"/>
    <w:rsid w:val="00F85E56"/>
    <w:rsid w:val="00F85F4B"/>
    <w:rsid w:val="00F85FCF"/>
    <w:rsid w:val="00F8601D"/>
    <w:rsid w:val="00F86135"/>
    <w:rsid w:val="00F863C4"/>
    <w:rsid w:val="00F8652B"/>
    <w:rsid w:val="00F8669E"/>
    <w:rsid w:val="00F869EA"/>
    <w:rsid w:val="00F86A7C"/>
    <w:rsid w:val="00F86B12"/>
    <w:rsid w:val="00F86B8E"/>
    <w:rsid w:val="00F86C65"/>
    <w:rsid w:val="00F86CED"/>
    <w:rsid w:val="00F86DBF"/>
    <w:rsid w:val="00F86DE1"/>
    <w:rsid w:val="00F86F36"/>
    <w:rsid w:val="00F86F48"/>
    <w:rsid w:val="00F86FC1"/>
    <w:rsid w:val="00F87192"/>
    <w:rsid w:val="00F8722D"/>
    <w:rsid w:val="00F872BE"/>
    <w:rsid w:val="00F873F6"/>
    <w:rsid w:val="00F87476"/>
    <w:rsid w:val="00F87486"/>
    <w:rsid w:val="00F8754F"/>
    <w:rsid w:val="00F87667"/>
    <w:rsid w:val="00F87770"/>
    <w:rsid w:val="00F8778D"/>
    <w:rsid w:val="00F878F3"/>
    <w:rsid w:val="00F879FC"/>
    <w:rsid w:val="00F87A7E"/>
    <w:rsid w:val="00F87AF8"/>
    <w:rsid w:val="00F87BD7"/>
    <w:rsid w:val="00F87EC3"/>
    <w:rsid w:val="00F87EF7"/>
    <w:rsid w:val="00F90002"/>
    <w:rsid w:val="00F90054"/>
    <w:rsid w:val="00F900EB"/>
    <w:rsid w:val="00F90190"/>
    <w:rsid w:val="00F903E5"/>
    <w:rsid w:val="00F904F4"/>
    <w:rsid w:val="00F90544"/>
    <w:rsid w:val="00F90828"/>
    <w:rsid w:val="00F90AFA"/>
    <w:rsid w:val="00F90C81"/>
    <w:rsid w:val="00F90DB2"/>
    <w:rsid w:val="00F90E32"/>
    <w:rsid w:val="00F910EB"/>
    <w:rsid w:val="00F91130"/>
    <w:rsid w:val="00F9118B"/>
    <w:rsid w:val="00F91194"/>
    <w:rsid w:val="00F9121E"/>
    <w:rsid w:val="00F912C0"/>
    <w:rsid w:val="00F91471"/>
    <w:rsid w:val="00F91563"/>
    <w:rsid w:val="00F9163D"/>
    <w:rsid w:val="00F916BB"/>
    <w:rsid w:val="00F917FA"/>
    <w:rsid w:val="00F919D3"/>
    <w:rsid w:val="00F91AEC"/>
    <w:rsid w:val="00F91CC1"/>
    <w:rsid w:val="00F91CD5"/>
    <w:rsid w:val="00F91E6F"/>
    <w:rsid w:val="00F92066"/>
    <w:rsid w:val="00F92136"/>
    <w:rsid w:val="00F9219E"/>
    <w:rsid w:val="00F92236"/>
    <w:rsid w:val="00F92465"/>
    <w:rsid w:val="00F92715"/>
    <w:rsid w:val="00F92B4C"/>
    <w:rsid w:val="00F92B76"/>
    <w:rsid w:val="00F92BDA"/>
    <w:rsid w:val="00F92C0F"/>
    <w:rsid w:val="00F92C84"/>
    <w:rsid w:val="00F92CE8"/>
    <w:rsid w:val="00F93004"/>
    <w:rsid w:val="00F931E9"/>
    <w:rsid w:val="00F93238"/>
    <w:rsid w:val="00F93281"/>
    <w:rsid w:val="00F93525"/>
    <w:rsid w:val="00F93539"/>
    <w:rsid w:val="00F935AF"/>
    <w:rsid w:val="00F936DA"/>
    <w:rsid w:val="00F93D29"/>
    <w:rsid w:val="00F93D52"/>
    <w:rsid w:val="00F93DE2"/>
    <w:rsid w:val="00F93E32"/>
    <w:rsid w:val="00F941C5"/>
    <w:rsid w:val="00F94219"/>
    <w:rsid w:val="00F94289"/>
    <w:rsid w:val="00F943DE"/>
    <w:rsid w:val="00F9446C"/>
    <w:rsid w:val="00F944E8"/>
    <w:rsid w:val="00F9468B"/>
    <w:rsid w:val="00F94725"/>
    <w:rsid w:val="00F94798"/>
    <w:rsid w:val="00F94877"/>
    <w:rsid w:val="00F94954"/>
    <w:rsid w:val="00F94D95"/>
    <w:rsid w:val="00F94EA8"/>
    <w:rsid w:val="00F94EB1"/>
    <w:rsid w:val="00F94FF3"/>
    <w:rsid w:val="00F95077"/>
    <w:rsid w:val="00F9507A"/>
    <w:rsid w:val="00F956ED"/>
    <w:rsid w:val="00F957AD"/>
    <w:rsid w:val="00F95996"/>
    <w:rsid w:val="00F95A36"/>
    <w:rsid w:val="00F95BE7"/>
    <w:rsid w:val="00F95E3B"/>
    <w:rsid w:val="00F95F43"/>
    <w:rsid w:val="00F95F51"/>
    <w:rsid w:val="00F95F64"/>
    <w:rsid w:val="00F95F8A"/>
    <w:rsid w:val="00F95FB3"/>
    <w:rsid w:val="00F9696A"/>
    <w:rsid w:val="00F96A45"/>
    <w:rsid w:val="00F96A62"/>
    <w:rsid w:val="00F96B07"/>
    <w:rsid w:val="00F96B36"/>
    <w:rsid w:val="00F96CCB"/>
    <w:rsid w:val="00F96F7C"/>
    <w:rsid w:val="00F97164"/>
    <w:rsid w:val="00F97218"/>
    <w:rsid w:val="00F974F4"/>
    <w:rsid w:val="00F97679"/>
    <w:rsid w:val="00F9770B"/>
    <w:rsid w:val="00F97778"/>
    <w:rsid w:val="00F97C23"/>
    <w:rsid w:val="00F97CF8"/>
    <w:rsid w:val="00F97D42"/>
    <w:rsid w:val="00F97E80"/>
    <w:rsid w:val="00FA010C"/>
    <w:rsid w:val="00FA025A"/>
    <w:rsid w:val="00FA0337"/>
    <w:rsid w:val="00FA0472"/>
    <w:rsid w:val="00FA051B"/>
    <w:rsid w:val="00FA0665"/>
    <w:rsid w:val="00FA068D"/>
    <w:rsid w:val="00FA06C5"/>
    <w:rsid w:val="00FA06F4"/>
    <w:rsid w:val="00FA078A"/>
    <w:rsid w:val="00FA07DB"/>
    <w:rsid w:val="00FA07F6"/>
    <w:rsid w:val="00FA0B1F"/>
    <w:rsid w:val="00FA0BCC"/>
    <w:rsid w:val="00FA0C51"/>
    <w:rsid w:val="00FA0C9A"/>
    <w:rsid w:val="00FA0CD6"/>
    <w:rsid w:val="00FA0E59"/>
    <w:rsid w:val="00FA0E5A"/>
    <w:rsid w:val="00FA0F26"/>
    <w:rsid w:val="00FA0F8A"/>
    <w:rsid w:val="00FA0FEC"/>
    <w:rsid w:val="00FA10A0"/>
    <w:rsid w:val="00FA10ED"/>
    <w:rsid w:val="00FA11A4"/>
    <w:rsid w:val="00FA1217"/>
    <w:rsid w:val="00FA1387"/>
    <w:rsid w:val="00FA144B"/>
    <w:rsid w:val="00FA1549"/>
    <w:rsid w:val="00FA15F2"/>
    <w:rsid w:val="00FA161E"/>
    <w:rsid w:val="00FA1636"/>
    <w:rsid w:val="00FA17C1"/>
    <w:rsid w:val="00FA18C5"/>
    <w:rsid w:val="00FA1A32"/>
    <w:rsid w:val="00FA1B6E"/>
    <w:rsid w:val="00FA1C32"/>
    <w:rsid w:val="00FA1D0F"/>
    <w:rsid w:val="00FA1DD2"/>
    <w:rsid w:val="00FA1F33"/>
    <w:rsid w:val="00FA2067"/>
    <w:rsid w:val="00FA224E"/>
    <w:rsid w:val="00FA2378"/>
    <w:rsid w:val="00FA2401"/>
    <w:rsid w:val="00FA2466"/>
    <w:rsid w:val="00FA24D5"/>
    <w:rsid w:val="00FA25F8"/>
    <w:rsid w:val="00FA2607"/>
    <w:rsid w:val="00FA2613"/>
    <w:rsid w:val="00FA286E"/>
    <w:rsid w:val="00FA2ADD"/>
    <w:rsid w:val="00FA2B16"/>
    <w:rsid w:val="00FA2BF7"/>
    <w:rsid w:val="00FA2D22"/>
    <w:rsid w:val="00FA2D8D"/>
    <w:rsid w:val="00FA2F93"/>
    <w:rsid w:val="00FA30AB"/>
    <w:rsid w:val="00FA321A"/>
    <w:rsid w:val="00FA3258"/>
    <w:rsid w:val="00FA3491"/>
    <w:rsid w:val="00FA34E4"/>
    <w:rsid w:val="00FA358E"/>
    <w:rsid w:val="00FA35F0"/>
    <w:rsid w:val="00FA37B2"/>
    <w:rsid w:val="00FA38CC"/>
    <w:rsid w:val="00FA3A40"/>
    <w:rsid w:val="00FA3AD4"/>
    <w:rsid w:val="00FA3CD4"/>
    <w:rsid w:val="00FA3EE3"/>
    <w:rsid w:val="00FA3F99"/>
    <w:rsid w:val="00FA3FA3"/>
    <w:rsid w:val="00FA4063"/>
    <w:rsid w:val="00FA408D"/>
    <w:rsid w:val="00FA41CA"/>
    <w:rsid w:val="00FA4212"/>
    <w:rsid w:val="00FA42D7"/>
    <w:rsid w:val="00FA4379"/>
    <w:rsid w:val="00FA4381"/>
    <w:rsid w:val="00FA4384"/>
    <w:rsid w:val="00FA44B5"/>
    <w:rsid w:val="00FA4561"/>
    <w:rsid w:val="00FA465E"/>
    <w:rsid w:val="00FA4676"/>
    <w:rsid w:val="00FA46FF"/>
    <w:rsid w:val="00FA4859"/>
    <w:rsid w:val="00FA48D2"/>
    <w:rsid w:val="00FA4B35"/>
    <w:rsid w:val="00FA4B60"/>
    <w:rsid w:val="00FA5054"/>
    <w:rsid w:val="00FA5080"/>
    <w:rsid w:val="00FA5564"/>
    <w:rsid w:val="00FA5573"/>
    <w:rsid w:val="00FA557F"/>
    <w:rsid w:val="00FA5637"/>
    <w:rsid w:val="00FA56E2"/>
    <w:rsid w:val="00FA5890"/>
    <w:rsid w:val="00FA5954"/>
    <w:rsid w:val="00FA5BB1"/>
    <w:rsid w:val="00FA5DFE"/>
    <w:rsid w:val="00FA60CF"/>
    <w:rsid w:val="00FA6124"/>
    <w:rsid w:val="00FA614F"/>
    <w:rsid w:val="00FA6178"/>
    <w:rsid w:val="00FA61E8"/>
    <w:rsid w:val="00FA683D"/>
    <w:rsid w:val="00FA6B69"/>
    <w:rsid w:val="00FA6C52"/>
    <w:rsid w:val="00FA6C6A"/>
    <w:rsid w:val="00FA71A5"/>
    <w:rsid w:val="00FA71D2"/>
    <w:rsid w:val="00FA7395"/>
    <w:rsid w:val="00FA7451"/>
    <w:rsid w:val="00FA7485"/>
    <w:rsid w:val="00FA74EE"/>
    <w:rsid w:val="00FA75D2"/>
    <w:rsid w:val="00FA784F"/>
    <w:rsid w:val="00FA7878"/>
    <w:rsid w:val="00FA7BEB"/>
    <w:rsid w:val="00FA7C6A"/>
    <w:rsid w:val="00FA7D9A"/>
    <w:rsid w:val="00FA7DD2"/>
    <w:rsid w:val="00FA7DE6"/>
    <w:rsid w:val="00FB00FE"/>
    <w:rsid w:val="00FB01BF"/>
    <w:rsid w:val="00FB0534"/>
    <w:rsid w:val="00FB0575"/>
    <w:rsid w:val="00FB0613"/>
    <w:rsid w:val="00FB06A1"/>
    <w:rsid w:val="00FB08A9"/>
    <w:rsid w:val="00FB08BC"/>
    <w:rsid w:val="00FB08BF"/>
    <w:rsid w:val="00FB0915"/>
    <w:rsid w:val="00FB09B5"/>
    <w:rsid w:val="00FB0A31"/>
    <w:rsid w:val="00FB0B4C"/>
    <w:rsid w:val="00FB0C47"/>
    <w:rsid w:val="00FB0CA8"/>
    <w:rsid w:val="00FB0D75"/>
    <w:rsid w:val="00FB0E4D"/>
    <w:rsid w:val="00FB0FA3"/>
    <w:rsid w:val="00FB1085"/>
    <w:rsid w:val="00FB1168"/>
    <w:rsid w:val="00FB136B"/>
    <w:rsid w:val="00FB1747"/>
    <w:rsid w:val="00FB187B"/>
    <w:rsid w:val="00FB18BA"/>
    <w:rsid w:val="00FB1921"/>
    <w:rsid w:val="00FB1961"/>
    <w:rsid w:val="00FB19CC"/>
    <w:rsid w:val="00FB1AC0"/>
    <w:rsid w:val="00FB1B62"/>
    <w:rsid w:val="00FB1C21"/>
    <w:rsid w:val="00FB1CB0"/>
    <w:rsid w:val="00FB1CC6"/>
    <w:rsid w:val="00FB1D36"/>
    <w:rsid w:val="00FB1EFB"/>
    <w:rsid w:val="00FB1F45"/>
    <w:rsid w:val="00FB2176"/>
    <w:rsid w:val="00FB2180"/>
    <w:rsid w:val="00FB21B7"/>
    <w:rsid w:val="00FB2346"/>
    <w:rsid w:val="00FB23E6"/>
    <w:rsid w:val="00FB2465"/>
    <w:rsid w:val="00FB2582"/>
    <w:rsid w:val="00FB25AB"/>
    <w:rsid w:val="00FB26E3"/>
    <w:rsid w:val="00FB271A"/>
    <w:rsid w:val="00FB28CF"/>
    <w:rsid w:val="00FB2A2C"/>
    <w:rsid w:val="00FB2BD1"/>
    <w:rsid w:val="00FB2ED4"/>
    <w:rsid w:val="00FB2EE6"/>
    <w:rsid w:val="00FB32E6"/>
    <w:rsid w:val="00FB3407"/>
    <w:rsid w:val="00FB34F8"/>
    <w:rsid w:val="00FB3795"/>
    <w:rsid w:val="00FB37DE"/>
    <w:rsid w:val="00FB38CD"/>
    <w:rsid w:val="00FB3908"/>
    <w:rsid w:val="00FB3BD9"/>
    <w:rsid w:val="00FB3D0B"/>
    <w:rsid w:val="00FB3F7B"/>
    <w:rsid w:val="00FB3F9F"/>
    <w:rsid w:val="00FB41A2"/>
    <w:rsid w:val="00FB41DE"/>
    <w:rsid w:val="00FB4264"/>
    <w:rsid w:val="00FB44C8"/>
    <w:rsid w:val="00FB44D9"/>
    <w:rsid w:val="00FB4825"/>
    <w:rsid w:val="00FB484B"/>
    <w:rsid w:val="00FB488A"/>
    <w:rsid w:val="00FB4923"/>
    <w:rsid w:val="00FB4997"/>
    <w:rsid w:val="00FB4AFF"/>
    <w:rsid w:val="00FB4B62"/>
    <w:rsid w:val="00FB4DEC"/>
    <w:rsid w:val="00FB4FEC"/>
    <w:rsid w:val="00FB4FED"/>
    <w:rsid w:val="00FB5179"/>
    <w:rsid w:val="00FB5300"/>
    <w:rsid w:val="00FB557D"/>
    <w:rsid w:val="00FB5876"/>
    <w:rsid w:val="00FB5A6C"/>
    <w:rsid w:val="00FB5B49"/>
    <w:rsid w:val="00FB5BD2"/>
    <w:rsid w:val="00FB5C17"/>
    <w:rsid w:val="00FB5C60"/>
    <w:rsid w:val="00FB5D33"/>
    <w:rsid w:val="00FB5D4F"/>
    <w:rsid w:val="00FB5DF7"/>
    <w:rsid w:val="00FB5E8A"/>
    <w:rsid w:val="00FB5EC1"/>
    <w:rsid w:val="00FB5ED5"/>
    <w:rsid w:val="00FB5F62"/>
    <w:rsid w:val="00FB5F6B"/>
    <w:rsid w:val="00FB5FB9"/>
    <w:rsid w:val="00FB5FE6"/>
    <w:rsid w:val="00FB6127"/>
    <w:rsid w:val="00FB614A"/>
    <w:rsid w:val="00FB6539"/>
    <w:rsid w:val="00FB655D"/>
    <w:rsid w:val="00FB6696"/>
    <w:rsid w:val="00FB6789"/>
    <w:rsid w:val="00FB679B"/>
    <w:rsid w:val="00FB6A90"/>
    <w:rsid w:val="00FB6BAA"/>
    <w:rsid w:val="00FB6BAE"/>
    <w:rsid w:val="00FB6E28"/>
    <w:rsid w:val="00FB6FE6"/>
    <w:rsid w:val="00FB7360"/>
    <w:rsid w:val="00FB7772"/>
    <w:rsid w:val="00FB79EF"/>
    <w:rsid w:val="00FB7A16"/>
    <w:rsid w:val="00FB7AA1"/>
    <w:rsid w:val="00FB7BF2"/>
    <w:rsid w:val="00FB7C27"/>
    <w:rsid w:val="00FB7DB5"/>
    <w:rsid w:val="00FC002B"/>
    <w:rsid w:val="00FC0095"/>
    <w:rsid w:val="00FC03A0"/>
    <w:rsid w:val="00FC0553"/>
    <w:rsid w:val="00FC0804"/>
    <w:rsid w:val="00FC0AC8"/>
    <w:rsid w:val="00FC1008"/>
    <w:rsid w:val="00FC1160"/>
    <w:rsid w:val="00FC14CA"/>
    <w:rsid w:val="00FC159B"/>
    <w:rsid w:val="00FC1954"/>
    <w:rsid w:val="00FC1986"/>
    <w:rsid w:val="00FC1B7B"/>
    <w:rsid w:val="00FC2018"/>
    <w:rsid w:val="00FC2113"/>
    <w:rsid w:val="00FC21D4"/>
    <w:rsid w:val="00FC2695"/>
    <w:rsid w:val="00FC27B3"/>
    <w:rsid w:val="00FC27E6"/>
    <w:rsid w:val="00FC2830"/>
    <w:rsid w:val="00FC2847"/>
    <w:rsid w:val="00FC28A6"/>
    <w:rsid w:val="00FC2947"/>
    <w:rsid w:val="00FC2BC1"/>
    <w:rsid w:val="00FC2C0D"/>
    <w:rsid w:val="00FC2D26"/>
    <w:rsid w:val="00FC2EA1"/>
    <w:rsid w:val="00FC2F04"/>
    <w:rsid w:val="00FC3022"/>
    <w:rsid w:val="00FC32DF"/>
    <w:rsid w:val="00FC34FA"/>
    <w:rsid w:val="00FC378C"/>
    <w:rsid w:val="00FC380C"/>
    <w:rsid w:val="00FC3848"/>
    <w:rsid w:val="00FC38D5"/>
    <w:rsid w:val="00FC38EB"/>
    <w:rsid w:val="00FC3973"/>
    <w:rsid w:val="00FC3AF5"/>
    <w:rsid w:val="00FC3B5C"/>
    <w:rsid w:val="00FC3C2E"/>
    <w:rsid w:val="00FC3E4B"/>
    <w:rsid w:val="00FC3E50"/>
    <w:rsid w:val="00FC3E60"/>
    <w:rsid w:val="00FC3F22"/>
    <w:rsid w:val="00FC3F6F"/>
    <w:rsid w:val="00FC4110"/>
    <w:rsid w:val="00FC414F"/>
    <w:rsid w:val="00FC43F6"/>
    <w:rsid w:val="00FC450E"/>
    <w:rsid w:val="00FC45D2"/>
    <w:rsid w:val="00FC4628"/>
    <w:rsid w:val="00FC4858"/>
    <w:rsid w:val="00FC4916"/>
    <w:rsid w:val="00FC4A0A"/>
    <w:rsid w:val="00FC4B29"/>
    <w:rsid w:val="00FC4C66"/>
    <w:rsid w:val="00FC4DE7"/>
    <w:rsid w:val="00FC5086"/>
    <w:rsid w:val="00FC5153"/>
    <w:rsid w:val="00FC54BC"/>
    <w:rsid w:val="00FC5687"/>
    <w:rsid w:val="00FC56C7"/>
    <w:rsid w:val="00FC579B"/>
    <w:rsid w:val="00FC595E"/>
    <w:rsid w:val="00FC5B64"/>
    <w:rsid w:val="00FC5BC3"/>
    <w:rsid w:val="00FC5CF5"/>
    <w:rsid w:val="00FC6028"/>
    <w:rsid w:val="00FC6097"/>
    <w:rsid w:val="00FC6103"/>
    <w:rsid w:val="00FC652D"/>
    <w:rsid w:val="00FC656D"/>
    <w:rsid w:val="00FC659E"/>
    <w:rsid w:val="00FC66E6"/>
    <w:rsid w:val="00FC673A"/>
    <w:rsid w:val="00FC6A1C"/>
    <w:rsid w:val="00FC6B0A"/>
    <w:rsid w:val="00FC6D3D"/>
    <w:rsid w:val="00FC6DDA"/>
    <w:rsid w:val="00FC6DEA"/>
    <w:rsid w:val="00FC700A"/>
    <w:rsid w:val="00FC7097"/>
    <w:rsid w:val="00FC70CC"/>
    <w:rsid w:val="00FC7162"/>
    <w:rsid w:val="00FC7241"/>
    <w:rsid w:val="00FC7404"/>
    <w:rsid w:val="00FC7415"/>
    <w:rsid w:val="00FC7694"/>
    <w:rsid w:val="00FC77B0"/>
    <w:rsid w:val="00FC7825"/>
    <w:rsid w:val="00FC78D6"/>
    <w:rsid w:val="00FC799F"/>
    <w:rsid w:val="00FC7AA3"/>
    <w:rsid w:val="00FC7C36"/>
    <w:rsid w:val="00FC7D87"/>
    <w:rsid w:val="00FC7E3D"/>
    <w:rsid w:val="00FC7E4C"/>
    <w:rsid w:val="00FC7E70"/>
    <w:rsid w:val="00FC7ECB"/>
    <w:rsid w:val="00FD0081"/>
    <w:rsid w:val="00FD0100"/>
    <w:rsid w:val="00FD0145"/>
    <w:rsid w:val="00FD0198"/>
    <w:rsid w:val="00FD01D9"/>
    <w:rsid w:val="00FD01E7"/>
    <w:rsid w:val="00FD03FB"/>
    <w:rsid w:val="00FD04EB"/>
    <w:rsid w:val="00FD0576"/>
    <w:rsid w:val="00FD05F1"/>
    <w:rsid w:val="00FD07BE"/>
    <w:rsid w:val="00FD093E"/>
    <w:rsid w:val="00FD0988"/>
    <w:rsid w:val="00FD09FC"/>
    <w:rsid w:val="00FD0C46"/>
    <w:rsid w:val="00FD0CCA"/>
    <w:rsid w:val="00FD0CDB"/>
    <w:rsid w:val="00FD0D91"/>
    <w:rsid w:val="00FD0DE2"/>
    <w:rsid w:val="00FD0EEC"/>
    <w:rsid w:val="00FD0F2A"/>
    <w:rsid w:val="00FD0FCC"/>
    <w:rsid w:val="00FD138D"/>
    <w:rsid w:val="00FD15DA"/>
    <w:rsid w:val="00FD1920"/>
    <w:rsid w:val="00FD1984"/>
    <w:rsid w:val="00FD19AE"/>
    <w:rsid w:val="00FD1A2E"/>
    <w:rsid w:val="00FD1A42"/>
    <w:rsid w:val="00FD1AC3"/>
    <w:rsid w:val="00FD1C3D"/>
    <w:rsid w:val="00FD1D58"/>
    <w:rsid w:val="00FD1D62"/>
    <w:rsid w:val="00FD210C"/>
    <w:rsid w:val="00FD22C3"/>
    <w:rsid w:val="00FD2397"/>
    <w:rsid w:val="00FD23F1"/>
    <w:rsid w:val="00FD2674"/>
    <w:rsid w:val="00FD2807"/>
    <w:rsid w:val="00FD280C"/>
    <w:rsid w:val="00FD289B"/>
    <w:rsid w:val="00FD2A9E"/>
    <w:rsid w:val="00FD2CAF"/>
    <w:rsid w:val="00FD2E81"/>
    <w:rsid w:val="00FD2EB2"/>
    <w:rsid w:val="00FD2ED2"/>
    <w:rsid w:val="00FD2F11"/>
    <w:rsid w:val="00FD30CD"/>
    <w:rsid w:val="00FD3262"/>
    <w:rsid w:val="00FD333A"/>
    <w:rsid w:val="00FD346B"/>
    <w:rsid w:val="00FD36CA"/>
    <w:rsid w:val="00FD376B"/>
    <w:rsid w:val="00FD38C8"/>
    <w:rsid w:val="00FD3991"/>
    <w:rsid w:val="00FD3B0E"/>
    <w:rsid w:val="00FD3B52"/>
    <w:rsid w:val="00FD3C29"/>
    <w:rsid w:val="00FD3C67"/>
    <w:rsid w:val="00FD3CA4"/>
    <w:rsid w:val="00FD3E9E"/>
    <w:rsid w:val="00FD3F68"/>
    <w:rsid w:val="00FD4075"/>
    <w:rsid w:val="00FD43D1"/>
    <w:rsid w:val="00FD450E"/>
    <w:rsid w:val="00FD46F6"/>
    <w:rsid w:val="00FD4738"/>
    <w:rsid w:val="00FD47DB"/>
    <w:rsid w:val="00FD47F3"/>
    <w:rsid w:val="00FD47F6"/>
    <w:rsid w:val="00FD48C9"/>
    <w:rsid w:val="00FD4B74"/>
    <w:rsid w:val="00FD4CCC"/>
    <w:rsid w:val="00FD4DC6"/>
    <w:rsid w:val="00FD4EBB"/>
    <w:rsid w:val="00FD4FE7"/>
    <w:rsid w:val="00FD5160"/>
    <w:rsid w:val="00FD51F1"/>
    <w:rsid w:val="00FD522E"/>
    <w:rsid w:val="00FD560A"/>
    <w:rsid w:val="00FD5967"/>
    <w:rsid w:val="00FD5B08"/>
    <w:rsid w:val="00FD5B6C"/>
    <w:rsid w:val="00FD5B6D"/>
    <w:rsid w:val="00FD5F41"/>
    <w:rsid w:val="00FD5FEF"/>
    <w:rsid w:val="00FD60AC"/>
    <w:rsid w:val="00FD617A"/>
    <w:rsid w:val="00FD6298"/>
    <w:rsid w:val="00FD62BB"/>
    <w:rsid w:val="00FD656C"/>
    <w:rsid w:val="00FD676B"/>
    <w:rsid w:val="00FD689E"/>
    <w:rsid w:val="00FD68CC"/>
    <w:rsid w:val="00FD6928"/>
    <w:rsid w:val="00FD6ABD"/>
    <w:rsid w:val="00FD6B76"/>
    <w:rsid w:val="00FD6EE9"/>
    <w:rsid w:val="00FD6F3E"/>
    <w:rsid w:val="00FD703C"/>
    <w:rsid w:val="00FD715B"/>
    <w:rsid w:val="00FD721E"/>
    <w:rsid w:val="00FD7412"/>
    <w:rsid w:val="00FD777F"/>
    <w:rsid w:val="00FD7780"/>
    <w:rsid w:val="00FD7832"/>
    <w:rsid w:val="00FD7857"/>
    <w:rsid w:val="00FD7B7A"/>
    <w:rsid w:val="00FD7C60"/>
    <w:rsid w:val="00FD7F90"/>
    <w:rsid w:val="00FD7FF7"/>
    <w:rsid w:val="00FE06E8"/>
    <w:rsid w:val="00FE0906"/>
    <w:rsid w:val="00FE0A27"/>
    <w:rsid w:val="00FE0D1F"/>
    <w:rsid w:val="00FE0D4F"/>
    <w:rsid w:val="00FE0F17"/>
    <w:rsid w:val="00FE10CF"/>
    <w:rsid w:val="00FE1299"/>
    <w:rsid w:val="00FE12ED"/>
    <w:rsid w:val="00FE13B2"/>
    <w:rsid w:val="00FE16B8"/>
    <w:rsid w:val="00FE1936"/>
    <w:rsid w:val="00FE197E"/>
    <w:rsid w:val="00FE1AD3"/>
    <w:rsid w:val="00FE1DA3"/>
    <w:rsid w:val="00FE1E6D"/>
    <w:rsid w:val="00FE1EF5"/>
    <w:rsid w:val="00FE1FE6"/>
    <w:rsid w:val="00FE2012"/>
    <w:rsid w:val="00FE2060"/>
    <w:rsid w:val="00FE2200"/>
    <w:rsid w:val="00FE2208"/>
    <w:rsid w:val="00FE2394"/>
    <w:rsid w:val="00FE2444"/>
    <w:rsid w:val="00FE2521"/>
    <w:rsid w:val="00FE2611"/>
    <w:rsid w:val="00FE26E1"/>
    <w:rsid w:val="00FE280A"/>
    <w:rsid w:val="00FE282B"/>
    <w:rsid w:val="00FE29DB"/>
    <w:rsid w:val="00FE2BB0"/>
    <w:rsid w:val="00FE303E"/>
    <w:rsid w:val="00FE3058"/>
    <w:rsid w:val="00FE3532"/>
    <w:rsid w:val="00FE371B"/>
    <w:rsid w:val="00FE37C2"/>
    <w:rsid w:val="00FE3840"/>
    <w:rsid w:val="00FE39B0"/>
    <w:rsid w:val="00FE3BAA"/>
    <w:rsid w:val="00FE3ED1"/>
    <w:rsid w:val="00FE40C3"/>
    <w:rsid w:val="00FE40E1"/>
    <w:rsid w:val="00FE4217"/>
    <w:rsid w:val="00FE428D"/>
    <w:rsid w:val="00FE42E4"/>
    <w:rsid w:val="00FE43A1"/>
    <w:rsid w:val="00FE44DF"/>
    <w:rsid w:val="00FE470B"/>
    <w:rsid w:val="00FE472C"/>
    <w:rsid w:val="00FE4864"/>
    <w:rsid w:val="00FE4B90"/>
    <w:rsid w:val="00FE4C29"/>
    <w:rsid w:val="00FE4C44"/>
    <w:rsid w:val="00FE4C72"/>
    <w:rsid w:val="00FE4E1B"/>
    <w:rsid w:val="00FE4E93"/>
    <w:rsid w:val="00FE4F49"/>
    <w:rsid w:val="00FE4FD8"/>
    <w:rsid w:val="00FE5294"/>
    <w:rsid w:val="00FE5383"/>
    <w:rsid w:val="00FE55A6"/>
    <w:rsid w:val="00FE56BB"/>
    <w:rsid w:val="00FE5790"/>
    <w:rsid w:val="00FE5829"/>
    <w:rsid w:val="00FE590B"/>
    <w:rsid w:val="00FE594A"/>
    <w:rsid w:val="00FE5C8C"/>
    <w:rsid w:val="00FE5DB6"/>
    <w:rsid w:val="00FE6135"/>
    <w:rsid w:val="00FE6565"/>
    <w:rsid w:val="00FE6700"/>
    <w:rsid w:val="00FE68D1"/>
    <w:rsid w:val="00FE69F6"/>
    <w:rsid w:val="00FE6D65"/>
    <w:rsid w:val="00FE6D66"/>
    <w:rsid w:val="00FE6EC6"/>
    <w:rsid w:val="00FE6FA0"/>
    <w:rsid w:val="00FE704D"/>
    <w:rsid w:val="00FE7278"/>
    <w:rsid w:val="00FE7347"/>
    <w:rsid w:val="00FE74F3"/>
    <w:rsid w:val="00FE77B0"/>
    <w:rsid w:val="00FE77DA"/>
    <w:rsid w:val="00FE7842"/>
    <w:rsid w:val="00FE7A3B"/>
    <w:rsid w:val="00FE7AD9"/>
    <w:rsid w:val="00FE7C13"/>
    <w:rsid w:val="00FE7D03"/>
    <w:rsid w:val="00FE7D58"/>
    <w:rsid w:val="00FE7D78"/>
    <w:rsid w:val="00FE7E20"/>
    <w:rsid w:val="00FF019D"/>
    <w:rsid w:val="00FF02BD"/>
    <w:rsid w:val="00FF03B9"/>
    <w:rsid w:val="00FF0432"/>
    <w:rsid w:val="00FF0590"/>
    <w:rsid w:val="00FF05F3"/>
    <w:rsid w:val="00FF0705"/>
    <w:rsid w:val="00FF08DE"/>
    <w:rsid w:val="00FF099B"/>
    <w:rsid w:val="00FF0AD2"/>
    <w:rsid w:val="00FF0C3F"/>
    <w:rsid w:val="00FF0DCD"/>
    <w:rsid w:val="00FF0F60"/>
    <w:rsid w:val="00FF10EC"/>
    <w:rsid w:val="00FF1334"/>
    <w:rsid w:val="00FF1390"/>
    <w:rsid w:val="00FF1717"/>
    <w:rsid w:val="00FF1738"/>
    <w:rsid w:val="00FF18F8"/>
    <w:rsid w:val="00FF1A6D"/>
    <w:rsid w:val="00FF1A9F"/>
    <w:rsid w:val="00FF1C85"/>
    <w:rsid w:val="00FF1CA5"/>
    <w:rsid w:val="00FF1CD7"/>
    <w:rsid w:val="00FF1D57"/>
    <w:rsid w:val="00FF1E2F"/>
    <w:rsid w:val="00FF211E"/>
    <w:rsid w:val="00FF2583"/>
    <w:rsid w:val="00FF2640"/>
    <w:rsid w:val="00FF266A"/>
    <w:rsid w:val="00FF2716"/>
    <w:rsid w:val="00FF28F0"/>
    <w:rsid w:val="00FF2983"/>
    <w:rsid w:val="00FF29B0"/>
    <w:rsid w:val="00FF29F4"/>
    <w:rsid w:val="00FF2A23"/>
    <w:rsid w:val="00FF2AB8"/>
    <w:rsid w:val="00FF2BE7"/>
    <w:rsid w:val="00FF2C85"/>
    <w:rsid w:val="00FF2CB0"/>
    <w:rsid w:val="00FF2D8D"/>
    <w:rsid w:val="00FF2DF0"/>
    <w:rsid w:val="00FF2EA3"/>
    <w:rsid w:val="00FF311D"/>
    <w:rsid w:val="00FF312E"/>
    <w:rsid w:val="00FF31FC"/>
    <w:rsid w:val="00FF3200"/>
    <w:rsid w:val="00FF320E"/>
    <w:rsid w:val="00FF324D"/>
    <w:rsid w:val="00FF32F4"/>
    <w:rsid w:val="00FF34E7"/>
    <w:rsid w:val="00FF35DF"/>
    <w:rsid w:val="00FF35E7"/>
    <w:rsid w:val="00FF3707"/>
    <w:rsid w:val="00FF379C"/>
    <w:rsid w:val="00FF3816"/>
    <w:rsid w:val="00FF394E"/>
    <w:rsid w:val="00FF3B84"/>
    <w:rsid w:val="00FF3CDF"/>
    <w:rsid w:val="00FF3DAA"/>
    <w:rsid w:val="00FF3EC9"/>
    <w:rsid w:val="00FF3F15"/>
    <w:rsid w:val="00FF3F58"/>
    <w:rsid w:val="00FF3F5C"/>
    <w:rsid w:val="00FF3F68"/>
    <w:rsid w:val="00FF4055"/>
    <w:rsid w:val="00FF44A9"/>
    <w:rsid w:val="00FF460A"/>
    <w:rsid w:val="00FF461F"/>
    <w:rsid w:val="00FF4A54"/>
    <w:rsid w:val="00FF4A80"/>
    <w:rsid w:val="00FF4A96"/>
    <w:rsid w:val="00FF4AFB"/>
    <w:rsid w:val="00FF4B75"/>
    <w:rsid w:val="00FF4D0E"/>
    <w:rsid w:val="00FF4EA2"/>
    <w:rsid w:val="00FF4EEC"/>
    <w:rsid w:val="00FF4EFB"/>
    <w:rsid w:val="00FF5024"/>
    <w:rsid w:val="00FF5098"/>
    <w:rsid w:val="00FF5103"/>
    <w:rsid w:val="00FF5140"/>
    <w:rsid w:val="00FF539A"/>
    <w:rsid w:val="00FF550B"/>
    <w:rsid w:val="00FF55DC"/>
    <w:rsid w:val="00FF59F5"/>
    <w:rsid w:val="00FF5B4A"/>
    <w:rsid w:val="00FF5B78"/>
    <w:rsid w:val="00FF5D74"/>
    <w:rsid w:val="00FF5DF4"/>
    <w:rsid w:val="00FF5EEB"/>
    <w:rsid w:val="00FF603E"/>
    <w:rsid w:val="00FF6088"/>
    <w:rsid w:val="00FF6297"/>
    <w:rsid w:val="00FF62A8"/>
    <w:rsid w:val="00FF6651"/>
    <w:rsid w:val="00FF68FA"/>
    <w:rsid w:val="00FF6999"/>
    <w:rsid w:val="00FF6D9C"/>
    <w:rsid w:val="00FF6DA3"/>
    <w:rsid w:val="00FF6DCF"/>
    <w:rsid w:val="00FF6F76"/>
    <w:rsid w:val="00FF6F87"/>
    <w:rsid w:val="00FF711D"/>
    <w:rsid w:val="00FF724E"/>
    <w:rsid w:val="00FF73B3"/>
    <w:rsid w:val="00FF7627"/>
    <w:rsid w:val="00FF799B"/>
    <w:rsid w:val="00FF79BF"/>
    <w:rsid w:val="00FF7B15"/>
    <w:rsid w:val="00FF7C51"/>
    <w:rsid w:val="00FF7C59"/>
    <w:rsid w:val="00FF7DA2"/>
    <w:rsid w:val="00FF7DE4"/>
    <w:rsid w:val="00FF7E01"/>
    <w:rsid w:val="00FF7F19"/>
    <w:rsid w:val="00FF7F6A"/>
    <w:rsid w:val="0105E1C5"/>
    <w:rsid w:val="010E53A8"/>
    <w:rsid w:val="01219695"/>
    <w:rsid w:val="012633AC"/>
    <w:rsid w:val="012BA4FA"/>
    <w:rsid w:val="012FAF5C"/>
    <w:rsid w:val="014937C2"/>
    <w:rsid w:val="014E5660"/>
    <w:rsid w:val="0166073D"/>
    <w:rsid w:val="016D7DCA"/>
    <w:rsid w:val="016F85C4"/>
    <w:rsid w:val="0177247A"/>
    <w:rsid w:val="017CA020"/>
    <w:rsid w:val="019EE6B2"/>
    <w:rsid w:val="01A287E2"/>
    <w:rsid w:val="01B2C051"/>
    <w:rsid w:val="01B94C7C"/>
    <w:rsid w:val="01D1B470"/>
    <w:rsid w:val="01DAE456"/>
    <w:rsid w:val="01DBF0DD"/>
    <w:rsid w:val="01EE65F7"/>
    <w:rsid w:val="01F04F3D"/>
    <w:rsid w:val="01F55E5F"/>
    <w:rsid w:val="0209167D"/>
    <w:rsid w:val="021B1AA5"/>
    <w:rsid w:val="0221D211"/>
    <w:rsid w:val="0229DFD1"/>
    <w:rsid w:val="022F52C2"/>
    <w:rsid w:val="022FAC75"/>
    <w:rsid w:val="023B4CCF"/>
    <w:rsid w:val="023E2FCF"/>
    <w:rsid w:val="02446D88"/>
    <w:rsid w:val="0253F5A5"/>
    <w:rsid w:val="02571979"/>
    <w:rsid w:val="02666910"/>
    <w:rsid w:val="02A7D307"/>
    <w:rsid w:val="02B6843A"/>
    <w:rsid w:val="02CA2987"/>
    <w:rsid w:val="02D8701D"/>
    <w:rsid w:val="02E68289"/>
    <w:rsid w:val="02EA2FA8"/>
    <w:rsid w:val="02F529C8"/>
    <w:rsid w:val="02FC95F7"/>
    <w:rsid w:val="03148895"/>
    <w:rsid w:val="03162B41"/>
    <w:rsid w:val="031E9B2E"/>
    <w:rsid w:val="0333141A"/>
    <w:rsid w:val="033EA624"/>
    <w:rsid w:val="0359A35F"/>
    <w:rsid w:val="035AF521"/>
    <w:rsid w:val="035DBB0E"/>
    <w:rsid w:val="03629F9F"/>
    <w:rsid w:val="0372FC28"/>
    <w:rsid w:val="0374D1ED"/>
    <w:rsid w:val="037A8163"/>
    <w:rsid w:val="03A38E0C"/>
    <w:rsid w:val="03AA6610"/>
    <w:rsid w:val="03BD3DE3"/>
    <w:rsid w:val="03C8F69E"/>
    <w:rsid w:val="03DB83D8"/>
    <w:rsid w:val="03E0953F"/>
    <w:rsid w:val="03EAD7D9"/>
    <w:rsid w:val="03F36CE5"/>
    <w:rsid w:val="040CAC38"/>
    <w:rsid w:val="040FDB69"/>
    <w:rsid w:val="041DDA18"/>
    <w:rsid w:val="04237D73"/>
    <w:rsid w:val="042AE799"/>
    <w:rsid w:val="0435AC9E"/>
    <w:rsid w:val="04485B9C"/>
    <w:rsid w:val="045AC366"/>
    <w:rsid w:val="046C6F1A"/>
    <w:rsid w:val="0474147F"/>
    <w:rsid w:val="047AD7BE"/>
    <w:rsid w:val="0492A5B6"/>
    <w:rsid w:val="049597E2"/>
    <w:rsid w:val="04A13D27"/>
    <w:rsid w:val="04A34FD9"/>
    <w:rsid w:val="04A83F7C"/>
    <w:rsid w:val="04BE8DC5"/>
    <w:rsid w:val="04D92213"/>
    <w:rsid w:val="04E4B580"/>
    <w:rsid w:val="04F1D560"/>
    <w:rsid w:val="05004A76"/>
    <w:rsid w:val="0506DC45"/>
    <w:rsid w:val="05172473"/>
    <w:rsid w:val="051C361E"/>
    <w:rsid w:val="0547E14C"/>
    <w:rsid w:val="0549E158"/>
    <w:rsid w:val="0558D0E8"/>
    <w:rsid w:val="05680A5B"/>
    <w:rsid w:val="0580CE1B"/>
    <w:rsid w:val="058DA516"/>
    <w:rsid w:val="05903C1C"/>
    <w:rsid w:val="0591E065"/>
    <w:rsid w:val="0597353D"/>
    <w:rsid w:val="059BF0DA"/>
    <w:rsid w:val="059F428B"/>
    <w:rsid w:val="05A3D976"/>
    <w:rsid w:val="05B1DA8F"/>
    <w:rsid w:val="05B7D716"/>
    <w:rsid w:val="05C370CF"/>
    <w:rsid w:val="05CB908C"/>
    <w:rsid w:val="05D674EF"/>
    <w:rsid w:val="05E0DB16"/>
    <w:rsid w:val="05EA89DD"/>
    <w:rsid w:val="05F15C68"/>
    <w:rsid w:val="06006A22"/>
    <w:rsid w:val="060AFA48"/>
    <w:rsid w:val="0615E74E"/>
    <w:rsid w:val="06230F0C"/>
    <w:rsid w:val="062378CB"/>
    <w:rsid w:val="0624E6D8"/>
    <w:rsid w:val="06275187"/>
    <w:rsid w:val="062D50C2"/>
    <w:rsid w:val="063B7B61"/>
    <w:rsid w:val="064515BF"/>
    <w:rsid w:val="064777DD"/>
    <w:rsid w:val="0649A118"/>
    <w:rsid w:val="064C9B6B"/>
    <w:rsid w:val="064F1FD2"/>
    <w:rsid w:val="065189BD"/>
    <w:rsid w:val="065D6EDE"/>
    <w:rsid w:val="0668CC3B"/>
    <w:rsid w:val="066E2186"/>
    <w:rsid w:val="06700513"/>
    <w:rsid w:val="06740DEE"/>
    <w:rsid w:val="06751D82"/>
    <w:rsid w:val="06803C21"/>
    <w:rsid w:val="0687E894"/>
    <w:rsid w:val="06A228D6"/>
    <w:rsid w:val="06A797E5"/>
    <w:rsid w:val="06A8E081"/>
    <w:rsid w:val="06A9ADF0"/>
    <w:rsid w:val="06C416F9"/>
    <w:rsid w:val="06C89F30"/>
    <w:rsid w:val="06D9DE0E"/>
    <w:rsid w:val="06E36EA5"/>
    <w:rsid w:val="06EBEA13"/>
    <w:rsid w:val="06ED3A28"/>
    <w:rsid w:val="06F7DE83"/>
    <w:rsid w:val="06F91C2D"/>
    <w:rsid w:val="06FB044F"/>
    <w:rsid w:val="06FB41A9"/>
    <w:rsid w:val="0707B755"/>
    <w:rsid w:val="0707C8F5"/>
    <w:rsid w:val="070F60BB"/>
    <w:rsid w:val="07215B79"/>
    <w:rsid w:val="07356C5D"/>
    <w:rsid w:val="0741B629"/>
    <w:rsid w:val="07421DE7"/>
    <w:rsid w:val="074554FC"/>
    <w:rsid w:val="07501CE0"/>
    <w:rsid w:val="0762E98D"/>
    <w:rsid w:val="0772A5F1"/>
    <w:rsid w:val="077D527D"/>
    <w:rsid w:val="078CD616"/>
    <w:rsid w:val="078D8BFB"/>
    <w:rsid w:val="079A5361"/>
    <w:rsid w:val="079AA6D4"/>
    <w:rsid w:val="079B5918"/>
    <w:rsid w:val="07CBAD46"/>
    <w:rsid w:val="07D9B5B3"/>
    <w:rsid w:val="07E1DA12"/>
    <w:rsid w:val="07EA39F6"/>
    <w:rsid w:val="07F17F0F"/>
    <w:rsid w:val="08051A2B"/>
    <w:rsid w:val="0809D72B"/>
    <w:rsid w:val="080D9EDF"/>
    <w:rsid w:val="08232350"/>
    <w:rsid w:val="0831E5D2"/>
    <w:rsid w:val="0833212A"/>
    <w:rsid w:val="083538B2"/>
    <w:rsid w:val="083714AF"/>
    <w:rsid w:val="08482FD4"/>
    <w:rsid w:val="086124BB"/>
    <w:rsid w:val="08612FEA"/>
    <w:rsid w:val="087AA289"/>
    <w:rsid w:val="08904A84"/>
    <w:rsid w:val="08A77B27"/>
    <w:rsid w:val="08BFCE80"/>
    <w:rsid w:val="08C08A09"/>
    <w:rsid w:val="08D9ACA7"/>
    <w:rsid w:val="08E2CD4E"/>
    <w:rsid w:val="08E2E3D4"/>
    <w:rsid w:val="08E902B8"/>
    <w:rsid w:val="08EA72F2"/>
    <w:rsid w:val="08EAF78C"/>
    <w:rsid w:val="08ED0A3B"/>
    <w:rsid w:val="08ED4227"/>
    <w:rsid w:val="08EFCD75"/>
    <w:rsid w:val="08F4AA94"/>
    <w:rsid w:val="08FAD33F"/>
    <w:rsid w:val="09048AE9"/>
    <w:rsid w:val="090A193D"/>
    <w:rsid w:val="090EEB03"/>
    <w:rsid w:val="090F989E"/>
    <w:rsid w:val="0919B991"/>
    <w:rsid w:val="092F3A68"/>
    <w:rsid w:val="0931EC25"/>
    <w:rsid w:val="093854A3"/>
    <w:rsid w:val="094B5CE7"/>
    <w:rsid w:val="09558DE7"/>
    <w:rsid w:val="095B3607"/>
    <w:rsid w:val="096A134C"/>
    <w:rsid w:val="09710616"/>
    <w:rsid w:val="098046D6"/>
    <w:rsid w:val="098AC390"/>
    <w:rsid w:val="09A2B1F8"/>
    <w:rsid w:val="09B0AEED"/>
    <w:rsid w:val="09B95818"/>
    <w:rsid w:val="09BA1BED"/>
    <w:rsid w:val="09C0359B"/>
    <w:rsid w:val="09E14605"/>
    <w:rsid w:val="09E714F2"/>
    <w:rsid w:val="09E7570E"/>
    <w:rsid w:val="09EF3D71"/>
    <w:rsid w:val="0A0865D6"/>
    <w:rsid w:val="0A172A1A"/>
    <w:rsid w:val="0A1958AA"/>
    <w:rsid w:val="0A4AE5EB"/>
    <w:rsid w:val="0A586EED"/>
    <w:rsid w:val="0A61686E"/>
    <w:rsid w:val="0A67A8CD"/>
    <w:rsid w:val="0A6B3ADE"/>
    <w:rsid w:val="0A797839"/>
    <w:rsid w:val="0A7AA530"/>
    <w:rsid w:val="0A86BAA3"/>
    <w:rsid w:val="0A8E0634"/>
    <w:rsid w:val="0A9ABF43"/>
    <w:rsid w:val="0ABACF11"/>
    <w:rsid w:val="0AD14789"/>
    <w:rsid w:val="0AD1C56B"/>
    <w:rsid w:val="0AE88BC6"/>
    <w:rsid w:val="0AE89697"/>
    <w:rsid w:val="0AEC18A0"/>
    <w:rsid w:val="0AF705F0"/>
    <w:rsid w:val="0AFAC23B"/>
    <w:rsid w:val="0AFB8052"/>
    <w:rsid w:val="0AFBA0B8"/>
    <w:rsid w:val="0B01672B"/>
    <w:rsid w:val="0B22D75E"/>
    <w:rsid w:val="0B24CDBF"/>
    <w:rsid w:val="0B310CA4"/>
    <w:rsid w:val="0B3EC7E7"/>
    <w:rsid w:val="0B440606"/>
    <w:rsid w:val="0B46DC90"/>
    <w:rsid w:val="0B4C8B3B"/>
    <w:rsid w:val="0B5B78C4"/>
    <w:rsid w:val="0B73E6E1"/>
    <w:rsid w:val="0B7731B9"/>
    <w:rsid w:val="0B7BA5BB"/>
    <w:rsid w:val="0B822F2D"/>
    <w:rsid w:val="0BA07E39"/>
    <w:rsid w:val="0BA239B8"/>
    <w:rsid w:val="0BA51FDD"/>
    <w:rsid w:val="0BA58906"/>
    <w:rsid w:val="0BA68B74"/>
    <w:rsid w:val="0BA93D52"/>
    <w:rsid w:val="0BDC99DD"/>
    <w:rsid w:val="0BE126C4"/>
    <w:rsid w:val="0BE2532F"/>
    <w:rsid w:val="0BE3CA1E"/>
    <w:rsid w:val="0BE8C4D8"/>
    <w:rsid w:val="0BEAB2E9"/>
    <w:rsid w:val="0BF13E52"/>
    <w:rsid w:val="0BFD3CF6"/>
    <w:rsid w:val="0C0516BB"/>
    <w:rsid w:val="0C073DB4"/>
    <w:rsid w:val="0C0AD93C"/>
    <w:rsid w:val="0C12C58D"/>
    <w:rsid w:val="0C1E96FB"/>
    <w:rsid w:val="0C20BD9C"/>
    <w:rsid w:val="0C2BFC2D"/>
    <w:rsid w:val="0C39D1ED"/>
    <w:rsid w:val="0C472C90"/>
    <w:rsid w:val="0C55A334"/>
    <w:rsid w:val="0C6135F2"/>
    <w:rsid w:val="0C68C7B6"/>
    <w:rsid w:val="0C6BF1AA"/>
    <w:rsid w:val="0C6CBAF0"/>
    <w:rsid w:val="0C6E2D5F"/>
    <w:rsid w:val="0C7A74AA"/>
    <w:rsid w:val="0C861E1E"/>
    <w:rsid w:val="0C962A57"/>
    <w:rsid w:val="0C98C954"/>
    <w:rsid w:val="0CB9209A"/>
    <w:rsid w:val="0CBC1CCF"/>
    <w:rsid w:val="0CCED520"/>
    <w:rsid w:val="0CD18037"/>
    <w:rsid w:val="0CD79CE4"/>
    <w:rsid w:val="0CDDE966"/>
    <w:rsid w:val="0CE0DB19"/>
    <w:rsid w:val="0CE8A909"/>
    <w:rsid w:val="0CEB8E69"/>
    <w:rsid w:val="0CF48547"/>
    <w:rsid w:val="0CFF18CB"/>
    <w:rsid w:val="0D04190C"/>
    <w:rsid w:val="0D087E83"/>
    <w:rsid w:val="0D11E95C"/>
    <w:rsid w:val="0D17032D"/>
    <w:rsid w:val="0D3398EF"/>
    <w:rsid w:val="0D3AD92B"/>
    <w:rsid w:val="0D3BDB29"/>
    <w:rsid w:val="0D4BDED1"/>
    <w:rsid w:val="0D542FD1"/>
    <w:rsid w:val="0D604401"/>
    <w:rsid w:val="0D67ACBC"/>
    <w:rsid w:val="0D6D5668"/>
    <w:rsid w:val="0D6EC816"/>
    <w:rsid w:val="0D71B7CB"/>
    <w:rsid w:val="0D7ED52B"/>
    <w:rsid w:val="0D95059B"/>
    <w:rsid w:val="0DBDD52B"/>
    <w:rsid w:val="0DBE8585"/>
    <w:rsid w:val="0DC83814"/>
    <w:rsid w:val="0DC8CD3B"/>
    <w:rsid w:val="0DCC897B"/>
    <w:rsid w:val="0DD7E3DF"/>
    <w:rsid w:val="0DDEF4A2"/>
    <w:rsid w:val="0DE4FAC7"/>
    <w:rsid w:val="0DEB3C5A"/>
    <w:rsid w:val="0DF07220"/>
    <w:rsid w:val="0E00C5AA"/>
    <w:rsid w:val="0E072306"/>
    <w:rsid w:val="0E088AB0"/>
    <w:rsid w:val="0E0DE30D"/>
    <w:rsid w:val="0E182F7C"/>
    <w:rsid w:val="0E2FE830"/>
    <w:rsid w:val="0E3977B8"/>
    <w:rsid w:val="0E57A37B"/>
    <w:rsid w:val="0E5A848C"/>
    <w:rsid w:val="0E5B0A81"/>
    <w:rsid w:val="0E7C02B6"/>
    <w:rsid w:val="0E7EF6B2"/>
    <w:rsid w:val="0E811BAD"/>
    <w:rsid w:val="0E823A40"/>
    <w:rsid w:val="0E85206A"/>
    <w:rsid w:val="0E88BE47"/>
    <w:rsid w:val="0EA0E3EB"/>
    <w:rsid w:val="0EA20CA0"/>
    <w:rsid w:val="0EC0C43E"/>
    <w:rsid w:val="0ED6DB49"/>
    <w:rsid w:val="0EEA0BDD"/>
    <w:rsid w:val="0EEF326C"/>
    <w:rsid w:val="0EF9DA4B"/>
    <w:rsid w:val="0EFE1D73"/>
    <w:rsid w:val="0F00B34B"/>
    <w:rsid w:val="0F1047A9"/>
    <w:rsid w:val="0F1DF9A1"/>
    <w:rsid w:val="0F29D73B"/>
    <w:rsid w:val="0F2C21C5"/>
    <w:rsid w:val="0F3A412C"/>
    <w:rsid w:val="0F509505"/>
    <w:rsid w:val="0F59FB1C"/>
    <w:rsid w:val="0F663BC9"/>
    <w:rsid w:val="0F6A3292"/>
    <w:rsid w:val="0F75CE8B"/>
    <w:rsid w:val="0F7ACE0B"/>
    <w:rsid w:val="0F814784"/>
    <w:rsid w:val="0F846068"/>
    <w:rsid w:val="0F93616E"/>
    <w:rsid w:val="0F94EE85"/>
    <w:rsid w:val="0F97F1B3"/>
    <w:rsid w:val="0FA2C166"/>
    <w:rsid w:val="0FA394A4"/>
    <w:rsid w:val="0FACF7B8"/>
    <w:rsid w:val="0FB0325D"/>
    <w:rsid w:val="0FB1C241"/>
    <w:rsid w:val="0FD259F3"/>
    <w:rsid w:val="0FDB0641"/>
    <w:rsid w:val="0FDDA560"/>
    <w:rsid w:val="0FEF4E0A"/>
    <w:rsid w:val="0FFC2F6E"/>
    <w:rsid w:val="10071853"/>
    <w:rsid w:val="100FD904"/>
    <w:rsid w:val="101C7E29"/>
    <w:rsid w:val="10257D0A"/>
    <w:rsid w:val="1050A9D7"/>
    <w:rsid w:val="105C4FD5"/>
    <w:rsid w:val="10619242"/>
    <w:rsid w:val="1064BBAB"/>
    <w:rsid w:val="106A2358"/>
    <w:rsid w:val="1072FE15"/>
    <w:rsid w:val="108BD99D"/>
    <w:rsid w:val="109B1FF7"/>
    <w:rsid w:val="10AE5ECD"/>
    <w:rsid w:val="10CD5119"/>
    <w:rsid w:val="10CE5497"/>
    <w:rsid w:val="10E0F21A"/>
    <w:rsid w:val="10E80F83"/>
    <w:rsid w:val="11003F47"/>
    <w:rsid w:val="11043330"/>
    <w:rsid w:val="110AF48C"/>
    <w:rsid w:val="1119D6F3"/>
    <w:rsid w:val="112F27B8"/>
    <w:rsid w:val="11319F10"/>
    <w:rsid w:val="11362769"/>
    <w:rsid w:val="113B6ECD"/>
    <w:rsid w:val="114608FD"/>
    <w:rsid w:val="1149C8A9"/>
    <w:rsid w:val="1153379C"/>
    <w:rsid w:val="11547574"/>
    <w:rsid w:val="1157DCFB"/>
    <w:rsid w:val="1167E88A"/>
    <w:rsid w:val="116C53FC"/>
    <w:rsid w:val="1174045D"/>
    <w:rsid w:val="117B0668"/>
    <w:rsid w:val="118BFFFC"/>
    <w:rsid w:val="119AA28F"/>
    <w:rsid w:val="119B8C62"/>
    <w:rsid w:val="11ADE347"/>
    <w:rsid w:val="11E233BE"/>
    <w:rsid w:val="11E99199"/>
    <w:rsid w:val="120E6ED2"/>
    <w:rsid w:val="122A22CB"/>
    <w:rsid w:val="122DD22A"/>
    <w:rsid w:val="12308E60"/>
    <w:rsid w:val="124246D1"/>
    <w:rsid w:val="1248C7EF"/>
    <w:rsid w:val="12537A42"/>
    <w:rsid w:val="126EA1A8"/>
    <w:rsid w:val="126EA8C5"/>
    <w:rsid w:val="127D7787"/>
    <w:rsid w:val="12890100"/>
    <w:rsid w:val="128CB24B"/>
    <w:rsid w:val="12A1FA04"/>
    <w:rsid w:val="12B849D4"/>
    <w:rsid w:val="12B8DC1F"/>
    <w:rsid w:val="12C0BFED"/>
    <w:rsid w:val="12C67BF1"/>
    <w:rsid w:val="12C8D596"/>
    <w:rsid w:val="12EADB07"/>
    <w:rsid w:val="12FA36E3"/>
    <w:rsid w:val="13095ECD"/>
    <w:rsid w:val="130E301B"/>
    <w:rsid w:val="130F4536"/>
    <w:rsid w:val="13149CE3"/>
    <w:rsid w:val="13280582"/>
    <w:rsid w:val="132DAAB2"/>
    <w:rsid w:val="1339A6F0"/>
    <w:rsid w:val="133C5468"/>
    <w:rsid w:val="13441DDE"/>
    <w:rsid w:val="1350E72A"/>
    <w:rsid w:val="135AED93"/>
    <w:rsid w:val="13615601"/>
    <w:rsid w:val="13627267"/>
    <w:rsid w:val="136723CD"/>
    <w:rsid w:val="1368F162"/>
    <w:rsid w:val="13699D83"/>
    <w:rsid w:val="1371D9C3"/>
    <w:rsid w:val="13773E03"/>
    <w:rsid w:val="1378917B"/>
    <w:rsid w:val="137A14B8"/>
    <w:rsid w:val="1385EB52"/>
    <w:rsid w:val="13892CEB"/>
    <w:rsid w:val="138FBC40"/>
    <w:rsid w:val="13945400"/>
    <w:rsid w:val="13A1D55C"/>
    <w:rsid w:val="13A834D1"/>
    <w:rsid w:val="13AB78FF"/>
    <w:rsid w:val="13AFDD73"/>
    <w:rsid w:val="13B93F5E"/>
    <w:rsid w:val="13BB114B"/>
    <w:rsid w:val="13C16E0D"/>
    <w:rsid w:val="13C42198"/>
    <w:rsid w:val="13C5D43C"/>
    <w:rsid w:val="13C73898"/>
    <w:rsid w:val="13CC1572"/>
    <w:rsid w:val="13D6A8A2"/>
    <w:rsid w:val="13DE5D6F"/>
    <w:rsid w:val="13E01647"/>
    <w:rsid w:val="13E2E9A0"/>
    <w:rsid w:val="13ED6523"/>
    <w:rsid w:val="14047BBE"/>
    <w:rsid w:val="1414A816"/>
    <w:rsid w:val="1415CEA8"/>
    <w:rsid w:val="1424B862"/>
    <w:rsid w:val="14284ED2"/>
    <w:rsid w:val="142A9B30"/>
    <w:rsid w:val="143A68D2"/>
    <w:rsid w:val="14484D9F"/>
    <w:rsid w:val="1457D03B"/>
    <w:rsid w:val="145E9308"/>
    <w:rsid w:val="14650394"/>
    <w:rsid w:val="1469B919"/>
    <w:rsid w:val="147F3836"/>
    <w:rsid w:val="1485EA98"/>
    <w:rsid w:val="14885BA8"/>
    <w:rsid w:val="148B2B5A"/>
    <w:rsid w:val="149B2349"/>
    <w:rsid w:val="14A83B2C"/>
    <w:rsid w:val="14AB28CF"/>
    <w:rsid w:val="14AFBFB1"/>
    <w:rsid w:val="14B420B2"/>
    <w:rsid w:val="14C63C91"/>
    <w:rsid w:val="14C90362"/>
    <w:rsid w:val="14CE4989"/>
    <w:rsid w:val="14D73DE6"/>
    <w:rsid w:val="14D8F275"/>
    <w:rsid w:val="14DAF0AC"/>
    <w:rsid w:val="14E41C82"/>
    <w:rsid w:val="14FA8012"/>
    <w:rsid w:val="15044350"/>
    <w:rsid w:val="1515BD35"/>
    <w:rsid w:val="1523DDD4"/>
    <w:rsid w:val="15257D41"/>
    <w:rsid w:val="1531BF9A"/>
    <w:rsid w:val="15367274"/>
    <w:rsid w:val="1539BDA8"/>
    <w:rsid w:val="15544C39"/>
    <w:rsid w:val="1569056A"/>
    <w:rsid w:val="15693DFB"/>
    <w:rsid w:val="1574BCB3"/>
    <w:rsid w:val="158456D9"/>
    <w:rsid w:val="15995616"/>
    <w:rsid w:val="15A6CF04"/>
    <w:rsid w:val="15AB32F1"/>
    <w:rsid w:val="15B4B963"/>
    <w:rsid w:val="15B69982"/>
    <w:rsid w:val="15CAD49A"/>
    <w:rsid w:val="15E66873"/>
    <w:rsid w:val="15E8AAD7"/>
    <w:rsid w:val="15F17390"/>
    <w:rsid w:val="15F72AEF"/>
    <w:rsid w:val="1601B25F"/>
    <w:rsid w:val="160B003B"/>
    <w:rsid w:val="160EB2AE"/>
    <w:rsid w:val="161B35FA"/>
    <w:rsid w:val="1621D983"/>
    <w:rsid w:val="162C83FE"/>
    <w:rsid w:val="1634D87F"/>
    <w:rsid w:val="1644F44C"/>
    <w:rsid w:val="1647B0B1"/>
    <w:rsid w:val="164A4C66"/>
    <w:rsid w:val="164F8383"/>
    <w:rsid w:val="165A4442"/>
    <w:rsid w:val="1677FA0A"/>
    <w:rsid w:val="16813198"/>
    <w:rsid w:val="16ADBFAD"/>
    <w:rsid w:val="16BC938B"/>
    <w:rsid w:val="16C12109"/>
    <w:rsid w:val="16C5AFDD"/>
    <w:rsid w:val="16C8C8F5"/>
    <w:rsid w:val="16D7AF00"/>
    <w:rsid w:val="16DB0913"/>
    <w:rsid w:val="16DC2D1F"/>
    <w:rsid w:val="1700B260"/>
    <w:rsid w:val="17037F19"/>
    <w:rsid w:val="17050AF0"/>
    <w:rsid w:val="170B239C"/>
    <w:rsid w:val="17124DF6"/>
    <w:rsid w:val="1716AB0F"/>
    <w:rsid w:val="17198D32"/>
    <w:rsid w:val="1727890C"/>
    <w:rsid w:val="17281E7A"/>
    <w:rsid w:val="172D354D"/>
    <w:rsid w:val="1746A6F1"/>
    <w:rsid w:val="1749C92A"/>
    <w:rsid w:val="175322BC"/>
    <w:rsid w:val="176032D7"/>
    <w:rsid w:val="17658626"/>
    <w:rsid w:val="176CCABC"/>
    <w:rsid w:val="176D649C"/>
    <w:rsid w:val="176F4AB7"/>
    <w:rsid w:val="17934349"/>
    <w:rsid w:val="179620D4"/>
    <w:rsid w:val="17A3425B"/>
    <w:rsid w:val="17E159D7"/>
    <w:rsid w:val="17E38CA5"/>
    <w:rsid w:val="17F7F7C2"/>
    <w:rsid w:val="1813D035"/>
    <w:rsid w:val="181E8F0A"/>
    <w:rsid w:val="182A683B"/>
    <w:rsid w:val="1834866C"/>
    <w:rsid w:val="186073F3"/>
    <w:rsid w:val="186D1040"/>
    <w:rsid w:val="18806F39"/>
    <w:rsid w:val="188A4BC9"/>
    <w:rsid w:val="18A86E2F"/>
    <w:rsid w:val="18A8949D"/>
    <w:rsid w:val="18B33F8A"/>
    <w:rsid w:val="18C11331"/>
    <w:rsid w:val="18C61587"/>
    <w:rsid w:val="18D1745B"/>
    <w:rsid w:val="18D60AB6"/>
    <w:rsid w:val="18DCDC62"/>
    <w:rsid w:val="18DE9C99"/>
    <w:rsid w:val="18EA6919"/>
    <w:rsid w:val="18F01E89"/>
    <w:rsid w:val="18F0C7AC"/>
    <w:rsid w:val="18FD74A7"/>
    <w:rsid w:val="190B7B2E"/>
    <w:rsid w:val="191D4F94"/>
    <w:rsid w:val="19216EA8"/>
    <w:rsid w:val="1923A9A2"/>
    <w:rsid w:val="19346377"/>
    <w:rsid w:val="193D6954"/>
    <w:rsid w:val="19421A74"/>
    <w:rsid w:val="1959E624"/>
    <w:rsid w:val="195A500C"/>
    <w:rsid w:val="19657F78"/>
    <w:rsid w:val="197A0C4A"/>
    <w:rsid w:val="1995A315"/>
    <w:rsid w:val="19B16366"/>
    <w:rsid w:val="19B2D395"/>
    <w:rsid w:val="19B90431"/>
    <w:rsid w:val="19BD7805"/>
    <w:rsid w:val="19E5C625"/>
    <w:rsid w:val="19E7798C"/>
    <w:rsid w:val="19EA10B9"/>
    <w:rsid w:val="19F07B28"/>
    <w:rsid w:val="19FA6B1B"/>
    <w:rsid w:val="19FC53A8"/>
    <w:rsid w:val="19FFED02"/>
    <w:rsid w:val="1A10E9EA"/>
    <w:rsid w:val="1A1BB334"/>
    <w:rsid w:val="1A3CB332"/>
    <w:rsid w:val="1A459E3F"/>
    <w:rsid w:val="1A53BDDF"/>
    <w:rsid w:val="1A6C77F1"/>
    <w:rsid w:val="1A78F348"/>
    <w:rsid w:val="1A7C4FAC"/>
    <w:rsid w:val="1A7D789D"/>
    <w:rsid w:val="1A85E11B"/>
    <w:rsid w:val="1A8D22C4"/>
    <w:rsid w:val="1A944724"/>
    <w:rsid w:val="1A983ACF"/>
    <w:rsid w:val="1A9BDFEE"/>
    <w:rsid w:val="1AA0461B"/>
    <w:rsid w:val="1AA878FE"/>
    <w:rsid w:val="1AA9C0EA"/>
    <w:rsid w:val="1AB3C3E9"/>
    <w:rsid w:val="1AB9D82F"/>
    <w:rsid w:val="1AC10F32"/>
    <w:rsid w:val="1AD7FAC4"/>
    <w:rsid w:val="1ADA6FEE"/>
    <w:rsid w:val="1ADC9D71"/>
    <w:rsid w:val="1AF21326"/>
    <w:rsid w:val="1AF21510"/>
    <w:rsid w:val="1AF99520"/>
    <w:rsid w:val="1B053C06"/>
    <w:rsid w:val="1B217019"/>
    <w:rsid w:val="1B2840BA"/>
    <w:rsid w:val="1B2AF05A"/>
    <w:rsid w:val="1B3037F8"/>
    <w:rsid w:val="1B367BD7"/>
    <w:rsid w:val="1B38894D"/>
    <w:rsid w:val="1B3B922A"/>
    <w:rsid w:val="1B483DF6"/>
    <w:rsid w:val="1B578659"/>
    <w:rsid w:val="1B591384"/>
    <w:rsid w:val="1B5B1267"/>
    <w:rsid w:val="1B744D7F"/>
    <w:rsid w:val="1B79A709"/>
    <w:rsid w:val="1B804DFD"/>
    <w:rsid w:val="1BA2D962"/>
    <w:rsid w:val="1BA7353A"/>
    <w:rsid w:val="1BAAB5E9"/>
    <w:rsid w:val="1BB8D1A2"/>
    <w:rsid w:val="1BBAFD6C"/>
    <w:rsid w:val="1BDAB528"/>
    <w:rsid w:val="1BE15772"/>
    <w:rsid w:val="1C017186"/>
    <w:rsid w:val="1C0514F8"/>
    <w:rsid w:val="1C0CEE2D"/>
    <w:rsid w:val="1C122A86"/>
    <w:rsid w:val="1C214DC4"/>
    <w:rsid w:val="1C23FB5A"/>
    <w:rsid w:val="1C2735A0"/>
    <w:rsid w:val="1C33554E"/>
    <w:rsid w:val="1C37A2EF"/>
    <w:rsid w:val="1C3A1204"/>
    <w:rsid w:val="1C3AACE3"/>
    <w:rsid w:val="1C3B9712"/>
    <w:rsid w:val="1C43ACD7"/>
    <w:rsid w:val="1C484E7F"/>
    <w:rsid w:val="1C5524BB"/>
    <w:rsid w:val="1C66B212"/>
    <w:rsid w:val="1C67A36B"/>
    <w:rsid w:val="1C6C1336"/>
    <w:rsid w:val="1C6D7E02"/>
    <w:rsid w:val="1C7302F8"/>
    <w:rsid w:val="1C7AB935"/>
    <w:rsid w:val="1C851941"/>
    <w:rsid w:val="1C8679C6"/>
    <w:rsid w:val="1C890444"/>
    <w:rsid w:val="1C9F2BEE"/>
    <w:rsid w:val="1CB364FB"/>
    <w:rsid w:val="1CDA3903"/>
    <w:rsid w:val="1CDF5DB5"/>
    <w:rsid w:val="1CF72E26"/>
    <w:rsid w:val="1D07E815"/>
    <w:rsid w:val="1D12044F"/>
    <w:rsid w:val="1D149720"/>
    <w:rsid w:val="1D1763CB"/>
    <w:rsid w:val="1D2A535B"/>
    <w:rsid w:val="1D2B2F83"/>
    <w:rsid w:val="1D2FBC1A"/>
    <w:rsid w:val="1D33677C"/>
    <w:rsid w:val="1D4946B8"/>
    <w:rsid w:val="1D5023A6"/>
    <w:rsid w:val="1D56F5BA"/>
    <w:rsid w:val="1D5ACDE8"/>
    <w:rsid w:val="1D623045"/>
    <w:rsid w:val="1D787907"/>
    <w:rsid w:val="1D9236B3"/>
    <w:rsid w:val="1D9AB6B4"/>
    <w:rsid w:val="1DA2978B"/>
    <w:rsid w:val="1DA48E8A"/>
    <w:rsid w:val="1DA895AF"/>
    <w:rsid w:val="1DB16886"/>
    <w:rsid w:val="1DBBF3B8"/>
    <w:rsid w:val="1DD1DCB7"/>
    <w:rsid w:val="1DE1FB2A"/>
    <w:rsid w:val="1DE6B528"/>
    <w:rsid w:val="1DEE859F"/>
    <w:rsid w:val="1E0528D4"/>
    <w:rsid w:val="1E12F4B6"/>
    <w:rsid w:val="1E26BFDA"/>
    <w:rsid w:val="1E2F4E69"/>
    <w:rsid w:val="1E33EDF2"/>
    <w:rsid w:val="1E38B362"/>
    <w:rsid w:val="1E3CA53E"/>
    <w:rsid w:val="1E3E8037"/>
    <w:rsid w:val="1E482C3A"/>
    <w:rsid w:val="1E537608"/>
    <w:rsid w:val="1E5E74A5"/>
    <w:rsid w:val="1E60B6BA"/>
    <w:rsid w:val="1E613802"/>
    <w:rsid w:val="1E6CFCF8"/>
    <w:rsid w:val="1E845848"/>
    <w:rsid w:val="1E9F3967"/>
    <w:rsid w:val="1E9F818C"/>
    <w:rsid w:val="1E9F9478"/>
    <w:rsid w:val="1EADE29D"/>
    <w:rsid w:val="1EB2C2AB"/>
    <w:rsid w:val="1EB52135"/>
    <w:rsid w:val="1EB57367"/>
    <w:rsid w:val="1ED88CAF"/>
    <w:rsid w:val="1EE9C210"/>
    <w:rsid w:val="1EF5DDE4"/>
    <w:rsid w:val="1F0D9EC8"/>
    <w:rsid w:val="1F10DCEE"/>
    <w:rsid w:val="1F1982B9"/>
    <w:rsid w:val="1F2531F4"/>
    <w:rsid w:val="1F289CD1"/>
    <w:rsid w:val="1F455588"/>
    <w:rsid w:val="1F500CF4"/>
    <w:rsid w:val="1F54B088"/>
    <w:rsid w:val="1F57C67C"/>
    <w:rsid w:val="1F6BB293"/>
    <w:rsid w:val="1F6C902C"/>
    <w:rsid w:val="1F780E89"/>
    <w:rsid w:val="1F82294F"/>
    <w:rsid w:val="1F8788CE"/>
    <w:rsid w:val="1F900C8D"/>
    <w:rsid w:val="1F968239"/>
    <w:rsid w:val="1FB140DA"/>
    <w:rsid w:val="1FBA3F30"/>
    <w:rsid w:val="1FC1A072"/>
    <w:rsid w:val="1FC7BE88"/>
    <w:rsid w:val="1FC9A21C"/>
    <w:rsid w:val="1FD3C566"/>
    <w:rsid w:val="1FD54C93"/>
    <w:rsid w:val="1FD76A16"/>
    <w:rsid w:val="1FEBEFA7"/>
    <w:rsid w:val="1FF5708A"/>
    <w:rsid w:val="1FF87713"/>
    <w:rsid w:val="201C78EF"/>
    <w:rsid w:val="202B2CF2"/>
    <w:rsid w:val="2046C337"/>
    <w:rsid w:val="2051D439"/>
    <w:rsid w:val="205356C0"/>
    <w:rsid w:val="2053B221"/>
    <w:rsid w:val="20597DBC"/>
    <w:rsid w:val="20720121"/>
    <w:rsid w:val="2076449A"/>
    <w:rsid w:val="2082D0B0"/>
    <w:rsid w:val="208664F7"/>
    <w:rsid w:val="20A21725"/>
    <w:rsid w:val="20A3E0A0"/>
    <w:rsid w:val="20A893AD"/>
    <w:rsid w:val="20AB5AE1"/>
    <w:rsid w:val="20B66E2D"/>
    <w:rsid w:val="20BEB925"/>
    <w:rsid w:val="20C90966"/>
    <w:rsid w:val="20D17565"/>
    <w:rsid w:val="20D42D11"/>
    <w:rsid w:val="20D446B9"/>
    <w:rsid w:val="20E0C486"/>
    <w:rsid w:val="21047293"/>
    <w:rsid w:val="2108BB36"/>
    <w:rsid w:val="2109C040"/>
    <w:rsid w:val="2111E4DD"/>
    <w:rsid w:val="211B195C"/>
    <w:rsid w:val="2135DAC2"/>
    <w:rsid w:val="21380224"/>
    <w:rsid w:val="213F3C5C"/>
    <w:rsid w:val="2147922A"/>
    <w:rsid w:val="2149B469"/>
    <w:rsid w:val="214DBA59"/>
    <w:rsid w:val="2158601C"/>
    <w:rsid w:val="215B855B"/>
    <w:rsid w:val="216ADEBF"/>
    <w:rsid w:val="216BDE75"/>
    <w:rsid w:val="216F362D"/>
    <w:rsid w:val="21752021"/>
    <w:rsid w:val="217CF550"/>
    <w:rsid w:val="217EE4FC"/>
    <w:rsid w:val="21831E96"/>
    <w:rsid w:val="218382C1"/>
    <w:rsid w:val="219A79A5"/>
    <w:rsid w:val="21AA61A7"/>
    <w:rsid w:val="21BC418F"/>
    <w:rsid w:val="21BCB683"/>
    <w:rsid w:val="21C26A74"/>
    <w:rsid w:val="21D976B0"/>
    <w:rsid w:val="21ED199E"/>
    <w:rsid w:val="21F3E8AD"/>
    <w:rsid w:val="2207261E"/>
    <w:rsid w:val="2214E561"/>
    <w:rsid w:val="221691AF"/>
    <w:rsid w:val="2248753A"/>
    <w:rsid w:val="225F1AC9"/>
    <w:rsid w:val="2263F70B"/>
    <w:rsid w:val="226E7148"/>
    <w:rsid w:val="227B5B9A"/>
    <w:rsid w:val="2292308C"/>
    <w:rsid w:val="2296B75C"/>
    <w:rsid w:val="229FC0A9"/>
    <w:rsid w:val="22A3652A"/>
    <w:rsid w:val="22A51026"/>
    <w:rsid w:val="22AC2A57"/>
    <w:rsid w:val="22BC3F12"/>
    <w:rsid w:val="22BD853A"/>
    <w:rsid w:val="22D2F654"/>
    <w:rsid w:val="22D8B969"/>
    <w:rsid w:val="22E2884D"/>
    <w:rsid w:val="22EFCA23"/>
    <w:rsid w:val="23022C84"/>
    <w:rsid w:val="2319B056"/>
    <w:rsid w:val="23279FD8"/>
    <w:rsid w:val="23394938"/>
    <w:rsid w:val="23397385"/>
    <w:rsid w:val="233E5F18"/>
    <w:rsid w:val="23485B25"/>
    <w:rsid w:val="234F4ECB"/>
    <w:rsid w:val="2357459A"/>
    <w:rsid w:val="236690DC"/>
    <w:rsid w:val="236B73EA"/>
    <w:rsid w:val="2374F71A"/>
    <w:rsid w:val="23A01907"/>
    <w:rsid w:val="23A92031"/>
    <w:rsid w:val="23AED344"/>
    <w:rsid w:val="23B2F133"/>
    <w:rsid w:val="23B93E29"/>
    <w:rsid w:val="23BA02A3"/>
    <w:rsid w:val="23C0E1CF"/>
    <w:rsid w:val="23C3950C"/>
    <w:rsid w:val="23C81BCD"/>
    <w:rsid w:val="23C8E4E2"/>
    <w:rsid w:val="23D5C464"/>
    <w:rsid w:val="23D74E5B"/>
    <w:rsid w:val="23E49908"/>
    <w:rsid w:val="23E937B8"/>
    <w:rsid w:val="23F3085E"/>
    <w:rsid w:val="23FF1CFF"/>
    <w:rsid w:val="240B2611"/>
    <w:rsid w:val="2411867C"/>
    <w:rsid w:val="2419578D"/>
    <w:rsid w:val="241FE679"/>
    <w:rsid w:val="24274C1E"/>
    <w:rsid w:val="242FE318"/>
    <w:rsid w:val="24328195"/>
    <w:rsid w:val="24329669"/>
    <w:rsid w:val="243F5B92"/>
    <w:rsid w:val="244A9A72"/>
    <w:rsid w:val="244BE8DA"/>
    <w:rsid w:val="244E83E6"/>
    <w:rsid w:val="2461C1E1"/>
    <w:rsid w:val="246202BE"/>
    <w:rsid w:val="2470C39E"/>
    <w:rsid w:val="248815F8"/>
    <w:rsid w:val="2495F053"/>
    <w:rsid w:val="2496B1C1"/>
    <w:rsid w:val="24AF6514"/>
    <w:rsid w:val="24B63BF6"/>
    <w:rsid w:val="24BA1223"/>
    <w:rsid w:val="24C0E515"/>
    <w:rsid w:val="24CDDBB7"/>
    <w:rsid w:val="24D7E22E"/>
    <w:rsid w:val="24D9C210"/>
    <w:rsid w:val="24DD6C3E"/>
    <w:rsid w:val="24E9BFB2"/>
    <w:rsid w:val="24EBB729"/>
    <w:rsid w:val="24FAD275"/>
    <w:rsid w:val="25225BC5"/>
    <w:rsid w:val="25275DA8"/>
    <w:rsid w:val="25278D3A"/>
    <w:rsid w:val="25285E6F"/>
    <w:rsid w:val="2530658B"/>
    <w:rsid w:val="2538D649"/>
    <w:rsid w:val="253BFE59"/>
    <w:rsid w:val="2540C248"/>
    <w:rsid w:val="2541A237"/>
    <w:rsid w:val="2542C609"/>
    <w:rsid w:val="2544966A"/>
    <w:rsid w:val="254C0A3B"/>
    <w:rsid w:val="254DA7DC"/>
    <w:rsid w:val="2551C555"/>
    <w:rsid w:val="255A3A9F"/>
    <w:rsid w:val="2579ED2D"/>
    <w:rsid w:val="257A76E6"/>
    <w:rsid w:val="257B9CEB"/>
    <w:rsid w:val="258ADC4E"/>
    <w:rsid w:val="2590D3D1"/>
    <w:rsid w:val="25924DF3"/>
    <w:rsid w:val="2599AE9F"/>
    <w:rsid w:val="25A16A6D"/>
    <w:rsid w:val="25A19962"/>
    <w:rsid w:val="25AE8E72"/>
    <w:rsid w:val="25B71D20"/>
    <w:rsid w:val="25C3C6AD"/>
    <w:rsid w:val="25CA10EC"/>
    <w:rsid w:val="25D7A937"/>
    <w:rsid w:val="25DBD4CE"/>
    <w:rsid w:val="25E52D76"/>
    <w:rsid w:val="25E87CB5"/>
    <w:rsid w:val="25F4F1AC"/>
    <w:rsid w:val="25F8C5E6"/>
    <w:rsid w:val="25FBA8FA"/>
    <w:rsid w:val="26062F5D"/>
    <w:rsid w:val="260F878F"/>
    <w:rsid w:val="262A0CEA"/>
    <w:rsid w:val="262BCE84"/>
    <w:rsid w:val="262FB31C"/>
    <w:rsid w:val="2636771C"/>
    <w:rsid w:val="26385DC5"/>
    <w:rsid w:val="263C7637"/>
    <w:rsid w:val="2641963A"/>
    <w:rsid w:val="2645B712"/>
    <w:rsid w:val="2646993B"/>
    <w:rsid w:val="264B4E12"/>
    <w:rsid w:val="265B80DE"/>
    <w:rsid w:val="26785F6C"/>
    <w:rsid w:val="267ECC10"/>
    <w:rsid w:val="268E67DB"/>
    <w:rsid w:val="2697C116"/>
    <w:rsid w:val="26AD9039"/>
    <w:rsid w:val="26BB8A80"/>
    <w:rsid w:val="26BC9960"/>
    <w:rsid w:val="26DE15A7"/>
    <w:rsid w:val="26E76C1A"/>
    <w:rsid w:val="26EEDB98"/>
    <w:rsid w:val="26F1379A"/>
    <w:rsid w:val="26F8563D"/>
    <w:rsid w:val="26F94EF6"/>
    <w:rsid w:val="2702290F"/>
    <w:rsid w:val="271106A5"/>
    <w:rsid w:val="27168F50"/>
    <w:rsid w:val="271FF8EC"/>
    <w:rsid w:val="27269258"/>
    <w:rsid w:val="27342D14"/>
    <w:rsid w:val="2749A889"/>
    <w:rsid w:val="276C363A"/>
    <w:rsid w:val="277C2939"/>
    <w:rsid w:val="27805472"/>
    <w:rsid w:val="278B3480"/>
    <w:rsid w:val="2794A356"/>
    <w:rsid w:val="279CA7E5"/>
    <w:rsid w:val="27A2468C"/>
    <w:rsid w:val="27B4C7A4"/>
    <w:rsid w:val="27B9DF91"/>
    <w:rsid w:val="27BA9174"/>
    <w:rsid w:val="27BB8478"/>
    <w:rsid w:val="27CB58E9"/>
    <w:rsid w:val="27E0D46B"/>
    <w:rsid w:val="27E552B2"/>
    <w:rsid w:val="27E5A17A"/>
    <w:rsid w:val="27EB691A"/>
    <w:rsid w:val="27FA3D60"/>
    <w:rsid w:val="28082D9F"/>
    <w:rsid w:val="280AC297"/>
    <w:rsid w:val="28176529"/>
    <w:rsid w:val="281CA47E"/>
    <w:rsid w:val="28377110"/>
    <w:rsid w:val="285CCE9C"/>
    <w:rsid w:val="285F6927"/>
    <w:rsid w:val="2865A7D6"/>
    <w:rsid w:val="287E5594"/>
    <w:rsid w:val="289F8F8E"/>
    <w:rsid w:val="28BF4F53"/>
    <w:rsid w:val="28C63F24"/>
    <w:rsid w:val="28CC59F5"/>
    <w:rsid w:val="28CE6901"/>
    <w:rsid w:val="28D22E33"/>
    <w:rsid w:val="28D81925"/>
    <w:rsid w:val="28E44E94"/>
    <w:rsid w:val="28F16A0B"/>
    <w:rsid w:val="28F63844"/>
    <w:rsid w:val="292C3A7E"/>
    <w:rsid w:val="2932FAEF"/>
    <w:rsid w:val="29383C56"/>
    <w:rsid w:val="29388787"/>
    <w:rsid w:val="294BA43D"/>
    <w:rsid w:val="29547FEA"/>
    <w:rsid w:val="29576DC8"/>
    <w:rsid w:val="295F59B3"/>
    <w:rsid w:val="2960223D"/>
    <w:rsid w:val="2978B978"/>
    <w:rsid w:val="297C3F32"/>
    <w:rsid w:val="29803F69"/>
    <w:rsid w:val="2981380E"/>
    <w:rsid w:val="298E919C"/>
    <w:rsid w:val="29934FB7"/>
    <w:rsid w:val="29A0EA9E"/>
    <w:rsid w:val="29BB0B1C"/>
    <w:rsid w:val="29C0D4B7"/>
    <w:rsid w:val="29DBADA9"/>
    <w:rsid w:val="29DC2FC7"/>
    <w:rsid w:val="29E38362"/>
    <w:rsid w:val="2A0244EB"/>
    <w:rsid w:val="2A0A3087"/>
    <w:rsid w:val="2A0BA1D1"/>
    <w:rsid w:val="2A29C189"/>
    <w:rsid w:val="2A35377F"/>
    <w:rsid w:val="2A370A20"/>
    <w:rsid w:val="2A39BD45"/>
    <w:rsid w:val="2A4C0B52"/>
    <w:rsid w:val="2A5CB9D0"/>
    <w:rsid w:val="2A74BA8C"/>
    <w:rsid w:val="2A752919"/>
    <w:rsid w:val="2A81DF07"/>
    <w:rsid w:val="2A834822"/>
    <w:rsid w:val="2A93F5AD"/>
    <w:rsid w:val="2AC1F98C"/>
    <w:rsid w:val="2ACCA8B9"/>
    <w:rsid w:val="2ACE2B94"/>
    <w:rsid w:val="2AD28A6E"/>
    <w:rsid w:val="2AD7C8E0"/>
    <w:rsid w:val="2AE6B249"/>
    <w:rsid w:val="2AE6E002"/>
    <w:rsid w:val="2AF0DF6B"/>
    <w:rsid w:val="2AF29C73"/>
    <w:rsid w:val="2AF3C95D"/>
    <w:rsid w:val="2B0B3A79"/>
    <w:rsid w:val="2B0EB5A3"/>
    <w:rsid w:val="2B12C84F"/>
    <w:rsid w:val="2B1BD98A"/>
    <w:rsid w:val="2B1C3906"/>
    <w:rsid w:val="2B20190B"/>
    <w:rsid w:val="2B22A04D"/>
    <w:rsid w:val="2B280750"/>
    <w:rsid w:val="2B3F1BD7"/>
    <w:rsid w:val="2B465153"/>
    <w:rsid w:val="2B575D19"/>
    <w:rsid w:val="2B799E97"/>
    <w:rsid w:val="2B9E2945"/>
    <w:rsid w:val="2B9E9D49"/>
    <w:rsid w:val="2BAC98A2"/>
    <w:rsid w:val="2BB709CB"/>
    <w:rsid w:val="2BCE4955"/>
    <w:rsid w:val="2BCFE4D1"/>
    <w:rsid w:val="2BE36E30"/>
    <w:rsid w:val="2BFD99D2"/>
    <w:rsid w:val="2C00C619"/>
    <w:rsid w:val="2C0372E8"/>
    <w:rsid w:val="2C184330"/>
    <w:rsid w:val="2C3B2DD0"/>
    <w:rsid w:val="2C4F8E93"/>
    <w:rsid w:val="2C51A7AD"/>
    <w:rsid w:val="2C57EA1C"/>
    <w:rsid w:val="2C6767F0"/>
    <w:rsid w:val="2C6BF410"/>
    <w:rsid w:val="2C7A4D55"/>
    <w:rsid w:val="2C93EFDC"/>
    <w:rsid w:val="2CA09F9D"/>
    <w:rsid w:val="2CA10527"/>
    <w:rsid w:val="2CA6074D"/>
    <w:rsid w:val="2CAA2312"/>
    <w:rsid w:val="2CAC07EB"/>
    <w:rsid w:val="2CCF9544"/>
    <w:rsid w:val="2CD33A2E"/>
    <w:rsid w:val="2CDFE449"/>
    <w:rsid w:val="2CE0306E"/>
    <w:rsid w:val="2CE1D5A2"/>
    <w:rsid w:val="2CE2615A"/>
    <w:rsid w:val="2CE56792"/>
    <w:rsid w:val="2CE8F37E"/>
    <w:rsid w:val="2CF38672"/>
    <w:rsid w:val="2CFA60F7"/>
    <w:rsid w:val="2D061552"/>
    <w:rsid w:val="2D122831"/>
    <w:rsid w:val="2D189E77"/>
    <w:rsid w:val="2D25604A"/>
    <w:rsid w:val="2D2EA8C7"/>
    <w:rsid w:val="2D3BF478"/>
    <w:rsid w:val="2D3F636B"/>
    <w:rsid w:val="2D4B5716"/>
    <w:rsid w:val="2D4D104B"/>
    <w:rsid w:val="2D5538F2"/>
    <w:rsid w:val="2D56FC4D"/>
    <w:rsid w:val="2D5DDB9B"/>
    <w:rsid w:val="2D65CAA2"/>
    <w:rsid w:val="2D699FC8"/>
    <w:rsid w:val="2D75E047"/>
    <w:rsid w:val="2D857370"/>
    <w:rsid w:val="2D92F653"/>
    <w:rsid w:val="2D971913"/>
    <w:rsid w:val="2D976FC5"/>
    <w:rsid w:val="2D999181"/>
    <w:rsid w:val="2D9F6B33"/>
    <w:rsid w:val="2DCBDB71"/>
    <w:rsid w:val="2DE6FCC4"/>
    <w:rsid w:val="2DF3BD27"/>
    <w:rsid w:val="2E042EEB"/>
    <w:rsid w:val="2E132D3E"/>
    <w:rsid w:val="2E15ABDF"/>
    <w:rsid w:val="2E1D4AA8"/>
    <w:rsid w:val="2E27AC4A"/>
    <w:rsid w:val="2E41B9B9"/>
    <w:rsid w:val="2E4C3279"/>
    <w:rsid w:val="2E5B32DA"/>
    <w:rsid w:val="2E5D5AB6"/>
    <w:rsid w:val="2E60BE8B"/>
    <w:rsid w:val="2E724BFB"/>
    <w:rsid w:val="2E7756EA"/>
    <w:rsid w:val="2E87FF66"/>
    <w:rsid w:val="2E8AE14B"/>
    <w:rsid w:val="2E8F77B8"/>
    <w:rsid w:val="2E97E141"/>
    <w:rsid w:val="2E9A2399"/>
    <w:rsid w:val="2EAF068E"/>
    <w:rsid w:val="2EB81D7D"/>
    <w:rsid w:val="2EC5FBE1"/>
    <w:rsid w:val="2ED07EE7"/>
    <w:rsid w:val="2EDFC1EA"/>
    <w:rsid w:val="2EFDF813"/>
    <w:rsid w:val="2F0540D4"/>
    <w:rsid w:val="2F090E95"/>
    <w:rsid w:val="2F10ADC3"/>
    <w:rsid w:val="2F1F5B8A"/>
    <w:rsid w:val="2F3CDB7F"/>
    <w:rsid w:val="2F41D387"/>
    <w:rsid w:val="2F46CCD3"/>
    <w:rsid w:val="2F4AECFE"/>
    <w:rsid w:val="2F5C738A"/>
    <w:rsid w:val="2F8325B2"/>
    <w:rsid w:val="2F864E85"/>
    <w:rsid w:val="2F8D2BDC"/>
    <w:rsid w:val="2F957B16"/>
    <w:rsid w:val="2F977806"/>
    <w:rsid w:val="2FB85DEB"/>
    <w:rsid w:val="2FCB9D76"/>
    <w:rsid w:val="2FDE5DD0"/>
    <w:rsid w:val="2FE5BDE4"/>
    <w:rsid w:val="2FE6C5E5"/>
    <w:rsid w:val="2FEB3283"/>
    <w:rsid w:val="3013187D"/>
    <w:rsid w:val="30147C13"/>
    <w:rsid w:val="30202220"/>
    <w:rsid w:val="3023C6E6"/>
    <w:rsid w:val="303B13C6"/>
    <w:rsid w:val="304D11E9"/>
    <w:rsid w:val="305E5BA8"/>
    <w:rsid w:val="306733E4"/>
    <w:rsid w:val="306E3049"/>
    <w:rsid w:val="307EAED3"/>
    <w:rsid w:val="308664AA"/>
    <w:rsid w:val="30AEC610"/>
    <w:rsid w:val="30D00613"/>
    <w:rsid w:val="30DA8BFC"/>
    <w:rsid w:val="30DC2BE6"/>
    <w:rsid w:val="30E0FB47"/>
    <w:rsid w:val="30E207F3"/>
    <w:rsid w:val="30E2C92A"/>
    <w:rsid w:val="30F37D5C"/>
    <w:rsid w:val="30FA43E0"/>
    <w:rsid w:val="30FAA706"/>
    <w:rsid w:val="310813EB"/>
    <w:rsid w:val="311ABC99"/>
    <w:rsid w:val="312A037E"/>
    <w:rsid w:val="312F7308"/>
    <w:rsid w:val="3133CA77"/>
    <w:rsid w:val="3134C046"/>
    <w:rsid w:val="3137DA9F"/>
    <w:rsid w:val="31386E35"/>
    <w:rsid w:val="314C83C6"/>
    <w:rsid w:val="315CF0D7"/>
    <w:rsid w:val="315FAA0A"/>
    <w:rsid w:val="316BAFE7"/>
    <w:rsid w:val="31750AD4"/>
    <w:rsid w:val="3176C78E"/>
    <w:rsid w:val="31862D7D"/>
    <w:rsid w:val="318DAD9D"/>
    <w:rsid w:val="31AB8B6B"/>
    <w:rsid w:val="31ADDBD3"/>
    <w:rsid w:val="31DEC665"/>
    <w:rsid w:val="31E3D62A"/>
    <w:rsid w:val="31E8E836"/>
    <w:rsid w:val="31F7B6BF"/>
    <w:rsid w:val="31FEB23A"/>
    <w:rsid w:val="32043AEB"/>
    <w:rsid w:val="3221B264"/>
    <w:rsid w:val="3226355F"/>
    <w:rsid w:val="322F5ECF"/>
    <w:rsid w:val="3256B663"/>
    <w:rsid w:val="3259DF57"/>
    <w:rsid w:val="325E8ECE"/>
    <w:rsid w:val="32601886"/>
    <w:rsid w:val="3260D9D4"/>
    <w:rsid w:val="32627AB2"/>
    <w:rsid w:val="3265FD26"/>
    <w:rsid w:val="32714142"/>
    <w:rsid w:val="328142AB"/>
    <w:rsid w:val="3284E288"/>
    <w:rsid w:val="32902BCF"/>
    <w:rsid w:val="32935182"/>
    <w:rsid w:val="329F9611"/>
    <w:rsid w:val="32B09A06"/>
    <w:rsid w:val="32B9BA1E"/>
    <w:rsid w:val="32CA737F"/>
    <w:rsid w:val="32DE1766"/>
    <w:rsid w:val="32F8241C"/>
    <w:rsid w:val="32FFE3D8"/>
    <w:rsid w:val="33056BB1"/>
    <w:rsid w:val="330965A0"/>
    <w:rsid w:val="330D548D"/>
    <w:rsid w:val="330DD802"/>
    <w:rsid w:val="33263F98"/>
    <w:rsid w:val="332BF0F2"/>
    <w:rsid w:val="333A5EDC"/>
    <w:rsid w:val="334C65BF"/>
    <w:rsid w:val="334D2471"/>
    <w:rsid w:val="3358F6AA"/>
    <w:rsid w:val="3367A0E1"/>
    <w:rsid w:val="336841E1"/>
    <w:rsid w:val="337149AB"/>
    <w:rsid w:val="3378D7F2"/>
    <w:rsid w:val="337A39A0"/>
    <w:rsid w:val="338DB0F6"/>
    <w:rsid w:val="3395790B"/>
    <w:rsid w:val="33982B70"/>
    <w:rsid w:val="339ADFD5"/>
    <w:rsid w:val="33AD0B1B"/>
    <w:rsid w:val="33B662C7"/>
    <w:rsid w:val="33CA9EA6"/>
    <w:rsid w:val="33D9EF4C"/>
    <w:rsid w:val="33EC70A4"/>
    <w:rsid w:val="33EE292D"/>
    <w:rsid w:val="33F53C6A"/>
    <w:rsid w:val="33F6AD7B"/>
    <w:rsid w:val="3406B8BD"/>
    <w:rsid w:val="3408DE4F"/>
    <w:rsid w:val="341BE963"/>
    <w:rsid w:val="34245E43"/>
    <w:rsid w:val="342C9DB9"/>
    <w:rsid w:val="3437A5BE"/>
    <w:rsid w:val="34631CF4"/>
    <w:rsid w:val="34819914"/>
    <w:rsid w:val="348407E6"/>
    <w:rsid w:val="3486943E"/>
    <w:rsid w:val="34A50B0C"/>
    <w:rsid w:val="34B030EF"/>
    <w:rsid w:val="34D2A364"/>
    <w:rsid w:val="34DF5024"/>
    <w:rsid w:val="34E0B81A"/>
    <w:rsid w:val="34E7CA14"/>
    <w:rsid w:val="34EB67C8"/>
    <w:rsid w:val="34EB7F30"/>
    <w:rsid w:val="34EC7A51"/>
    <w:rsid w:val="34F6A0F8"/>
    <w:rsid w:val="34FEA11D"/>
    <w:rsid w:val="3508C4A3"/>
    <w:rsid w:val="3511B98D"/>
    <w:rsid w:val="3519CB82"/>
    <w:rsid w:val="35226B78"/>
    <w:rsid w:val="35234291"/>
    <w:rsid w:val="35296C99"/>
    <w:rsid w:val="353772A6"/>
    <w:rsid w:val="353B7B1B"/>
    <w:rsid w:val="3541196E"/>
    <w:rsid w:val="35416735"/>
    <w:rsid w:val="3548E353"/>
    <w:rsid w:val="354DA98C"/>
    <w:rsid w:val="354E7745"/>
    <w:rsid w:val="356971C6"/>
    <w:rsid w:val="357145B8"/>
    <w:rsid w:val="358526F6"/>
    <w:rsid w:val="358B9D7A"/>
    <w:rsid w:val="3591D595"/>
    <w:rsid w:val="35A2F995"/>
    <w:rsid w:val="35B713D7"/>
    <w:rsid w:val="35C4BC82"/>
    <w:rsid w:val="35CACD35"/>
    <w:rsid w:val="35D7AEB6"/>
    <w:rsid w:val="35E65B6D"/>
    <w:rsid w:val="35F1A5CB"/>
    <w:rsid w:val="36089C19"/>
    <w:rsid w:val="360B92E9"/>
    <w:rsid w:val="361DA075"/>
    <w:rsid w:val="361E500E"/>
    <w:rsid w:val="3626FC79"/>
    <w:rsid w:val="362CA8A9"/>
    <w:rsid w:val="363D72C6"/>
    <w:rsid w:val="36584A8D"/>
    <w:rsid w:val="3658C52B"/>
    <w:rsid w:val="3679D3E7"/>
    <w:rsid w:val="3679DFF0"/>
    <w:rsid w:val="368D73A2"/>
    <w:rsid w:val="369E422F"/>
    <w:rsid w:val="36A06A78"/>
    <w:rsid w:val="36A5617E"/>
    <w:rsid w:val="36AC9D40"/>
    <w:rsid w:val="36C45094"/>
    <w:rsid w:val="36C8186F"/>
    <w:rsid w:val="36CEFB57"/>
    <w:rsid w:val="36D070D0"/>
    <w:rsid w:val="36E8694E"/>
    <w:rsid w:val="36EA4B3C"/>
    <w:rsid w:val="36F063EF"/>
    <w:rsid w:val="3703A6C9"/>
    <w:rsid w:val="370B532D"/>
    <w:rsid w:val="370E12CC"/>
    <w:rsid w:val="370F0723"/>
    <w:rsid w:val="371B0D72"/>
    <w:rsid w:val="376B99F1"/>
    <w:rsid w:val="37721B7A"/>
    <w:rsid w:val="377A3EED"/>
    <w:rsid w:val="37816CA5"/>
    <w:rsid w:val="3784E9D2"/>
    <w:rsid w:val="378E24BF"/>
    <w:rsid w:val="378FA2DC"/>
    <w:rsid w:val="37A1C4AF"/>
    <w:rsid w:val="37A4DC5B"/>
    <w:rsid w:val="37A70F25"/>
    <w:rsid w:val="37AE85DD"/>
    <w:rsid w:val="37BBE1BA"/>
    <w:rsid w:val="37C93719"/>
    <w:rsid w:val="37CED402"/>
    <w:rsid w:val="37D292F4"/>
    <w:rsid w:val="37EC5C36"/>
    <w:rsid w:val="37ED1A4C"/>
    <w:rsid w:val="37F16E01"/>
    <w:rsid w:val="37F25401"/>
    <w:rsid w:val="380684AD"/>
    <w:rsid w:val="3810D80B"/>
    <w:rsid w:val="3817219A"/>
    <w:rsid w:val="3819630D"/>
    <w:rsid w:val="38232D09"/>
    <w:rsid w:val="3824A55F"/>
    <w:rsid w:val="382DD81B"/>
    <w:rsid w:val="3833E3AE"/>
    <w:rsid w:val="383C6951"/>
    <w:rsid w:val="383CC357"/>
    <w:rsid w:val="383DF74B"/>
    <w:rsid w:val="38460F4C"/>
    <w:rsid w:val="385C44E1"/>
    <w:rsid w:val="385F2300"/>
    <w:rsid w:val="38670576"/>
    <w:rsid w:val="386FF4B6"/>
    <w:rsid w:val="3889FAC0"/>
    <w:rsid w:val="38A2A85E"/>
    <w:rsid w:val="38A6E8EE"/>
    <w:rsid w:val="38A86D11"/>
    <w:rsid w:val="38BAB9AE"/>
    <w:rsid w:val="38C3CF98"/>
    <w:rsid w:val="38C66B54"/>
    <w:rsid w:val="38C90BD3"/>
    <w:rsid w:val="38D77FB9"/>
    <w:rsid w:val="38D849C3"/>
    <w:rsid w:val="38D8C23D"/>
    <w:rsid w:val="38E73FAA"/>
    <w:rsid w:val="38E9989B"/>
    <w:rsid w:val="38EDD465"/>
    <w:rsid w:val="39041FB4"/>
    <w:rsid w:val="391EB429"/>
    <w:rsid w:val="392305C4"/>
    <w:rsid w:val="392AC124"/>
    <w:rsid w:val="392F351B"/>
    <w:rsid w:val="393E0F5F"/>
    <w:rsid w:val="3959441B"/>
    <w:rsid w:val="39646319"/>
    <w:rsid w:val="396689E3"/>
    <w:rsid w:val="3974CDC5"/>
    <w:rsid w:val="3991CCEA"/>
    <w:rsid w:val="39A6F140"/>
    <w:rsid w:val="39B1F1D3"/>
    <w:rsid w:val="39D248FA"/>
    <w:rsid w:val="39DD1899"/>
    <w:rsid w:val="3A059CD0"/>
    <w:rsid w:val="3A100EDC"/>
    <w:rsid w:val="3A145F05"/>
    <w:rsid w:val="3A333AC8"/>
    <w:rsid w:val="3A3B97C2"/>
    <w:rsid w:val="3A3D2FCB"/>
    <w:rsid w:val="3A4E87F4"/>
    <w:rsid w:val="3A4E8F36"/>
    <w:rsid w:val="3A517AC0"/>
    <w:rsid w:val="3A678906"/>
    <w:rsid w:val="3A8C7A38"/>
    <w:rsid w:val="3A909BE6"/>
    <w:rsid w:val="3A9586BB"/>
    <w:rsid w:val="3A995157"/>
    <w:rsid w:val="3AA9BF25"/>
    <w:rsid w:val="3AC14DC4"/>
    <w:rsid w:val="3AC1CB72"/>
    <w:rsid w:val="3AC5326B"/>
    <w:rsid w:val="3ACB20E4"/>
    <w:rsid w:val="3ACFF1F1"/>
    <w:rsid w:val="3AD4B840"/>
    <w:rsid w:val="3ADA88AB"/>
    <w:rsid w:val="3ADADEBD"/>
    <w:rsid w:val="3AEC1574"/>
    <w:rsid w:val="3AEEC050"/>
    <w:rsid w:val="3AFB8710"/>
    <w:rsid w:val="3B02DFDF"/>
    <w:rsid w:val="3B215C16"/>
    <w:rsid w:val="3B22492B"/>
    <w:rsid w:val="3B24E4D7"/>
    <w:rsid w:val="3B5306C9"/>
    <w:rsid w:val="3B5D0D70"/>
    <w:rsid w:val="3B727530"/>
    <w:rsid w:val="3B74F99A"/>
    <w:rsid w:val="3B953146"/>
    <w:rsid w:val="3B9E9F67"/>
    <w:rsid w:val="3BA12945"/>
    <w:rsid w:val="3BBD7E96"/>
    <w:rsid w:val="3BCF31B5"/>
    <w:rsid w:val="3BD6D5A9"/>
    <w:rsid w:val="3BF209EE"/>
    <w:rsid w:val="3BF56C53"/>
    <w:rsid w:val="3BF6ADDC"/>
    <w:rsid w:val="3C00CE88"/>
    <w:rsid w:val="3C0343CE"/>
    <w:rsid w:val="3C09C3C0"/>
    <w:rsid w:val="3C112BCD"/>
    <w:rsid w:val="3C16F8A6"/>
    <w:rsid w:val="3C202F77"/>
    <w:rsid w:val="3C356805"/>
    <w:rsid w:val="3C47DE0A"/>
    <w:rsid w:val="3C52D1DF"/>
    <w:rsid w:val="3C5520B3"/>
    <w:rsid w:val="3C560F00"/>
    <w:rsid w:val="3C5788D4"/>
    <w:rsid w:val="3C5BE97E"/>
    <w:rsid w:val="3C5C0896"/>
    <w:rsid w:val="3C5F88ED"/>
    <w:rsid w:val="3C6B62B7"/>
    <w:rsid w:val="3C881140"/>
    <w:rsid w:val="3CB5AE34"/>
    <w:rsid w:val="3CBC1878"/>
    <w:rsid w:val="3CCED844"/>
    <w:rsid w:val="3CD7542F"/>
    <w:rsid w:val="3CD7C62D"/>
    <w:rsid w:val="3CE6CCF2"/>
    <w:rsid w:val="3CEC3CBA"/>
    <w:rsid w:val="3CF2C9CE"/>
    <w:rsid w:val="3CFC7E82"/>
    <w:rsid w:val="3D05839A"/>
    <w:rsid w:val="3D149767"/>
    <w:rsid w:val="3D1803A5"/>
    <w:rsid w:val="3D45BD6D"/>
    <w:rsid w:val="3D4F6591"/>
    <w:rsid w:val="3D54B7BC"/>
    <w:rsid w:val="3D5C8F14"/>
    <w:rsid w:val="3D7DF30A"/>
    <w:rsid w:val="3D84DC57"/>
    <w:rsid w:val="3D9383B1"/>
    <w:rsid w:val="3D9A330E"/>
    <w:rsid w:val="3DC01042"/>
    <w:rsid w:val="3DCA7FCF"/>
    <w:rsid w:val="3DD34115"/>
    <w:rsid w:val="3DE23C51"/>
    <w:rsid w:val="3DE7EF7A"/>
    <w:rsid w:val="3DF43A41"/>
    <w:rsid w:val="3DFFE8DF"/>
    <w:rsid w:val="3E009110"/>
    <w:rsid w:val="3E17ED54"/>
    <w:rsid w:val="3E358284"/>
    <w:rsid w:val="3E44E605"/>
    <w:rsid w:val="3E4827A0"/>
    <w:rsid w:val="3E5E2561"/>
    <w:rsid w:val="3E5FA085"/>
    <w:rsid w:val="3E6A1B44"/>
    <w:rsid w:val="3E71C19B"/>
    <w:rsid w:val="3E77D556"/>
    <w:rsid w:val="3E86D5AC"/>
    <w:rsid w:val="3E86F5C5"/>
    <w:rsid w:val="3E8B97AA"/>
    <w:rsid w:val="3E8C7605"/>
    <w:rsid w:val="3E9294CA"/>
    <w:rsid w:val="3EA0432B"/>
    <w:rsid w:val="3EA50873"/>
    <w:rsid w:val="3EA8AF61"/>
    <w:rsid w:val="3EB735BA"/>
    <w:rsid w:val="3EB918AF"/>
    <w:rsid w:val="3EB9DCAB"/>
    <w:rsid w:val="3ECB3830"/>
    <w:rsid w:val="3EDC3A9C"/>
    <w:rsid w:val="3EE8802C"/>
    <w:rsid w:val="3EF0B766"/>
    <w:rsid w:val="3EFA68F3"/>
    <w:rsid w:val="3EFF3FD2"/>
    <w:rsid w:val="3F0F82F1"/>
    <w:rsid w:val="3F12DFFE"/>
    <w:rsid w:val="3F194DA5"/>
    <w:rsid w:val="3F1D6E27"/>
    <w:rsid w:val="3F1EA731"/>
    <w:rsid w:val="3F241F3E"/>
    <w:rsid w:val="3F274886"/>
    <w:rsid w:val="3F33ED7D"/>
    <w:rsid w:val="3F4CBA30"/>
    <w:rsid w:val="3F59336D"/>
    <w:rsid w:val="3F618BBF"/>
    <w:rsid w:val="3F6453DB"/>
    <w:rsid w:val="3F815519"/>
    <w:rsid w:val="3F87C4CA"/>
    <w:rsid w:val="3F8A0B50"/>
    <w:rsid w:val="3F92D36D"/>
    <w:rsid w:val="3F972A1C"/>
    <w:rsid w:val="3FAA44BB"/>
    <w:rsid w:val="3FB4B0A8"/>
    <w:rsid w:val="3FBAFAE8"/>
    <w:rsid w:val="3FC421FC"/>
    <w:rsid w:val="3FCFD02B"/>
    <w:rsid w:val="3FD7FF2D"/>
    <w:rsid w:val="3FD89454"/>
    <w:rsid w:val="3FDB3F55"/>
    <w:rsid w:val="3FDF0BB7"/>
    <w:rsid w:val="3FE382BA"/>
    <w:rsid w:val="3FEAEE80"/>
    <w:rsid w:val="3FF37BE6"/>
    <w:rsid w:val="3FFCB86A"/>
    <w:rsid w:val="3FFD6123"/>
    <w:rsid w:val="400A378B"/>
    <w:rsid w:val="400D9DED"/>
    <w:rsid w:val="402CB619"/>
    <w:rsid w:val="4030DFA5"/>
    <w:rsid w:val="403CCD9E"/>
    <w:rsid w:val="40474160"/>
    <w:rsid w:val="4052EC4E"/>
    <w:rsid w:val="405B1449"/>
    <w:rsid w:val="4073F22A"/>
    <w:rsid w:val="40876432"/>
    <w:rsid w:val="408A6502"/>
    <w:rsid w:val="408D06F0"/>
    <w:rsid w:val="4090128D"/>
    <w:rsid w:val="4093F7D0"/>
    <w:rsid w:val="409E5B80"/>
    <w:rsid w:val="40B54CA6"/>
    <w:rsid w:val="40BD8596"/>
    <w:rsid w:val="40C1695C"/>
    <w:rsid w:val="40C648F8"/>
    <w:rsid w:val="40C9F5B6"/>
    <w:rsid w:val="40DD394D"/>
    <w:rsid w:val="40EC2BF1"/>
    <w:rsid w:val="40F2C1C4"/>
    <w:rsid w:val="40F684CB"/>
    <w:rsid w:val="4105FC5D"/>
    <w:rsid w:val="41085836"/>
    <w:rsid w:val="41158505"/>
    <w:rsid w:val="411EC9A5"/>
    <w:rsid w:val="41214D0F"/>
    <w:rsid w:val="412822E0"/>
    <w:rsid w:val="41324C52"/>
    <w:rsid w:val="4147B2F7"/>
    <w:rsid w:val="4149BEFC"/>
    <w:rsid w:val="41553AD0"/>
    <w:rsid w:val="41597921"/>
    <w:rsid w:val="415CFF69"/>
    <w:rsid w:val="41664230"/>
    <w:rsid w:val="416A08E7"/>
    <w:rsid w:val="418C36DE"/>
    <w:rsid w:val="41A69406"/>
    <w:rsid w:val="41BCFB76"/>
    <w:rsid w:val="41C34EF4"/>
    <w:rsid w:val="41C37290"/>
    <w:rsid w:val="41D57EDD"/>
    <w:rsid w:val="41D77528"/>
    <w:rsid w:val="41D9A715"/>
    <w:rsid w:val="41DBCBC0"/>
    <w:rsid w:val="41DD776F"/>
    <w:rsid w:val="41DF13B6"/>
    <w:rsid w:val="41E0B58E"/>
    <w:rsid w:val="41E70AC5"/>
    <w:rsid w:val="41FC5CFD"/>
    <w:rsid w:val="4201CA07"/>
    <w:rsid w:val="42100CE7"/>
    <w:rsid w:val="4223962C"/>
    <w:rsid w:val="4224BDB5"/>
    <w:rsid w:val="42282527"/>
    <w:rsid w:val="422CAFCA"/>
    <w:rsid w:val="423F6FE6"/>
    <w:rsid w:val="42444FB6"/>
    <w:rsid w:val="4247133A"/>
    <w:rsid w:val="4247154A"/>
    <w:rsid w:val="42530F5C"/>
    <w:rsid w:val="42531139"/>
    <w:rsid w:val="42590BE5"/>
    <w:rsid w:val="426306D1"/>
    <w:rsid w:val="42644871"/>
    <w:rsid w:val="42652F1E"/>
    <w:rsid w:val="42655ECA"/>
    <w:rsid w:val="427AB497"/>
    <w:rsid w:val="4280A778"/>
    <w:rsid w:val="4293A01C"/>
    <w:rsid w:val="429ADFD7"/>
    <w:rsid w:val="42A9DCD6"/>
    <w:rsid w:val="42B43494"/>
    <w:rsid w:val="42C8F963"/>
    <w:rsid w:val="42CC2C31"/>
    <w:rsid w:val="42CE0C8E"/>
    <w:rsid w:val="42D904AA"/>
    <w:rsid w:val="42D937D3"/>
    <w:rsid w:val="42EFACFA"/>
    <w:rsid w:val="42F63596"/>
    <w:rsid w:val="430B9FAC"/>
    <w:rsid w:val="4310938E"/>
    <w:rsid w:val="43122577"/>
    <w:rsid w:val="4316B7E2"/>
    <w:rsid w:val="431E37AA"/>
    <w:rsid w:val="4327E45D"/>
    <w:rsid w:val="43330572"/>
    <w:rsid w:val="4335C628"/>
    <w:rsid w:val="433B34FE"/>
    <w:rsid w:val="4342239F"/>
    <w:rsid w:val="43486EF9"/>
    <w:rsid w:val="435CB777"/>
    <w:rsid w:val="43623AE5"/>
    <w:rsid w:val="436735D0"/>
    <w:rsid w:val="436AB431"/>
    <w:rsid w:val="436B8E7F"/>
    <w:rsid w:val="436E1116"/>
    <w:rsid w:val="438764C8"/>
    <w:rsid w:val="438B0567"/>
    <w:rsid w:val="439A9C47"/>
    <w:rsid w:val="439F7031"/>
    <w:rsid w:val="43A0A09F"/>
    <w:rsid w:val="43A59A74"/>
    <w:rsid w:val="43AA5DF6"/>
    <w:rsid w:val="43EAADA9"/>
    <w:rsid w:val="43EE4D08"/>
    <w:rsid w:val="43F0CD49"/>
    <w:rsid w:val="43F32FF5"/>
    <w:rsid w:val="440BBBE8"/>
    <w:rsid w:val="441E37A1"/>
    <w:rsid w:val="44210793"/>
    <w:rsid w:val="44291F27"/>
    <w:rsid w:val="44428F28"/>
    <w:rsid w:val="444A172B"/>
    <w:rsid w:val="444F05A2"/>
    <w:rsid w:val="444FBF4F"/>
    <w:rsid w:val="44510C58"/>
    <w:rsid w:val="4457AAB8"/>
    <w:rsid w:val="4479EE63"/>
    <w:rsid w:val="447DDDFD"/>
    <w:rsid w:val="4485C194"/>
    <w:rsid w:val="44880EEC"/>
    <w:rsid w:val="449092D4"/>
    <w:rsid w:val="4493A33E"/>
    <w:rsid w:val="44966F10"/>
    <w:rsid w:val="44993ECA"/>
    <w:rsid w:val="44A27E6E"/>
    <w:rsid w:val="44A2D1A2"/>
    <w:rsid w:val="44AD6BA1"/>
    <w:rsid w:val="44B02406"/>
    <w:rsid w:val="44B4B103"/>
    <w:rsid w:val="44B80A87"/>
    <w:rsid w:val="44C9B5E0"/>
    <w:rsid w:val="44D44792"/>
    <w:rsid w:val="44DFD134"/>
    <w:rsid w:val="44E3A64F"/>
    <w:rsid w:val="44F45CE7"/>
    <w:rsid w:val="44F8620F"/>
    <w:rsid w:val="44FFB99B"/>
    <w:rsid w:val="45111504"/>
    <w:rsid w:val="4511E136"/>
    <w:rsid w:val="45283AE5"/>
    <w:rsid w:val="452E008B"/>
    <w:rsid w:val="453AF508"/>
    <w:rsid w:val="453B8941"/>
    <w:rsid w:val="453C1A17"/>
    <w:rsid w:val="454B34A5"/>
    <w:rsid w:val="454DF26C"/>
    <w:rsid w:val="4564FFD5"/>
    <w:rsid w:val="456B0019"/>
    <w:rsid w:val="45719072"/>
    <w:rsid w:val="45729926"/>
    <w:rsid w:val="4595C4B3"/>
    <w:rsid w:val="459B6CDD"/>
    <w:rsid w:val="45BE114C"/>
    <w:rsid w:val="45C3C731"/>
    <w:rsid w:val="45C9BA2F"/>
    <w:rsid w:val="45C9C634"/>
    <w:rsid w:val="45E76464"/>
    <w:rsid w:val="45E76828"/>
    <w:rsid w:val="45F279AA"/>
    <w:rsid w:val="45F316A4"/>
    <w:rsid w:val="45FC20FE"/>
    <w:rsid w:val="46012DAB"/>
    <w:rsid w:val="4604EE04"/>
    <w:rsid w:val="46090DAD"/>
    <w:rsid w:val="4609297D"/>
    <w:rsid w:val="4643EA09"/>
    <w:rsid w:val="464C5159"/>
    <w:rsid w:val="466C16A0"/>
    <w:rsid w:val="46837939"/>
    <w:rsid w:val="46C8AE0A"/>
    <w:rsid w:val="46CA95CC"/>
    <w:rsid w:val="46D9A1A3"/>
    <w:rsid w:val="46F880E0"/>
    <w:rsid w:val="46FF9CF7"/>
    <w:rsid w:val="47043891"/>
    <w:rsid w:val="4705D1F3"/>
    <w:rsid w:val="47076349"/>
    <w:rsid w:val="470A55DC"/>
    <w:rsid w:val="470D6BD2"/>
    <w:rsid w:val="47180632"/>
    <w:rsid w:val="472137C7"/>
    <w:rsid w:val="472177D3"/>
    <w:rsid w:val="47285193"/>
    <w:rsid w:val="4729DDEC"/>
    <w:rsid w:val="4735AB73"/>
    <w:rsid w:val="475063D0"/>
    <w:rsid w:val="475686EC"/>
    <w:rsid w:val="47688444"/>
    <w:rsid w:val="4774C9CE"/>
    <w:rsid w:val="47870DDC"/>
    <w:rsid w:val="478CA8F1"/>
    <w:rsid w:val="47A3D079"/>
    <w:rsid w:val="47B064FA"/>
    <w:rsid w:val="47DAD308"/>
    <w:rsid w:val="47DE0F14"/>
    <w:rsid w:val="47E1BE26"/>
    <w:rsid w:val="47E1D654"/>
    <w:rsid w:val="47E4711D"/>
    <w:rsid w:val="48190B42"/>
    <w:rsid w:val="4822BD6E"/>
    <w:rsid w:val="482F9B6D"/>
    <w:rsid w:val="4840264B"/>
    <w:rsid w:val="4844C05D"/>
    <w:rsid w:val="484A37D1"/>
    <w:rsid w:val="484DB8CF"/>
    <w:rsid w:val="48985E87"/>
    <w:rsid w:val="48AADA0E"/>
    <w:rsid w:val="48AB657E"/>
    <w:rsid w:val="48B4D01A"/>
    <w:rsid w:val="48BAB921"/>
    <w:rsid w:val="48BC8E15"/>
    <w:rsid w:val="48E11E30"/>
    <w:rsid w:val="48E27CED"/>
    <w:rsid w:val="48F3FF9D"/>
    <w:rsid w:val="48F472CA"/>
    <w:rsid w:val="48F8F825"/>
    <w:rsid w:val="49055D8C"/>
    <w:rsid w:val="491214A7"/>
    <w:rsid w:val="491F8301"/>
    <w:rsid w:val="49266ABD"/>
    <w:rsid w:val="492F2E38"/>
    <w:rsid w:val="492F5479"/>
    <w:rsid w:val="49396CB8"/>
    <w:rsid w:val="49476094"/>
    <w:rsid w:val="4949206E"/>
    <w:rsid w:val="494CE69E"/>
    <w:rsid w:val="49531633"/>
    <w:rsid w:val="49591222"/>
    <w:rsid w:val="495BBBD6"/>
    <w:rsid w:val="4975CB81"/>
    <w:rsid w:val="4976027F"/>
    <w:rsid w:val="497FD60A"/>
    <w:rsid w:val="4981FC64"/>
    <w:rsid w:val="498C45B8"/>
    <w:rsid w:val="498D91DE"/>
    <w:rsid w:val="499F274C"/>
    <w:rsid w:val="49A1A92D"/>
    <w:rsid w:val="49A5FD13"/>
    <w:rsid w:val="49C891D1"/>
    <w:rsid w:val="49D66463"/>
    <w:rsid w:val="49DA507B"/>
    <w:rsid w:val="49E2E4CB"/>
    <w:rsid w:val="49F4F658"/>
    <w:rsid w:val="4A00F7EB"/>
    <w:rsid w:val="4A1F7C8D"/>
    <w:rsid w:val="4A21AE3F"/>
    <w:rsid w:val="4A284803"/>
    <w:rsid w:val="4A2BA164"/>
    <w:rsid w:val="4A306183"/>
    <w:rsid w:val="4A40F42F"/>
    <w:rsid w:val="4A497171"/>
    <w:rsid w:val="4A4C4341"/>
    <w:rsid w:val="4A4C9053"/>
    <w:rsid w:val="4A4EFBE6"/>
    <w:rsid w:val="4A4F7426"/>
    <w:rsid w:val="4A5E247F"/>
    <w:rsid w:val="4A60E020"/>
    <w:rsid w:val="4A6D8EEC"/>
    <w:rsid w:val="4A7A9A42"/>
    <w:rsid w:val="4A836090"/>
    <w:rsid w:val="4A87AB59"/>
    <w:rsid w:val="4AB343D9"/>
    <w:rsid w:val="4ABAAE43"/>
    <w:rsid w:val="4AC9CD97"/>
    <w:rsid w:val="4AD51FF5"/>
    <w:rsid w:val="4AD8CC3F"/>
    <w:rsid w:val="4ADC6E5F"/>
    <w:rsid w:val="4AE5FBAE"/>
    <w:rsid w:val="4AFA0012"/>
    <w:rsid w:val="4AFD9267"/>
    <w:rsid w:val="4B051E3F"/>
    <w:rsid w:val="4B07A164"/>
    <w:rsid w:val="4B080A57"/>
    <w:rsid w:val="4B182DA1"/>
    <w:rsid w:val="4B20AD09"/>
    <w:rsid w:val="4B2A6F4A"/>
    <w:rsid w:val="4B31C81C"/>
    <w:rsid w:val="4B335AA3"/>
    <w:rsid w:val="4B380B61"/>
    <w:rsid w:val="4B589BEA"/>
    <w:rsid w:val="4B5FF574"/>
    <w:rsid w:val="4B7633F0"/>
    <w:rsid w:val="4B7B5581"/>
    <w:rsid w:val="4B7E82A2"/>
    <w:rsid w:val="4BB160E1"/>
    <w:rsid w:val="4BB2670C"/>
    <w:rsid w:val="4BCAE6A8"/>
    <w:rsid w:val="4BCAEBAE"/>
    <w:rsid w:val="4BCD430F"/>
    <w:rsid w:val="4BD15D15"/>
    <w:rsid w:val="4BD3FA5C"/>
    <w:rsid w:val="4BDB89AF"/>
    <w:rsid w:val="4BE730E1"/>
    <w:rsid w:val="4BF270BD"/>
    <w:rsid w:val="4BF79E91"/>
    <w:rsid w:val="4C040B84"/>
    <w:rsid w:val="4C09C5D3"/>
    <w:rsid w:val="4C10C355"/>
    <w:rsid w:val="4C233F5D"/>
    <w:rsid w:val="4C2C4EBE"/>
    <w:rsid w:val="4C66C500"/>
    <w:rsid w:val="4C759C4A"/>
    <w:rsid w:val="4C870BEF"/>
    <w:rsid w:val="4C91F461"/>
    <w:rsid w:val="4CA6999D"/>
    <w:rsid w:val="4CB65BFC"/>
    <w:rsid w:val="4CC0AFE0"/>
    <w:rsid w:val="4CCF8CE5"/>
    <w:rsid w:val="4CE81407"/>
    <w:rsid w:val="4D012A0D"/>
    <w:rsid w:val="4D16F9FB"/>
    <w:rsid w:val="4D17285E"/>
    <w:rsid w:val="4D19DA7A"/>
    <w:rsid w:val="4D245B3B"/>
    <w:rsid w:val="4D2A764B"/>
    <w:rsid w:val="4D3FAB57"/>
    <w:rsid w:val="4D496A0D"/>
    <w:rsid w:val="4D4AD804"/>
    <w:rsid w:val="4D694367"/>
    <w:rsid w:val="4D7073B3"/>
    <w:rsid w:val="4D719609"/>
    <w:rsid w:val="4D90DB39"/>
    <w:rsid w:val="4D955EAF"/>
    <w:rsid w:val="4DAD7E7C"/>
    <w:rsid w:val="4DAF494D"/>
    <w:rsid w:val="4DB4967B"/>
    <w:rsid w:val="4DB9D2A8"/>
    <w:rsid w:val="4DCE2A56"/>
    <w:rsid w:val="4DD4AD13"/>
    <w:rsid w:val="4DE1BCDE"/>
    <w:rsid w:val="4DEC5E1A"/>
    <w:rsid w:val="4DF19538"/>
    <w:rsid w:val="4E013C13"/>
    <w:rsid w:val="4E163E7F"/>
    <w:rsid w:val="4E1D4814"/>
    <w:rsid w:val="4E223CBB"/>
    <w:rsid w:val="4E388018"/>
    <w:rsid w:val="4E46EB68"/>
    <w:rsid w:val="4E4CD24E"/>
    <w:rsid w:val="4E55F3AA"/>
    <w:rsid w:val="4E8B5A86"/>
    <w:rsid w:val="4E9653E6"/>
    <w:rsid w:val="4E9C5D43"/>
    <w:rsid w:val="4EA01CCF"/>
    <w:rsid w:val="4EACC50C"/>
    <w:rsid w:val="4EAEEDF6"/>
    <w:rsid w:val="4EB074B8"/>
    <w:rsid w:val="4EB15ACD"/>
    <w:rsid w:val="4EB50A3C"/>
    <w:rsid w:val="4EBFE411"/>
    <w:rsid w:val="4EC4C298"/>
    <w:rsid w:val="4EE0235F"/>
    <w:rsid w:val="4EE18156"/>
    <w:rsid w:val="4EE8B185"/>
    <w:rsid w:val="4F0B723B"/>
    <w:rsid w:val="4F0E2026"/>
    <w:rsid w:val="4F104694"/>
    <w:rsid w:val="4F14D353"/>
    <w:rsid w:val="4F2002F2"/>
    <w:rsid w:val="4F2D6F83"/>
    <w:rsid w:val="4F386C53"/>
    <w:rsid w:val="4F3C9710"/>
    <w:rsid w:val="4F41E0C4"/>
    <w:rsid w:val="4F4722BF"/>
    <w:rsid w:val="4F4B3327"/>
    <w:rsid w:val="4F53624F"/>
    <w:rsid w:val="4F6BF581"/>
    <w:rsid w:val="4F70D124"/>
    <w:rsid w:val="4F7AB1E9"/>
    <w:rsid w:val="4F9647C3"/>
    <w:rsid w:val="4FA0880E"/>
    <w:rsid w:val="4FC7E2C0"/>
    <w:rsid w:val="4FCE9E4A"/>
    <w:rsid w:val="4FD85DDE"/>
    <w:rsid w:val="4FDF2EA9"/>
    <w:rsid w:val="4FE00216"/>
    <w:rsid w:val="4FE06F23"/>
    <w:rsid w:val="4FE90F44"/>
    <w:rsid w:val="4FF17EBE"/>
    <w:rsid w:val="4FF622CC"/>
    <w:rsid w:val="5019915D"/>
    <w:rsid w:val="50322E32"/>
    <w:rsid w:val="5050E82D"/>
    <w:rsid w:val="50680DDF"/>
    <w:rsid w:val="5072F9B1"/>
    <w:rsid w:val="507CE268"/>
    <w:rsid w:val="508A6904"/>
    <w:rsid w:val="508D033B"/>
    <w:rsid w:val="50A222EA"/>
    <w:rsid w:val="50A26A20"/>
    <w:rsid w:val="50A2C15A"/>
    <w:rsid w:val="50A644C7"/>
    <w:rsid w:val="50ADDCFE"/>
    <w:rsid w:val="50B3026D"/>
    <w:rsid w:val="50BFD5FF"/>
    <w:rsid w:val="50EC9B72"/>
    <w:rsid w:val="50ED8067"/>
    <w:rsid w:val="50F4845B"/>
    <w:rsid w:val="51078876"/>
    <w:rsid w:val="5108E5B2"/>
    <w:rsid w:val="51122E57"/>
    <w:rsid w:val="511D1D07"/>
    <w:rsid w:val="511DA922"/>
    <w:rsid w:val="511EA76C"/>
    <w:rsid w:val="5122449E"/>
    <w:rsid w:val="512EF8AB"/>
    <w:rsid w:val="5135A353"/>
    <w:rsid w:val="513EBBBA"/>
    <w:rsid w:val="5142375F"/>
    <w:rsid w:val="5154E120"/>
    <w:rsid w:val="516CE98D"/>
    <w:rsid w:val="519794C5"/>
    <w:rsid w:val="51C44163"/>
    <w:rsid w:val="51CAF95D"/>
    <w:rsid w:val="51D68A78"/>
    <w:rsid w:val="51D9A99E"/>
    <w:rsid w:val="51DEB07D"/>
    <w:rsid w:val="51E12BEF"/>
    <w:rsid w:val="51F069FA"/>
    <w:rsid w:val="51F87C0D"/>
    <w:rsid w:val="51FEC10F"/>
    <w:rsid w:val="52093D39"/>
    <w:rsid w:val="520FDD3F"/>
    <w:rsid w:val="522A1186"/>
    <w:rsid w:val="522F578C"/>
    <w:rsid w:val="5242FE70"/>
    <w:rsid w:val="524B1665"/>
    <w:rsid w:val="524C0B8A"/>
    <w:rsid w:val="524C2FE5"/>
    <w:rsid w:val="5266517B"/>
    <w:rsid w:val="526D31B2"/>
    <w:rsid w:val="52708DC4"/>
    <w:rsid w:val="5277859A"/>
    <w:rsid w:val="527E829C"/>
    <w:rsid w:val="5281257A"/>
    <w:rsid w:val="52D3E031"/>
    <w:rsid w:val="52DC3875"/>
    <w:rsid w:val="52E8CF6C"/>
    <w:rsid w:val="52EF354A"/>
    <w:rsid w:val="52F3EB75"/>
    <w:rsid w:val="52F9406E"/>
    <w:rsid w:val="52FA12C8"/>
    <w:rsid w:val="53042F2B"/>
    <w:rsid w:val="53133E59"/>
    <w:rsid w:val="5318FFE2"/>
    <w:rsid w:val="531AAF64"/>
    <w:rsid w:val="5322822D"/>
    <w:rsid w:val="532568BD"/>
    <w:rsid w:val="532CEA70"/>
    <w:rsid w:val="53539EC5"/>
    <w:rsid w:val="5366631B"/>
    <w:rsid w:val="536F39B7"/>
    <w:rsid w:val="53720996"/>
    <w:rsid w:val="53729E44"/>
    <w:rsid w:val="53742492"/>
    <w:rsid w:val="537C821E"/>
    <w:rsid w:val="538CCA60"/>
    <w:rsid w:val="53937A9F"/>
    <w:rsid w:val="5395CDF1"/>
    <w:rsid w:val="539C92AD"/>
    <w:rsid w:val="53D64814"/>
    <w:rsid w:val="53DB5B4A"/>
    <w:rsid w:val="53DFDEE7"/>
    <w:rsid w:val="53F86D90"/>
    <w:rsid w:val="54047839"/>
    <w:rsid w:val="54117477"/>
    <w:rsid w:val="54168C81"/>
    <w:rsid w:val="5417B529"/>
    <w:rsid w:val="542832E0"/>
    <w:rsid w:val="54334169"/>
    <w:rsid w:val="5486BEFF"/>
    <w:rsid w:val="54A73B39"/>
    <w:rsid w:val="54A81ADC"/>
    <w:rsid w:val="54B5BFEF"/>
    <w:rsid w:val="54CCEB9D"/>
    <w:rsid w:val="54D16EDB"/>
    <w:rsid w:val="54D75E6B"/>
    <w:rsid w:val="54E17FC2"/>
    <w:rsid w:val="54E4BA9C"/>
    <w:rsid w:val="54E5417E"/>
    <w:rsid w:val="54EA9C1C"/>
    <w:rsid w:val="54F71D8C"/>
    <w:rsid w:val="55002F5F"/>
    <w:rsid w:val="550743E0"/>
    <w:rsid w:val="551594BD"/>
    <w:rsid w:val="5515BFB3"/>
    <w:rsid w:val="551916EC"/>
    <w:rsid w:val="5521E009"/>
    <w:rsid w:val="55352CAC"/>
    <w:rsid w:val="55364D3D"/>
    <w:rsid w:val="554D800E"/>
    <w:rsid w:val="5557CDD8"/>
    <w:rsid w:val="555D5766"/>
    <w:rsid w:val="55764391"/>
    <w:rsid w:val="5576E70B"/>
    <w:rsid w:val="5576F97F"/>
    <w:rsid w:val="5581E3DD"/>
    <w:rsid w:val="558D06ED"/>
    <w:rsid w:val="5590549B"/>
    <w:rsid w:val="55920D0B"/>
    <w:rsid w:val="55925E74"/>
    <w:rsid w:val="5595482D"/>
    <w:rsid w:val="55970F5A"/>
    <w:rsid w:val="559D659A"/>
    <w:rsid w:val="55A4A488"/>
    <w:rsid w:val="55A5DA9C"/>
    <w:rsid w:val="55A69BA7"/>
    <w:rsid w:val="55ACB5ED"/>
    <w:rsid w:val="55AE9175"/>
    <w:rsid w:val="55BA83F9"/>
    <w:rsid w:val="55CA753A"/>
    <w:rsid w:val="55CB67DD"/>
    <w:rsid w:val="55CBF010"/>
    <w:rsid w:val="55E6AC01"/>
    <w:rsid w:val="55E80E99"/>
    <w:rsid w:val="55EA4D07"/>
    <w:rsid w:val="55ECBC39"/>
    <w:rsid w:val="55F874DA"/>
    <w:rsid w:val="5605A4D8"/>
    <w:rsid w:val="5606F685"/>
    <w:rsid w:val="560ECEAB"/>
    <w:rsid w:val="560F21EC"/>
    <w:rsid w:val="561C4F85"/>
    <w:rsid w:val="562540E1"/>
    <w:rsid w:val="5630B3BB"/>
    <w:rsid w:val="56355BA7"/>
    <w:rsid w:val="5645A6A8"/>
    <w:rsid w:val="5650B62A"/>
    <w:rsid w:val="56619D05"/>
    <w:rsid w:val="56652E37"/>
    <w:rsid w:val="5667A78A"/>
    <w:rsid w:val="5668455E"/>
    <w:rsid w:val="5690CFC6"/>
    <w:rsid w:val="56948606"/>
    <w:rsid w:val="569D8A3F"/>
    <w:rsid w:val="56A0C88D"/>
    <w:rsid w:val="56A617A8"/>
    <w:rsid w:val="56AE3453"/>
    <w:rsid w:val="56B814AF"/>
    <w:rsid w:val="56BB84FD"/>
    <w:rsid w:val="56C8BBC6"/>
    <w:rsid w:val="56CE1AFF"/>
    <w:rsid w:val="570C81C4"/>
    <w:rsid w:val="570D0401"/>
    <w:rsid w:val="572CAED9"/>
    <w:rsid w:val="57365223"/>
    <w:rsid w:val="5752F4FE"/>
    <w:rsid w:val="5753299E"/>
    <w:rsid w:val="57568202"/>
    <w:rsid w:val="5757BC15"/>
    <w:rsid w:val="5759E055"/>
    <w:rsid w:val="575AEE54"/>
    <w:rsid w:val="576157DD"/>
    <w:rsid w:val="57680594"/>
    <w:rsid w:val="577DD63E"/>
    <w:rsid w:val="5780F18D"/>
    <w:rsid w:val="57850AAE"/>
    <w:rsid w:val="5794725D"/>
    <w:rsid w:val="579924EB"/>
    <w:rsid w:val="579FC4E7"/>
    <w:rsid w:val="57A314CF"/>
    <w:rsid w:val="57B61990"/>
    <w:rsid w:val="57C031E1"/>
    <w:rsid w:val="57C0DC50"/>
    <w:rsid w:val="57C840F7"/>
    <w:rsid w:val="57CB4CC1"/>
    <w:rsid w:val="57DCB12C"/>
    <w:rsid w:val="57EA0988"/>
    <w:rsid w:val="580E0D54"/>
    <w:rsid w:val="5810A3D1"/>
    <w:rsid w:val="581483C8"/>
    <w:rsid w:val="58157B8B"/>
    <w:rsid w:val="5815E3B3"/>
    <w:rsid w:val="581F6042"/>
    <w:rsid w:val="5827780F"/>
    <w:rsid w:val="583090AD"/>
    <w:rsid w:val="583A6F44"/>
    <w:rsid w:val="583B0D4B"/>
    <w:rsid w:val="583BD97E"/>
    <w:rsid w:val="58432A94"/>
    <w:rsid w:val="585063C8"/>
    <w:rsid w:val="58596852"/>
    <w:rsid w:val="58659C1C"/>
    <w:rsid w:val="58669DF8"/>
    <w:rsid w:val="5867EB5E"/>
    <w:rsid w:val="586B3F9B"/>
    <w:rsid w:val="586FB996"/>
    <w:rsid w:val="5874A3ED"/>
    <w:rsid w:val="5883F757"/>
    <w:rsid w:val="5885B865"/>
    <w:rsid w:val="5885FE30"/>
    <w:rsid w:val="588CE21C"/>
    <w:rsid w:val="588DE125"/>
    <w:rsid w:val="58AD72EE"/>
    <w:rsid w:val="58BF7295"/>
    <w:rsid w:val="58CFD052"/>
    <w:rsid w:val="58D1E5B5"/>
    <w:rsid w:val="58E7CEAB"/>
    <w:rsid w:val="58EFF09D"/>
    <w:rsid w:val="58F29A21"/>
    <w:rsid w:val="5916D43E"/>
    <w:rsid w:val="591FC849"/>
    <w:rsid w:val="59271A31"/>
    <w:rsid w:val="592BCFE9"/>
    <w:rsid w:val="5941E787"/>
    <w:rsid w:val="5949CF05"/>
    <w:rsid w:val="594FE2AB"/>
    <w:rsid w:val="5953F6A6"/>
    <w:rsid w:val="595E5A9A"/>
    <w:rsid w:val="596F9FF7"/>
    <w:rsid w:val="5975EA66"/>
    <w:rsid w:val="598436E1"/>
    <w:rsid w:val="598EBFEA"/>
    <w:rsid w:val="599223E5"/>
    <w:rsid w:val="59A45534"/>
    <w:rsid w:val="59A63B21"/>
    <w:rsid w:val="59AC3FEE"/>
    <w:rsid w:val="59B2132E"/>
    <w:rsid w:val="59B6779F"/>
    <w:rsid w:val="59C34F68"/>
    <w:rsid w:val="59C7F7E7"/>
    <w:rsid w:val="59C96649"/>
    <w:rsid w:val="59CD5E11"/>
    <w:rsid w:val="59D7FDF3"/>
    <w:rsid w:val="59DFCDE7"/>
    <w:rsid w:val="59E7A18B"/>
    <w:rsid w:val="59F6FBAC"/>
    <w:rsid w:val="5A012F3E"/>
    <w:rsid w:val="5A074339"/>
    <w:rsid w:val="5A105880"/>
    <w:rsid w:val="5A25E8FD"/>
    <w:rsid w:val="5A30143A"/>
    <w:rsid w:val="5A41E117"/>
    <w:rsid w:val="5A448305"/>
    <w:rsid w:val="5A56638C"/>
    <w:rsid w:val="5A65B5A5"/>
    <w:rsid w:val="5A66354D"/>
    <w:rsid w:val="5A79EDD3"/>
    <w:rsid w:val="5A86819C"/>
    <w:rsid w:val="5A8A2EB2"/>
    <w:rsid w:val="5AAE826B"/>
    <w:rsid w:val="5AAF0B0D"/>
    <w:rsid w:val="5AB8B6E9"/>
    <w:rsid w:val="5AB8D2C2"/>
    <w:rsid w:val="5ACC4704"/>
    <w:rsid w:val="5AD4590E"/>
    <w:rsid w:val="5ADA824A"/>
    <w:rsid w:val="5ADB9724"/>
    <w:rsid w:val="5AE0421D"/>
    <w:rsid w:val="5AE28568"/>
    <w:rsid w:val="5AF0405D"/>
    <w:rsid w:val="5AF5CAAC"/>
    <w:rsid w:val="5AFFD55B"/>
    <w:rsid w:val="5B0C2D7E"/>
    <w:rsid w:val="5B103EF0"/>
    <w:rsid w:val="5B3001FF"/>
    <w:rsid w:val="5B391072"/>
    <w:rsid w:val="5B52B5DA"/>
    <w:rsid w:val="5B5919B6"/>
    <w:rsid w:val="5B5A3CD5"/>
    <w:rsid w:val="5B5D1D78"/>
    <w:rsid w:val="5B6C8DF2"/>
    <w:rsid w:val="5B71055D"/>
    <w:rsid w:val="5B7191B0"/>
    <w:rsid w:val="5B721985"/>
    <w:rsid w:val="5B753C54"/>
    <w:rsid w:val="5B97A9DB"/>
    <w:rsid w:val="5B9E09CE"/>
    <w:rsid w:val="5BA6ABC3"/>
    <w:rsid w:val="5BB77E38"/>
    <w:rsid w:val="5BC5D652"/>
    <w:rsid w:val="5BD5818C"/>
    <w:rsid w:val="5BD8239A"/>
    <w:rsid w:val="5BD84C7C"/>
    <w:rsid w:val="5BF173C9"/>
    <w:rsid w:val="5BFE0A84"/>
    <w:rsid w:val="5C09549F"/>
    <w:rsid w:val="5C0B9523"/>
    <w:rsid w:val="5C13C75D"/>
    <w:rsid w:val="5C25B115"/>
    <w:rsid w:val="5C2CC604"/>
    <w:rsid w:val="5C466241"/>
    <w:rsid w:val="5C62254B"/>
    <w:rsid w:val="5C6E1E16"/>
    <w:rsid w:val="5C772B90"/>
    <w:rsid w:val="5C7B4874"/>
    <w:rsid w:val="5C90C5D8"/>
    <w:rsid w:val="5CA18BA4"/>
    <w:rsid w:val="5CB0A16E"/>
    <w:rsid w:val="5CCD9B9E"/>
    <w:rsid w:val="5CCE3E78"/>
    <w:rsid w:val="5CDCBFD6"/>
    <w:rsid w:val="5CE020B9"/>
    <w:rsid w:val="5CE1AA97"/>
    <w:rsid w:val="5CE514F4"/>
    <w:rsid w:val="5CED2333"/>
    <w:rsid w:val="5D0FA152"/>
    <w:rsid w:val="5D25674C"/>
    <w:rsid w:val="5D295A75"/>
    <w:rsid w:val="5D3A8F7D"/>
    <w:rsid w:val="5D3C8858"/>
    <w:rsid w:val="5D433D10"/>
    <w:rsid w:val="5D435EF3"/>
    <w:rsid w:val="5D50B795"/>
    <w:rsid w:val="5D5489DF"/>
    <w:rsid w:val="5D618F40"/>
    <w:rsid w:val="5D746834"/>
    <w:rsid w:val="5D7EB230"/>
    <w:rsid w:val="5D8B48E5"/>
    <w:rsid w:val="5D8F3DDF"/>
    <w:rsid w:val="5D8FE127"/>
    <w:rsid w:val="5DAF66F0"/>
    <w:rsid w:val="5DB16179"/>
    <w:rsid w:val="5DD72423"/>
    <w:rsid w:val="5DDAB006"/>
    <w:rsid w:val="5DE3E647"/>
    <w:rsid w:val="5DEB1B62"/>
    <w:rsid w:val="5DED3D17"/>
    <w:rsid w:val="5DF80BFF"/>
    <w:rsid w:val="5DFBC3A2"/>
    <w:rsid w:val="5E0CDC53"/>
    <w:rsid w:val="5E1241FB"/>
    <w:rsid w:val="5E20371A"/>
    <w:rsid w:val="5E228AA7"/>
    <w:rsid w:val="5E365741"/>
    <w:rsid w:val="5E3BB11E"/>
    <w:rsid w:val="5E502A8A"/>
    <w:rsid w:val="5E5139B9"/>
    <w:rsid w:val="5E726D23"/>
    <w:rsid w:val="5E7D4EBE"/>
    <w:rsid w:val="5E80E2C3"/>
    <w:rsid w:val="5E83FBA3"/>
    <w:rsid w:val="5E98EB41"/>
    <w:rsid w:val="5E9BDF89"/>
    <w:rsid w:val="5EA13BE3"/>
    <w:rsid w:val="5EB73E19"/>
    <w:rsid w:val="5EC5B180"/>
    <w:rsid w:val="5EC7BBE6"/>
    <w:rsid w:val="5EFE4D35"/>
    <w:rsid w:val="5F010AD8"/>
    <w:rsid w:val="5F245BFD"/>
    <w:rsid w:val="5F42A163"/>
    <w:rsid w:val="5F54468E"/>
    <w:rsid w:val="5F5B6079"/>
    <w:rsid w:val="5F723C4B"/>
    <w:rsid w:val="5F7CE2B6"/>
    <w:rsid w:val="5F859DB3"/>
    <w:rsid w:val="5F8970E2"/>
    <w:rsid w:val="5F8D21F6"/>
    <w:rsid w:val="5F8FB539"/>
    <w:rsid w:val="5F910271"/>
    <w:rsid w:val="5F94F300"/>
    <w:rsid w:val="5F96E18A"/>
    <w:rsid w:val="5F97D4C0"/>
    <w:rsid w:val="5F9A44C2"/>
    <w:rsid w:val="5FA6A627"/>
    <w:rsid w:val="5FAC4471"/>
    <w:rsid w:val="5FAF82B6"/>
    <w:rsid w:val="5FAFAAA0"/>
    <w:rsid w:val="5FBDB300"/>
    <w:rsid w:val="5FBEC33C"/>
    <w:rsid w:val="5FC12A66"/>
    <w:rsid w:val="5FE5F8B2"/>
    <w:rsid w:val="5FE9E624"/>
    <w:rsid w:val="600860E9"/>
    <w:rsid w:val="60099C78"/>
    <w:rsid w:val="600C7778"/>
    <w:rsid w:val="60343934"/>
    <w:rsid w:val="604D9875"/>
    <w:rsid w:val="6063FEBB"/>
    <w:rsid w:val="60687795"/>
    <w:rsid w:val="608C3110"/>
    <w:rsid w:val="608FD99C"/>
    <w:rsid w:val="609E36D4"/>
    <w:rsid w:val="609F2B32"/>
    <w:rsid w:val="60A73194"/>
    <w:rsid w:val="60A7C77C"/>
    <w:rsid w:val="60A9CCB1"/>
    <w:rsid w:val="60D1564B"/>
    <w:rsid w:val="60D9612A"/>
    <w:rsid w:val="60E6031A"/>
    <w:rsid w:val="60E87E1A"/>
    <w:rsid w:val="60ED6B6D"/>
    <w:rsid w:val="60EEB3CA"/>
    <w:rsid w:val="60FD42AC"/>
    <w:rsid w:val="61022DD8"/>
    <w:rsid w:val="61185FBC"/>
    <w:rsid w:val="611B18CA"/>
    <w:rsid w:val="612ED7FB"/>
    <w:rsid w:val="6139201F"/>
    <w:rsid w:val="61433C7A"/>
    <w:rsid w:val="61646875"/>
    <w:rsid w:val="61716F43"/>
    <w:rsid w:val="619D4BF1"/>
    <w:rsid w:val="61A1E65E"/>
    <w:rsid w:val="61BB6271"/>
    <w:rsid w:val="61C57408"/>
    <w:rsid w:val="61CEFF5A"/>
    <w:rsid w:val="61E91712"/>
    <w:rsid w:val="61EF4606"/>
    <w:rsid w:val="61F0D681"/>
    <w:rsid w:val="61F6DA36"/>
    <w:rsid w:val="61F7D443"/>
    <w:rsid w:val="61F7DC17"/>
    <w:rsid w:val="61FF0958"/>
    <w:rsid w:val="62024D10"/>
    <w:rsid w:val="62104AFE"/>
    <w:rsid w:val="62250B2E"/>
    <w:rsid w:val="622753BF"/>
    <w:rsid w:val="6240958C"/>
    <w:rsid w:val="624CB4E2"/>
    <w:rsid w:val="62698ED3"/>
    <w:rsid w:val="6271F8CE"/>
    <w:rsid w:val="627E5812"/>
    <w:rsid w:val="628C1251"/>
    <w:rsid w:val="628D10F0"/>
    <w:rsid w:val="62A1600F"/>
    <w:rsid w:val="62A4535C"/>
    <w:rsid w:val="62A972FA"/>
    <w:rsid w:val="62ADD514"/>
    <w:rsid w:val="62C0CC74"/>
    <w:rsid w:val="62C2EF77"/>
    <w:rsid w:val="62D642F7"/>
    <w:rsid w:val="62E574DB"/>
    <w:rsid w:val="62F21612"/>
    <w:rsid w:val="62F8795F"/>
    <w:rsid w:val="62FCE39C"/>
    <w:rsid w:val="62FEF3F5"/>
    <w:rsid w:val="63005607"/>
    <w:rsid w:val="630A6C0A"/>
    <w:rsid w:val="630ADA74"/>
    <w:rsid w:val="6324A2F3"/>
    <w:rsid w:val="6338F681"/>
    <w:rsid w:val="633FD6A8"/>
    <w:rsid w:val="634403C4"/>
    <w:rsid w:val="634919CB"/>
    <w:rsid w:val="634E30F3"/>
    <w:rsid w:val="6357E0F5"/>
    <w:rsid w:val="6371AEC5"/>
    <w:rsid w:val="639F0BA4"/>
    <w:rsid w:val="63B1CBEA"/>
    <w:rsid w:val="63CD1939"/>
    <w:rsid w:val="63CD9C89"/>
    <w:rsid w:val="63D58F66"/>
    <w:rsid w:val="63D9F857"/>
    <w:rsid w:val="63E9DF23"/>
    <w:rsid w:val="63ED0410"/>
    <w:rsid w:val="63ED231B"/>
    <w:rsid w:val="63F2DBAC"/>
    <w:rsid w:val="63F6E9C8"/>
    <w:rsid w:val="63F7EF12"/>
    <w:rsid w:val="640136F7"/>
    <w:rsid w:val="6401929F"/>
    <w:rsid w:val="640BC133"/>
    <w:rsid w:val="64194B80"/>
    <w:rsid w:val="64386951"/>
    <w:rsid w:val="643C84E2"/>
    <w:rsid w:val="643CF25A"/>
    <w:rsid w:val="64402531"/>
    <w:rsid w:val="6441A8E8"/>
    <w:rsid w:val="644AA0F3"/>
    <w:rsid w:val="644C47DD"/>
    <w:rsid w:val="645AD54D"/>
    <w:rsid w:val="645C0CC1"/>
    <w:rsid w:val="64655D3B"/>
    <w:rsid w:val="64679A1E"/>
    <w:rsid w:val="647EE147"/>
    <w:rsid w:val="64961C61"/>
    <w:rsid w:val="64999885"/>
    <w:rsid w:val="649C08AC"/>
    <w:rsid w:val="64A24D10"/>
    <w:rsid w:val="64ADE729"/>
    <w:rsid w:val="64B20AE7"/>
    <w:rsid w:val="64BAE1F1"/>
    <w:rsid w:val="64C2FD15"/>
    <w:rsid w:val="64C63373"/>
    <w:rsid w:val="64CD990F"/>
    <w:rsid w:val="64D71554"/>
    <w:rsid w:val="64DBDEA3"/>
    <w:rsid w:val="64DCA598"/>
    <w:rsid w:val="64E31DC7"/>
    <w:rsid w:val="64E5E25F"/>
    <w:rsid w:val="64FA9FFB"/>
    <w:rsid w:val="64FFD8ED"/>
    <w:rsid w:val="6517C616"/>
    <w:rsid w:val="6521D0C2"/>
    <w:rsid w:val="65225F31"/>
    <w:rsid w:val="652B195E"/>
    <w:rsid w:val="655595B3"/>
    <w:rsid w:val="655D3FAA"/>
    <w:rsid w:val="655DC14A"/>
    <w:rsid w:val="6567BB83"/>
    <w:rsid w:val="657D716A"/>
    <w:rsid w:val="65833926"/>
    <w:rsid w:val="658F0C6F"/>
    <w:rsid w:val="65914129"/>
    <w:rsid w:val="65BDC4E0"/>
    <w:rsid w:val="65D193A1"/>
    <w:rsid w:val="65F69EE1"/>
    <w:rsid w:val="65FE9E1C"/>
    <w:rsid w:val="65FF3855"/>
    <w:rsid w:val="6606ECA6"/>
    <w:rsid w:val="660AC71A"/>
    <w:rsid w:val="660FA574"/>
    <w:rsid w:val="66101623"/>
    <w:rsid w:val="6613C275"/>
    <w:rsid w:val="6618DAF1"/>
    <w:rsid w:val="664A4B92"/>
    <w:rsid w:val="66510E98"/>
    <w:rsid w:val="66710884"/>
    <w:rsid w:val="66981A12"/>
    <w:rsid w:val="669A2089"/>
    <w:rsid w:val="66B34922"/>
    <w:rsid w:val="66C1483D"/>
    <w:rsid w:val="66C49D52"/>
    <w:rsid w:val="66DA10FA"/>
    <w:rsid w:val="66DD8A51"/>
    <w:rsid w:val="66DF1F37"/>
    <w:rsid w:val="66E6DA79"/>
    <w:rsid w:val="66F43011"/>
    <w:rsid w:val="66F8916D"/>
    <w:rsid w:val="6706291E"/>
    <w:rsid w:val="670C203E"/>
    <w:rsid w:val="671BE4CC"/>
    <w:rsid w:val="671CBF2C"/>
    <w:rsid w:val="671F7EC9"/>
    <w:rsid w:val="6726CD1D"/>
    <w:rsid w:val="673788FD"/>
    <w:rsid w:val="67378902"/>
    <w:rsid w:val="673CABD9"/>
    <w:rsid w:val="67436C77"/>
    <w:rsid w:val="6752A025"/>
    <w:rsid w:val="67549DFF"/>
    <w:rsid w:val="675B6D5B"/>
    <w:rsid w:val="67629260"/>
    <w:rsid w:val="67700F7C"/>
    <w:rsid w:val="677075D7"/>
    <w:rsid w:val="67710434"/>
    <w:rsid w:val="677B682C"/>
    <w:rsid w:val="67860A73"/>
    <w:rsid w:val="678BE2D4"/>
    <w:rsid w:val="678D9DEB"/>
    <w:rsid w:val="679F5C96"/>
    <w:rsid w:val="67A74806"/>
    <w:rsid w:val="67AAD8D2"/>
    <w:rsid w:val="67C0B95B"/>
    <w:rsid w:val="67C89477"/>
    <w:rsid w:val="67DD6A7C"/>
    <w:rsid w:val="68157B20"/>
    <w:rsid w:val="6818D0EF"/>
    <w:rsid w:val="681F127A"/>
    <w:rsid w:val="68326354"/>
    <w:rsid w:val="6832C13D"/>
    <w:rsid w:val="6832D02E"/>
    <w:rsid w:val="6835E9CF"/>
    <w:rsid w:val="684DC169"/>
    <w:rsid w:val="686790E0"/>
    <w:rsid w:val="686EA328"/>
    <w:rsid w:val="6875EE15"/>
    <w:rsid w:val="687B745F"/>
    <w:rsid w:val="6883D91E"/>
    <w:rsid w:val="6889265E"/>
    <w:rsid w:val="6890491B"/>
    <w:rsid w:val="689D9C0D"/>
    <w:rsid w:val="68CAF4B1"/>
    <w:rsid w:val="68EF8536"/>
    <w:rsid w:val="68F697D7"/>
    <w:rsid w:val="690D1344"/>
    <w:rsid w:val="691B1CC2"/>
    <w:rsid w:val="6927B080"/>
    <w:rsid w:val="692A4AB8"/>
    <w:rsid w:val="6934BF44"/>
    <w:rsid w:val="6948D6CA"/>
    <w:rsid w:val="694F6537"/>
    <w:rsid w:val="69607FEA"/>
    <w:rsid w:val="696719E7"/>
    <w:rsid w:val="6969963C"/>
    <w:rsid w:val="69753CBB"/>
    <w:rsid w:val="6979677A"/>
    <w:rsid w:val="697F1A08"/>
    <w:rsid w:val="69881654"/>
    <w:rsid w:val="6989601D"/>
    <w:rsid w:val="6992448F"/>
    <w:rsid w:val="6992F702"/>
    <w:rsid w:val="69BB3DDD"/>
    <w:rsid w:val="69C609EF"/>
    <w:rsid w:val="69D0A98C"/>
    <w:rsid w:val="69D4AF7C"/>
    <w:rsid w:val="69E29E8C"/>
    <w:rsid w:val="69EC9222"/>
    <w:rsid w:val="69ECAB57"/>
    <w:rsid w:val="69EF1511"/>
    <w:rsid w:val="6A005609"/>
    <w:rsid w:val="6A0EE660"/>
    <w:rsid w:val="6A158973"/>
    <w:rsid w:val="6A16108F"/>
    <w:rsid w:val="6A2C3948"/>
    <w:rsid w:val="6A3129EB"/>
    <w:rsid w:val="6A41EC9E"/>
    <w:rsid w:val="6A51BF46"/>
    <w:rsid w:val="6A539674"/>
    <w:rsid w:val="6A53C1EE"/>
    <w:rsid w:val="6A5A9362"/>
    <w:rsid w:val="6A5AD224"/>
    <w:rsid w:val="6A77D298"/>
    <w:rsid w:val="6A82C9C7"/>
    <w:rsid w:val="6A980CA7"/>
    <w:rsid w:val="6A9CD51B"/>
    <w:rsid w:val="6A9F201E"/>
    <w:rsid w:val="6AA09DA5"/>
    <w:rsid w:val="6AA89E16"/>
    <w:rsid w:val="6AAF7E58"/>
    <w:rsid w:val="6AB2447E"/>
    <w:rsid w:val="6AB7B864"/>
    <w:rsid w:val="6ABADAD7"/>
    <w:rsid w:val="6ABC3F13"/>
    <w:rsid w:val="6ACC46D4"/>
    <w:rsid w:val="6ACE71F9"/>
    <w:rsid w:val="6ADED155"/>
    <w:rsid w:val="6AE8BF4C"/>
    <w:rsid w:val="6AEA5521"/>
    <w:rsid w:val="6AEA6EF1"/>
    <w:rsid w:val="6AED624C"/>
    <w:rsid w:val="6AFE458D"/>
    <w:rsid w:val="6B05779A"/>
    <w:rsid w:val="6B08736F"/>
    <w:rsid w:val="6B08C966"/>
    <w:rsid w:val="6B092ADD"/>
    <w:rsid w:val="6B1D7163"/>
    <w:rsid w:val="6B378A1A"/>
    <w:rsid w:val="6B3896CF"/>
    <w:rsid w:val="6B41E3F0"/>
    <w:rsid w:val="6B42E3C9"/>
    <w:rsid w:val="6B45D959"/>
    <w:rsid w:val="6B46BF5B"/>
    <w:rsid w:val="6B52281A"/>
    <w:rsid w:val="6B6001BD"/>
    <w:rsid w:val="6B6764FB"/>
    <w:rsid w:val="6B76FD73"/>
    <w:rsid w:val="6B7D11AA"/>
    <w:rsid w:val="6B7FF4B9"/>
    <w:rsid w:val="6B8536EE"/>
    <w:rsid w:val="6B8B480D"/>
    <w:rsid w:val="6B8EAF64"/>
    <w:rsid w:val="6B986758"/>
    <w:rsid w:val="6BAB45EA"/>
    <w:rsid w:val="6BCA986C"/>
    <w:rsid w:val="6BD65A30"/>
    <w:rsid w:val="6BDBBC72"/>
    <w:rsid w:val="6BFBA47F"/>
    <w:rsid w:val="6BFE6293"/>
    <w:rsid w:val="6BFF1E26"/>
    <w:rsid w:val="6C1A7C46"/>
    <w:rsid w:val="6C23B0B4"/>
    <w:rsid w:val="6C23B28C"/>
    <w:rsid w:val="6C25032F"/>
    <w:rsid w:val="6C2535D6"/>
    <w:rsid w:val="6C2A2BBC"/>
    <w:rsid w:val="6C2D8195"/>
    <w:rsid w:val="6C39C6CD"/>
    <w:rsid w:val="6C4793F7"/>
    <w:rsid w:val="6C547B4E"/>
    <w:rsid w:val="6C54B1BD"/>
    <w:rsid w:val="6C5E87B3"/>
    <w:rsid w:val="6C7276C7"/>
    <w:rsid w:val="6C749BF7"/>
    <w:rsid w:val="6C7B7BBB"/>
    <w:rsid w:val="6C810552"/>
    <w:rsid w:val="6C8EB95F"/>
    <w:rsid w:val="6C9C34C8"/>
    <w:rsid w:val="6CC2A2D9"/>
    <w:rsid w:val="6CC51C78"/>
    <w:rsid w:val="6CD5B1A3"/>
    <w:rsid w:val="6CD6B3A7"/>
    <w:rsid w:val="6CDD915C"/>
    <w:rsid w:val="6CF0C34D"/>
    <w:rsid w:val="6CFC26DB"/>
    <w:rsid w:val="6D0D5827"/>
    <w:rsid w:val="6D0EA5EE"/>
    <w:rsid w:val="6D137856"/>
    <w:rsid w:val="6D158AE9"/>
    <w:rsid w:val="6D1C0B53"/>
    <w:rsid w:val="6D2DCB84"/>
    <w:rsid w:val="6D3F0C72"/>
    <w:rsid w:val="6D40ECA1"/>
    <w:rsid w:val="6D4EE67C"/>
    <w:rsid w:val="6D5C845B"/>
    <w:rsid w:val="6D7E8957"/>
    <w:rsid w:val="6D8FB152"/>
    <w:rsid w:val="6DA50436"/>
    <w:rsid w:val="6DA9FB95"/>
    <w:rsid w:val="6DAED7D0"/>
    <w:rsid w:val="6DB8A963"/>
    <w:rsid w:val="6DBB03FB"/>
    <w:rsid w:val="6DBD1680"/>
    <w:rsid w:val="6DC6BF4B"/>
    <w:rsid w:val="6DDC78E5"/>
    <w:rsid w:val="6DDE6F4D"/>
    <w:rsid w:val="6E054CE5"/>
    <w:rsid w:val="6E0DA8F1"/>
    <w:rsid w:val="6E20DBD2"/>
    <w:rsid w:val="6E32E5B3"/>
    <w:rsid w:val="6E6DB414"/>
    <w:rsid w:val="6E78D7BC"/>
    <w:rsid w:val="6E7FF4B5"/>
    <w:rsid w:val="6E8FACD7"/>
    <w:rsid w:val="6E951BCD"/>
    <w:rsid w:val="6E9CAE1D"/>
    <w:rsid w:val="6EA4FA55"/>
    <w:rsid w:val="6EA7A55C"/>
    <w:rsid w:val="6EADF510"/>
    <w:rsid w:val="6EB68511"/>
    <w:rsid w:val="6EBAC17A"/>
    <w:rsid w:val="6EBD9600"/>
    <w:rsid w:val="6ED29936"/>
    <w:rsid w:val="6ED29AB4"/>
    <w:rsid w:val="6EE01E52"/>
    <w:rsid w:val="6EE8BBDB"/>
    <w:rsid w:val="6EFF7B93"/>
    <w:rsid w:val="6F00DF64"/>
    <w:rsid w:val="6F02376D"/>
    <w:rsid w:val="6F0B1655"/>
    <w:rsid w:val="6F11AA0F"/>
    <w:rsid w:val="6F14977D"/>
    <w:rsid w:val="6F1F6C2A"/>
    <w:rsid w:val="6F2FFB63"/>
    <w:rsid w:val="6F4385BD"/>
    <w:rsid w:val="6F44D17C"/>
    <w:rsid w:val="6F49B405"/>
    <w:rsid w:val="6F5AC331"/>
    <w:rsid w:val="6F718A9D"/>
    <w:rsid w:val="6F7837C2"/>
    <w:rsid w:val="6F8C9EFC"/>
    <w:rsid w:val="6F8EA7B8"/>
    <w:rsid w:val="6F9A39C3"/>
    <w:rsid w:val="6F9DEAC0"/>
    <w:rsid w:val="6F9FE788"/>
    <w:rsid w:val="6FA1571A"/>
    <w:rsid w:val="6FA5BECD"/>
    <w:rsid w:val="6FB0705D"/>
    <w:rsid w:val="6FB6319F"/>
    <w:rsid w:val="6FBBA268"/>
    <w:rsid w:val="6FDABD86"/>
    <w:rsid w:val="6FE6E99C"/>
    <w:rsid w:val="6FF18403"/>
    <w:rsid w:val="7005BED0"/>
    <w:rsid w:val="700C3B01"/>
    <w:rsid w:val="702E30C5"/>
    <w:rsid w:val="7036DC06"/>
    <w:rsid w:val="704A453E"/>
    <w:rsid w:val="705056D7"/>
    <w:rsid w:val="70517B23"/>
    <w:rsid w:val="70615690"/>
    <w:rsid w:val="7062033B"/>
    <w:rsid w:val="706D8871"/>
    <w:rsid w:val="70714160"/>
    <w:rsid w:val="7074532B"/>
    <w:rsid w:val="70755FC9"/>
    <w:rsid w:val="70817BFB"/>
    <w:rsid w:val="7094999A"/>
    <w:rsid w:val="70B9C231"/>
    <w:rsid w:val="70CEDC95"/>
    <w:rsid w:val="70DB8608"/>
    <w:rsid w:val="70E8FEAE"/>
    <w:rsid w:val="70F2EC1D"/>
    <w:rsid w:val="70F78AAC"/>
    <w:rsid w:val="7130B6BF"/>
    <w:rsid w:val="714FF535"/>
    <w:rsid w:val="7169E459"/>
    <w:rsid w:val="716D000C"/>
    <w:rsid w:val="7174FE42"/>
    <w:rsid w:val="7176CD26"/>
    <w:rsid w:val="718B744C"/>
    <w:rsid w:val="7191799D"/>
    <w:rsid w:val="71933A5D"/>
    <w:rsid w:val="719BB423"/>
    <w:rsid w:val="71A1CC7B"/>
    <w:rsid w:val="71B91E58"/>
    <w:rsid w:val="71BE5D74"/>
    <w:rsid w:val="71CAD2B5"/>
    <w:rsid w:val="71D6682D"/>
    <w:rsid w:val="71E63B25"/>
    <w:rsid w:val="71E81966"/>
    <w:rsid w:val="71E841C4"/>
    <w:rsid w:val="71E8F34F"/>
    <w:rsid w:val="71F20080"/>
    <w:rsid w:val="71F365E2"/>
    <w:rsid w:val="71F49895"/>
    <w:rsid w:val="720EE91D"/>
    <w:rsid w:val="7212BDF1"/>
    <w:rsid w:val="7215871E"/>
    <w:rsid w:val="7216D875"/>
    <w:rsid w:val="721A0FB6"/>
    <w:rsid w:val="721D18C8"/>
    <w:rsid w:val="722156DF"/>
    <w:rsid w:val="7229A6C1"/>
    <w:rsid w:val="7248588D"/>
    <w:rsid w:val="7250072C"/>
    <w:rsid w:val="7254B439"/>
    <w:rsid w:val="7270FD4B"/>
    <w:rsid w:val="72747A95"/>
    <w:rsid w:val="72752CE3"/>
    <w:rsid w:val="727CFCC8"/>
    <w:rsid w:val="727EB031"/>
    <w:rsid w:val="728B17E2"/>
    <w:rsid w:val="7296C4AC"/>
    <w:rsid w:val="729AAC64"/>
    <w:rsid w:val="729E3EE6"/>
    <w:rsid w:val="72A2A3D2"/>
    <w:rsid w:val="72A900FE"/>
    <w:rsid w:val="72C6B843"/>
    <w:rsid w:val="72C934D2"/>
    <w:rsid w:val="72D08D5F"/>
    <w:rsid w:val="72E944E6"/>
    <w:rsid w:val="72EAEDCC"/>
    <w:rsid w:val="72EE9E79"/>
    <w:rsid w:val="72F5B08A"/>
    <w:rsid w:val="72F9F526"/>
    <w:rsid w:val="73031BC2"/>
    <w:rsid w:val="730DDBB0"/>
    <w:rsid w:val="730E6CB6"/>
    <w:rsid w:val="731C8056"/>
    <w:rsid w:val="7332917B"/>
    <w:rsid w:val="734C73D5"/>
    <w:rsid w:val="735F84B0"/>
    <w:rsid w:val="736ABCCE"/>
    <w:rsid w:val="736C1EBF"/>
    <w:rsid w:val="7375267A"/>
    <w:rsid w:val="738358A5"/>
    <w:rsid w:val="7394BFCF"/>
    <w:rsid w:val="739DBBB2"/>
    <w:rsid w:val="73AC8E75"/>
    <w:rsid w:val="73C6A597"/>
    <w:rsid w:val="73D87CE6"/>
    <w:rsid w:val="73DC029C"/>
    <w:rsid w:val="73E522FB"/>
    <w:rsid w:val="73EB8915"/>
    <w:rsid w:val="73ED2580"/>
    <w:rsid w:val="7406091E"/>
    <w:rsid w:val="7418E223"/>
    <w:rsid w:val="74225459"/>
    <w:rsid w:val="742F7E8F"/>
    <w:rsid w:val="74350B86"/>
    <w:rsid w:val="7441AD10"/>
    <w:rsid w:val="74425F38"/>
    <w:rsid w:val="744D90E5"/>
    <w:rsid w:val="74549513"/>
    <w:rsid w:val="7454EE5A"/>
    <w:rsid w:val="745F460F"/>
    <w:rsid w:val="7462F9F3"/>
    <w:rsid w:val="746A9388"/>
    <w:rsid w:val="7474107C"/>
    <w:rsid w:val="7480EB50"/>
    <w:rsid w:val="7491D533"/>
    <w:rsid w:val="74B8A2E1"/>
    <w:rsid w:val="74B8B364"/>
    <w:rsid w:val="74D2027F"/>
    <w:rsid w:val="74D393FD"/>
    <w:rsid w:val="74DE0F43"/>
    <w:rsid w:val="74E7C102"/>
    <w:rsid w:val="74F61EE1"/>
    <w:rsid w:val="75074F88"/>
    <w:rsid w:val="751F7F2A"/>
    <w:rsid w:val="75220462"/>
    <w:rsid w:val="7525E8B9"/>
    <w:rsid w:val="752859AA"/>
    <w:rsid w:val="752C3BC0"/>
    <w:rsid w:val="752E5510"/>
    <w:rsid w:val="7531FA64"/>
    <w:rsid w:val="754FE02D"/>
    <w:rsid w:val="755A6A4E"/>
    <w:rsid w:val="75693010"/>
    <w:rsid w:val="75699874"/>
    <w:rsid w:val="7571F51B"/>
    <w:rsid w:val="7572F4E1"/>
    <w:rsid w:val="7575BAA5"/>
    <w:rsid w:val="7576BC52"/>
    <w:rsid w:val="75791675"/>
    <w:rsid w:val="757F5DB8"/>
    <w:rsid w:val="7588EEBF"/>
    <w:rsid w:val="7591F6B5"/>
    <w:rsid w:val="75920A52"/>
    <w:rsid w:val="7593C2A6"/>
    <w:rsid w:val="75ABFBC9"/>
    <w:rsid w:val="75D0DFFA"/>
    <w:rsid w:val="75E7C416"/>
    <w:rsid w:val="76012F00"/>
    <w:rsid w:val="76096AE0"/>
    <w:rsid w:val="760AD7A4"/>
    <w:rsid w:val="7616EEE3"/>
    <w:rsid w:val="76173700"/>
    <w:rsid w:val="761DDC10"/>
    <w:rsid w:val="762E4C90"/>
    <w:rsid w:val="7637301F"/>
    <w:rsid w:val="76387379"/>
    <w:rsid w:val="764B3F6A"/>
    <w:rsid w:val="764D9431"/>
    <w:rsid w:val="76562D47"/>
    <w:rsid w:val="765D4240"/>
    <w:rsid w:val="7664DA1D"/>
    <w:rsid w:val="7678151F"/>
    <w:rsid w:val="769640AA"/>
    <w:rsid w:val="769CE506"/>
    <w:rsid w:val="769D98B9"/>
    <w:rsid w:val="76A14B64"/>
    <w:rsid w:val="76AE0CF3"/>
    <w:rsid w:val="76E6AF9E"/>
    <w:rsid w:val="76EC8CA8"/>
    <w:rsid w:val="7706B73F"/>
    <w:rsid w:val="7710AD69"/>
    <w:rsid w:val="77136B5C"/>
    <w:rsid w:val="771F053E"/>
    <w:rsid w:val="7724F546"/>
    <w:rsid w:val="773A2FD2"/>
    <w:rsid w:val="773F0A88"/>
    <w:rsid w:val="774C12CB"/>
    <w:rsid w:val="77595043"/>
    <w:rsid w:val="775FEDA1"/>
    <w:rsid w:val="7761C063"/>
    <w:rsid w:val="777BA428"/>
    <w:rsid w:val="777D23B1"/>
    <w:rsid w:val="77838EEC"/>
    <w:rsid w:val="77853577"/>
    <w:rsid w:val="77879882"/>
    <w:rsid w:val="779FB5AE"/>
    <w:rsid w:val="77B72D54"/>
    <w:rsid w:val="77C4496F"/>
    <w:rsid w:val="77C6C2E8"/>
    <w:rsid w:val="77D4EC2D"/>
    <w:rsid w:val="77D7C918"/>
    <w:rsid w:val="77E1E1D8"/>
    <w:rsid w:val="77F06001"/>
    <w:rsid w:val="77F1499A"/>
    <w:rsid w:val="781095C7"/>
    <w:rsid w:val="7812ED13"/>
    <w:rsid w:val="781B5B01"/>
    <w:rsid w:val="78248847"/>
    <w:rsid w:val="784C7319"/>
    <w:rsid w:val="7865E271"/>
    <w:rsid w:val="78805725"/>
    <w:rsid w:val="788E9654"/>
    <w:rsid w:val="78A2E3FE"/>
    <w:rsid w:val="78A7B9B1"/>
    <w:rsid w:val="78BA6266"/>
    <w:rsid w:val="78BB5570"/>
    <w:rsid w:val="78BDA39B"/>
    <w:rsid w:val="78CBEEF3"/>
    <w:rsid w:val="78D51F51"/>
    <w:rsid w:val="78F192E2"/>
    <w:rsid w:val="78F3C38F"/>
    <w:rsid w:val="790455DB"/>
    <w:rsid w:val="79088A3C"/>
    <w:rsid w:val="791F5216"/>
    <w:rsid w:val="792CACF2"/>
    <w:rsid w:val="7935E089"/>
    <w:rsid w:val="79551080"/>
    <w:rsid w:val="7957524F"/>
    <w:rsid w:val="795ED90C"/>
    <w:rsid w:val="796151FD"/>
    <w:rsid w:val="796B8E39"/>
    <w:rsid w:val="7975017D"/>
    <w:rsid w:val="79766FEA"/>
    <w:rsid w:val="797928A5"/>
    <w:rsid w:val="797AA157"/>
    <w:rsid w:val="798AE465"/>
    <w:rsid w:val="799C3D5E"/>
    <w:rsid w:val="79AB7BE1"/>
    <w:rsid w:val="79AC7AFD"/>
    <w:rsid w:val="79B403FF"/>
    <w:rsid w:val="79C3C7E2"/>
    <w:rsid w:val="79DDFE29"/>
    <w:rsid w:val="79E6688B"/>
    <w:rsid w:val="79E8D9A1"/>
    <w:rsid w:val="79EED683"/>
    <w:rsid w:val="79F5F291"/>
    <w:rsid w:val="79F83CE9"/>
    <w:rsid w:val="7A16FBB7"/>
    <w:rsid w:val="7A27169D"/>
    <w:rsid w:val="7A4D7AA0"/>
    <w:rsid w:val="7A5528DD"/>
    <w:rsid w:val="7A705DBC"/>
    <w:rsid w:val="7A7A8D05"/>
    <w:rsid w:val="7A8B28D9"/>
    <w:rsid w:val="7A9CB9C8"/>
    <w:rsid w:val="7AA30051"/>
    <w:rsid w:val="7AA74EA6"/>
    <w:rsid w:val="7AAA3EB2"/>
    <w:rsid w:val="7AAB7B74"/>
    <w:rsid w:val="7AADEAC6"/>
    <w:rsid w:val="7AAF0FD4"/>
    <w:rsid w:val="7AB04B86"/>
    <w:rsid w:val="7ABA1BF0"/>
    <w:rsid w:val="7AC1C6BE"/>
    <w:rsid w:val="7AC779F1"/>
    <w:rsid w:val="7AC8CAB4"/>
    <w:rsid w:val="7ACECBA4"/>
    <w:rsid w:val="7AD5AE5F"/>
    <w:rsid w:val="7AEE5369"/>
    <w:rsid w:val="7AF73023"/>
    <w:rsid w:val="7AFDB7F7"/>
    <w:rsid w:val="7AFFF7AE"/>
    <w:rsid w:val="7B07F3D5"/>
    <w:rsid w:val="7B07FBD9"/>
    <w:rsid w:val="7B0D0E29"/>
    <w:rsid w:val="7B30DB66"/>
    <w:rsid w:val="7B338874"/>
    <w:rsid w:val="7B3BEC8A"/>
    <w:rsid w:val="7B4E1F69"/>
    <w:rsid w:val="7B592BBC"/>
    <w:rsid w:val="7B62D7AC"/>
    <w:rsid w:val="7B7197D4"/>
    <w:rsid w:val="7BA22342"/>
    <w:rsid w:val="7BA5809E"/>
    <w:rsid w:val="7BB2678D"/>
    <w:rsid w:val="7BC09AC0"/>
    <w:rsid w:val="7BDF9671"/>
    <w:rsid w:val="7C08C1C4"/>
    <w:rsid w:val="7C136D4D"/>
    <w:rsid w:val="7C2779A3"/>
    <w:rsid w:val="7C2C5272"/>
    <w:rsid w:val="7C3D9089"/>
    <w:rsid w:val="7C4A9583"/>
    <w:rsid w:val="7C4D0FEB"/>
    <w:rsid w:val="7C57DA63"/>
    <w:rsid w:val="7C5AA4EF"/>
    <w:rsid w:val="7C5D13F7"/>
    <w:rsid w:val="7C64E840"/>
    <w:rsid w:val="7C67AE86"/>
    <w:rsid w:val="7C6981F0"/>
    <w:rsid w:val="7C77A463"/>
    <w:rsid w:val="7C8AD5E5"/>
    <w:rsid w:val="7C8FE020"/>
    <w:rsid w:val="7CA1B7C5"/>
    <w:rsid w:val="7CA2D016"/>
    <w:rsid w:val="7CA75A1E"/>
    <w:rsid w:val="7CB16AB6"/>
    <w:rsid w:val="7CBE1525"/>
    <w:rsid w:val="7CC456F6"/>
    <w:rsid w:val="7CCB8D7C"/>
    <w:rsid w:val="7CCEB7A0"/>
    <w:rsid w:val="7CE65120"/>
    <w:rsid w:val="7CF7B0EC"/>
    <w:rsid w:val="7D07CB65"/>
    <w:rsid w:val="7D0BDEB2"/>
    <w:rsid w:val="7D0CB05A"/>
    <w:rsid w:val="7D0F3B34"/>
    <w:rsid w:val="7D14804B"/>
    <w:rsid w:val="7D1F1356"/>
    <w:rsid w:val="7D242415"/>
    <w:rsid w:val="7D3ABF00"/>
    <w:rsid w:val="7D3DB0AB"/>
    <w:rsid w:val="7D459FB2"/>
    <w:rsid w:val="7D4A94FD"/>
    <w:rsid w:val="7D56A4EB"/>
    <w:rsid w:val="7D64C465"/>
    <w:rsid w:val="7D682337"/>
    <w:rsid w:val="7D739B50"/>
    <w:rsid w:val="7D791601"/>
    <w:rsid w:val="7D8E71D4"/>
    <w:rsid w:val="7DA4CB26"/>
    <w:rsid w:val="7DAC57CB"/>
    <w:rsid w:val="7DB74D1C"/>
    <w:rsid w:val="7DC1C51A"/>
    <w:rsid w:val="7DC405A9"/>
    <w:rsid w:val="7DC8AE87"/>
    <w:rsid w:val="7DD39003"/>
    <w:rsid w:val="7DD6EB5A"/>
    <w:rsid w:val="7DD7D2AC"/>
    <w:rsid w:val="7DDB30A1"/>
    <w:rsid w:val="7DE1FEAB"/>
    <w:rsid w:val="7DE39AF1"/>
    <w:rsid w:val="7DFB288F"/>
    <w:rsid w:val="7E18E1AF"/>
    <w:rsid w:val="7E2E7E84"/>
    <w:rsid w:val="7E3B1B40"/>
    <w:rsid w:val="7E57C33C"/>
    <w:rsid w:val="7E71CACE"/>
    <w:rsid w:val="7E72F17D"/>
    <w:rsid w:val="7E7F3FA4"/>
    <w:rsid w:val="7E89D937"/>
    <w:rsid w:val="7E8F5DA5"/>
    <w:rsid w:val="7E94F520"/>
    <w:rsid w:val="7EA535CE"/>
    <w:rsid w:val="7EB903DD"/>
    <w:rsid w:val="7ECF6589"/>
    <w:rsid w:val="7ED20DE7"/>
    <w:rsid w:val="7ED85363"/>
    <w:rsid w:val="7F03FB76"/>
    <w:rsid w:val="7F0F2538"/>
    <w:rsid w:val="7F11030D"/>
    <w:rsid w:val="7F17A1E7"/>
    <w:rsid w:val="7F31AC06"/>
    <w:rsid w:val="7F345B67"/>
    <w:rsid w:val="7F3B2799"/>
    <w:rsid w:val="7F3EB836"/>
    <w:rsid w:val="7F45788A"/>
    <w:rsid w:val="7F69571F"/>
    <w:rsid w:val="7F69BC12"/>
    <w:rsid w:val="7F6C93FF"/>
    <w:rsid w:val="7F81A470"/>
    <w:rsid w:val="7F8BDCEF"/>
    <w:rsid w:val="7F95596A"/>
    <w:rsid w:val="7F96C4BF"/>
    <w:rsid w:val="7FA3DB05"/>
    <w:rsid w:val="7FA7D955"/>
    <w:rsid w:val="7FABEA7F"/>
    <w:rsid w:val="7FB00F13"/>
    <w:rsid w:val="7FB1CD0D"/>
    <w:rsid w:val="7FB81016"/>
    <w:rsid w:val="7FC5962A"/>
    <w:rsid w:val="7FF3FEBA"/>
    <w:rsid w:val="7FFFE6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BFCFA8"/>
  <w15:chartTrackingRefBased/>
  <w15:docId w15:val="{4F6F91C8-4A92-4AA1-8C24-1A3E54A4A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6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6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6B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6B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6B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6B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6B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6B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6B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B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6B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6B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6B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6B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6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6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6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6B2D"/>
    <w:rPr>
      <w:rFonts w:eastAsiaTheme="majorEastAsia" w:cstheme="majorBidi"/>
      <w:color w:val="272727" w:themeColor="text1" w:themeTint="D8"/>
    </w:rPr>
  </w:style>
  <w:style w:type="paragraph" w:styleId="Title">
    <w:name w:val="Title"/>
    <w:basedOn w:val="Normal"/>
    <w:next w:val="Normal"/>
    <w:link w:val="TitleChar"/>
    <w:uiPriority w:val="10"/>
    <w:qFormat/>
    <w:rsid w:val="009D6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6B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6B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B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6B2D"/>
    <w:pPr>
      <w:spacing w:before="160"/>
      <w:jc w:val="center"/>
    </w:pPr>
    <w:rPr>
      <w:i/>
      <w:iCs/>
      <w:color w:val="404040" w:themeColor="text1" w:themeTint="BF"/>
    </w:rPr>
  </w:style>
  <w:style w:type="character" w:customStyle="1" w:styleId="QuoteChar">
    <w:name w:val="Quote Char"/>
    <w:basedOn w:val="DefaultParagraphFont"/>
    <w:link w:val="Quote"/>
    <w:uiPriority w:val="29"/>
    <w:rsid w:val="009D6B2D"/>
    <w:rPr>
      <w:i/>
      <w:iCs/>
      <w:color w:val="404040" w:themeColor="text1" w:themeTint="BF"/>
    </w:rPr>
  </w:style>
  <w:style w:type="paragraph" w:styleId="ListParagraph">
    <w:name w:val="List Paragraph"/>
    <w:aliases w:val="List1,List11,OM numbered bullets,1st level - Bullet List Paragraph,Lettre d'introduction,Normal bullet 2,Bullet list,Listenabsatz1,Table of contents numbered,F5 List Paragraph,Paragraph,Bullet EY,List Paragraph11,Normal bullet 21,Bullet,b"/>
    <w:basedOn w:val="Normal"/>
    <w:link w:val="ListParagraphChar"/>
    <w:uiPriority w:val="34"/>
    <w:qFormat/>
    <w:rsid w:val="009D6B2D"/>
    <w:pPr>
      <w:ind w:left="720"/>
      <w:contextualSpacing/>
    </w:pPr>
  </w:style>
  <w:style w:type="character" w:styleId="IntenseEmphasis">
    <w:name w:val="Intense Emphasis"/>
    <w:basedOn w:val="DefaultParagraphFont"/>
    <w:uiPriority w:val="21"/>
    <w:qFormat/>
    <w:rsid w:val="009D6B2D"/>
    <w:rPr>
      <w:i/>
      <w:iCs/>
      <w:color w:val="0F4761" w:themeColor="accent1" w:themeShade="BF"/>
    </w:rPr>
  </w:style>
  <w:style w:type="paragraph" w:styleId="IntenseQuote">
    <w:name w:val="Intense Quote"/>
    <w:basedOn w:val="Normal"/>
    <w:next w:val="Normal"/>
    <w:link w:val="IntenseQuoteChar"/>
    <w:uiPriority w:val="30"/>
    <w:qFormat/>
    <w:rsid w:val="009D6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6B2D"/>
    <w:rPr>
      <w:i/>
      <w:iCs/>
      <w:color w:val="0F4761" w:themeColor="accent1" w:themeShade="BF"/>
    </w:rPr>
  </w:style>
  <w:style w:type="character" w:styleId="IntenseReference">
    <w:name w:val="Intense Reference"/>
    <w:basedOn w:val="DefaultParagraphFont"/>
    <w:uiPriority w:val="32"/>
    <w:qFormat/>
    <w:rsid w:val="009D6B2D"/>
    <w:rPr>
      <w:b/>
      <w:bCs/>
      <w:smallCaps/>
      <w:color w:val="0F4761" w:themeColor="accent1" w:themeShade="BF"/>
      <w:spacing w:val="5"/>
    </w:rPr>
  </w:style>
  <w:style w:type="character" w:customStyle="1" w:styleId="Marker">
    <w:name w:val="Marker"/>
    <w:basedOn w:val="DefaultParagraphFont"/>
    <w:rsid w:val="009D6B2D"/>
    <w:rPr>
      <w:color w:val="0000FF"/>
      <w:shd w:val="clear" w:color="auto" w:fill="auto"/>
    </w:rPr>
  </w:style>
  <w:style w:type="paragraph" w:styleId="Header">
    <w:name w:val="header"/>
    <w:basedOn w:val="Normal"/>
    <w:link w:val="HeaderChar"/>
    <w:uiPriority w:val="99"/>
    <w:unhideWhenUsed/>
    <w:rsid w:val="009D6B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B2D"/>
  </w:style>
  <w:style w:type="paragraph" w:styleId="Footer">
    <w:name w:val="footer"/>
    <w:basedOn w:val="Normal"/>
    <w:link w:val="FooterChar"/>
    <w:uiPriority w:val="99"/>
    <w:unhideWhenUsed/>
    <w:rsid w:val="009D6B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B2D"/>
  </w:style>
  <w:style w:type="paragraph" w:customStyle="1" w:styleId="Pagedecouverture">
    <w:name w:val="Page de couverture"/>
    <w:basedOn w:val="Normal"/>
    <w:next w:val="Normal"/>
    <w:rsid w:val="009D6B2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D6B2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D6B2D"/>
    <w:rPr>
      <w:rFonts w:ascii="Times New Roman" w:hAnsi="Times New Roman" w:cs="Times New Roman"/>
      <w:sz w:val="24"/>
    </w:rPr>
  </w:style>
  <w:style w:type="paragraph" w:customStyle="1" w:styleId="FooterSensitivity">
    <w:name w:val="Footer Sensitivity"/>
    <w:basedOn w:val="Normal"/>
    <w:link w:val="FooterSensitivityChar"/>
    <w:rsid w:val="009D6B2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D6B2D"/>
    <w:rPr>
      <w:rFonts w:ascii="Times New Roman" w:hAnsi="Times New Roman" w:cs="Times New Roman"/>
      <w:b/>
      <w:sz w:val="32"/>
    </w:rPr>
  </w:style>
  <w:style w:type="paragraph" w:customStyle="1" w:styleId="HeaderCoverPage">
    <w:name w:val="Header Cover Page"/>
    <w:basedOn w:val="Normal"/>
    <w:link w:val="HeaderCoverPageChar"/>
    <w:rsid w:val="009D6B2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D6B2D"/>
    <w:rPr>
      <w:rFonts w:ascii="Times New Roman" w:hAnsi="Times New Roman" w:cs="Times New Roman"/>
      <w:sz w:val="24"/>
    </w:rPr>
  </w:style>
  <w:style w:type="paragraph" w:customStyle="1" w:styleId="HeaderSensitivity">
    <w:name w:val="Header Sensitivity"/>
    <w:basedOn w:val="Normal"/>
    <w:link w:val="HeaderSensitivityChar"/>
    <w:rsid w:val="009D6B2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D6B2D"/>
    <w:rPr>
      <w:rFonts w:ascii="Times New Roman" w:hAnsi="Times New Roman" w:cs="Times New Roman"/>
      <w:b/>
      <w:sz w:val="32"/>
    </w:rPr>
  </w:style>
  <w:style w:type="paragraph" w:customStyle="1" w:styleId="HeaderSensitivityRight">
    <w:name w:val="Header Sensitivity Right"/>
    <w:basedOn w:val="Normal"/>
    <w:link w:val="HeaderSensitivityRightChar"/>
    <w:rsid w:val="00687B5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D6B2D"/>
    <w:rPr>
      <w:rFonts w:ascii="Times New Roman" w:hAnsi="Times New Roman" w:cs="Times New Roman"/>
      <w:sz w:val="28"/>
    </w:rPr>
  </w:style>
  <w:style w:type="paragraph" w:styleId="FootnoteText">
    <w:name w:val="footnote text"/>
    <w:basedOn w:val="Normal"/>
    <w:link w:val="FootnoteTextChar"/>
    <w:uiPriority w:val="99"/>
    <w:semiHidden/>
    <w:unhideWhenUsed/>
    <w:rsid w:val="008C54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543F"/>
    <w:rPr>
      <w:sz w:val="20"/>
      <w:szCs w:val="20"/>
    </w:rPr>
  </w:style>
  <w:style w:type="character" w:styleId="FootnoteReference">
    <w:name w:val="footnote reference"/>
    <w:basedOn w:val="DefaultParagraphFont"/>
    <w:uiPriority w:val="99"/>
    <w:semiHidden/>
    <w:unhideWhenUsed/>
    <w:rsid w:val="008C543F"/>
    <w:rPr>
      <w:vertAlign w:val="superscript"/>
    </w:rPr>
  </w:style>
  <w:style w:type="character" w:styleId="Hyperlink">
    <w:name w:val="Hyperlink"/>
    <w:basedOn w:val="DefaultParagraphFont"/>
    <w:uiPriority w:val="99"/>
    <w:unhideWhenUsed/>
    <w:rsid w:val="008C543F"/>
    <w:rPr>
      <w:color w:val="467886" w:themeColor="hyperlink"/>
      <w:u w:val="single"/>
    </w:rPr>
  </w:style>
  <w:style w:type="character" w:customStyle="1" w:styleId="UnresolvedMention">
    <w:name w:val="Unresolved Mention"/>
    <w:basedOn w:val="DefaultParagraphFont"/>
    <w:uiPriority w:val="99"/>
    <w:semiHidden/>
    <w:unhideWhenUsed/>
    <w:rsid w:val="008C543F"/>
    <w:rPr>
      <w:color w:val="605E5C"/>
      <w:shd w:val="clear" w:color="auto" w:fill="E1DFDD"/>
    </w:rPr>
  </w:style>
  <w:style w:type="character" w:styleId="CommentReference">
    <w:name w:val="annotation reference"/>
    <w:basedOn w:val="DefaultParagraphFont"/>
    <w:uiPriority w:val="99"/>
    <w:semiHidden/>
    <w:unhideWhenUsed/>
    <w:rsid w:val="00905912"/>
    <w:rPr>
      <w:sz w:val="16"/>
      <w:szCs w:val="16"/>
    </w:rPr>
  </w:style>
  <w:style w:type="paragraph" w:styleId="CommentText">
    <w:name w:val="annotation text"/>
    <w:basedOn w:val="Normal"/>
    <w:link w:val="CommentTextChar"/>
    <w:uiPriority w:val="99"/>
    <w:unhideWhenUsed/>
    <w:rsid w:val="00905912"/>
    <w:pPr>
      <w:spacing w:line="240" w:lineRule="auto"/>
    </w:pPr>
    <w:rPr>
      <w:sz w:val="20"/>
      <w:szCs w:val="20"/>
    </w:rPr>
  </w:style>
  <w:style w:type="character" w:customStyle="1" w:styleId="CommentTextChar">
    <w:name w:val="Comment Text Char"/>
    <w:basedOn w:val="DefaultParagraphFont"/>
    <w:link w:val="CommentText"/>
    <w:uiPriority w:val="99"/>
    <w:rsid w:val="00905912"/>
    <w:rPr>
      <w:sz w:val="20"/>
      <w:szCs w:val="20"/>
    </w:rPr>
  </w:style>
  <w:style w:type="paragraph" w:styleId="CommentSubject">
    <w:name w:val="annotation subject"/>
    <w:basedOn w:val="CommentText"/>
    <w:next w:val="CommentText"/>
    <w:link w:val="CommentSubjectChar"/>
    <w:uiPriority w:val="99"/>
    <w:semiHidden/>
    <w:unhideWhenUsed/>
    <w:rsid w:val="00905912"/>
    <w:rPr>
      <w:b/>
      <w:bCs/>
    </w:rPr>
  </w:style>
  <w:style w:type="character" w:customStyle="1" w:styleId="CommentSubjectChar">
    <w:name w:val="Comment Subject Char"/>
    <w:basedOn w:val="CommentTextChar"/>
    <w:link w:val="CommentSubject"/>
    <w:uiPriority w:val="99"/>
    <w:semiHidden/>
    <w:rsid w:val="00905912"/>
    <w:rPr>
      <w:b/>
      <w:bCs/>
      <w:sz w:val="20"/>
      <w:szCs w:val="20"/>
    </w:rPr>
  </w:style>
  <w:style w:type="paragraph" w:styleId="Revision">
    <w:name w:val="Revision"/>
    <w:hidden/>
    <w:uiPriority w:val="99"/>
    <w:semiHidden/>
    <w:rsid w:val="00385411"/>
    <w:pPr>
      <w:spacing w:after="0" w:line="240" w:lineRule="auto"/>
    </w:pPr>
  </w:style>
  <w:style w:type="paragraph" w:styleId="NormalWeb">
    <w:name w:val="Normal (Web)"/>
    <w:basedOn w:val="Normal"/>
    <w:uiPriority w:val="99"/>
    <w:semiHidden/>
    <w:unhideWhenUsed/>
    <w:rsid w:val="00FA438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471946"/>
    <w:rPr>
      <w:color w:val="96607D" w:themeColor="followedHyperlink"/>
      <w:u w:val="single"/>
    </w:rPr>
  </w:style>
  <w:style w:type="character" w:customStyle="1" w:styleId="Mention">
    <w:name w:val="Mention"/>
    <w:basedOn w:val="DefaultParagraphFont"/>
    <w:uiPriority w:val="99"/>
    <w:unhideWhenUsed/>
    <w:rsid w:val="0027493C"/>
    <w:rPr>
      <w:color w:val="2B579A"/>
      <w:shd w:val="clear" w:color="auto" w:fill="E1DFDD"/>
    </w:rPr>
  </w:style>
  <w:style w:type="character" w:customStyle="1" w:styleId="ListParagraphChar">
    <w:name w:val="List Paragraph Char"/>
    <w:aliases w:val="List1 Char,List11 Char,OM numbered bullets Char,1st level - Bullet List Paragraph Char,Lettre d'introduction Char,Normal bullet 2 Char,Bullet list Char,Listenabsatz1 Char,Table of contents numbered Char,F5 List Paragraph Char,b Char"/>
    <w:link w:val="ListParagraph"/>
    <w:uiPriority w:val="34"/>
    <w:qFormat/>
    <w:rsid w:val="009A7D53"/>
  </w:style>
  <w:style w:type="paragraph" w:styleId="EndnoteText">
    <w:name w:val="endnote text"/>
    <w:basedOn w:val="Normal"/>
    <w:link w:val="EndnoteTextChar"/>
    <w:uiPriority w:val="99"/>
    <w:semiHidden/>
    <w:unhideWhenUsed/>
    <w:rsid w:val="00D918D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18D7"/>
    <w:rPr>
      <w:sz w:val="20"/>
      <w:szCs w:val="20"/>
    </w:rPr>
  </w:style>
  <w:style w:type="character" w:styleId="EndnoteReference">
    <w:name w:val="endnote reference"/>
    <w:basedOn w:val="DefaultParagraphFont"/>
    <w:uiPriority w:val="99"/>
    <w:semiHidden/>
    <w:unhideWhenUsed/>
    <w:rsid w:val="00D918D7"/>
    <w:rPr>
      <w:vertAlign w:val="superscript"/>
    </w:rPr>
  </w:style>
  <w:style w:type="paragraph" w:customStyle="1" w:styleId="Disclaimer">
    <w:name w:val="Disclaimer"/>
    <w:basedOn w:val="Normal"/>
    <w:rsid w:val="00687B5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687B5B"/>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687B5B"/>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687B5B"/>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9012">
      <w:bodyDiv w:val="1"/>
      <w:marLeft w:val="0"/>
      <w:marRight w:val="0"/>
      <w:marTop w:val="0"/>
      <w:marBottom w:val="0"/>
      <w:divBdr>
        <w:top w:val="none" w:sz="0" w:space="0" w:color="auto"/>
        <w:left w:val="none" w:sz="0" w:space="0" w:color="auto"/>
        <w:bottom w:val="none" w:sz="0" w:space="0" w:color="auto"/>
        <w:right w:val="none" w:sz="0" w:space="0" w:color="auto"/>
      </w:divBdr>
      <w:divsChild>
        <w:div w:id="862550702">
          <w:marLeft w:val="0"/>
          <w:marRight w:val="0"/>
          <w:marTop w:val="180"/>
          <w:marBottom w:val="240"/>
          <w:divBdr>
            <w:top w:val="none" w:sz="0" w:space="0" w:color="auto"/>
            <w:left w:val="none" w:sz="0" w:space="0" w:color="auto"/>
            <w:bottom w:val="none" w:sz="0" w:space="0" w:color="auto"/>
            <w:right w:val="none" w:sz="0" w:space="0" w:color="auto"/>
          </w:divBdr>
        </w:div>
        <w:div w:id="1833989186">
          <w:marLeft w:val="0"/>
          <w:marRight w:val="0"/>
          <w:marTop w:val="180"/>
          <w:marBottom w:val="240"/>
          <w:divBdr>
            <w:top w:val="none" w:sz="0" w:space="0" w:color="auto"/>
            <w:left w:val="none" w:sz="0" w:space="0" w:color="auto"/>
            <w:bottom w:val="none" w:sz="0" w:space="0" w:color="auto"/>
            <w:right w:val="none" w:sz="0" w:space="0" w:color="auto"/>
          </w:divBdr>
        </w:div>
      </w:divsChild>
    </w:div>
    <w:div w:id="92552094">
      <w:bodyDiv w:val="1"/>
      <w:marLeft w:val="0"/>
      <w:marRight w:val="0"/>
      <w:marTop w:val="0"/>
      <w:marBottom w:val="0"/>
      <w:divBdr>
        <w:top w:val="none" w:sz="0" w:space="0" w:color="auto"/>
        <w:left w:val="none" w:sz="0" w:space="0" w:color="auto"/>
        <w:bottom w:val="none" w:sz="0" w:space="0" w:color="auto"/>
        <w:right w:val="none" w:sz="0" w:space="0" w:color="auto"/>
      </w:divBdr>
      <w:divsChild>
        <w:div w:id="679429117">
          <w:marLeft w:val="0"/>
          <w:marRight w:val="0"/>
          <w:marTop w:val="0"/>
          <w:marBottom w:val="240"/>
          <w:divBdr>
            <w:top w:val="none" w:sz="0" w:space="0" w:color="auto"/>
            <w:left w:val="none" w:sz="0" w:space="0" w:color="auto"/>
            <w:bottom w:val="none" w:sz="0" w:space="0" w:color="auto"/>
            <w:right w:val="none" w:sz="0" w:space="0" w:color="auto"/>
          </w:divBdr>
        </w:div>
        <w:div w:id="1615675743">
          <w:marLeft w:val="0"/>
          <w:marRight w:val="0"/>
          <w:marTop w:val="180"/>
          <w:marBottom w:val="240"/>
          <w:divBdr>
            <w:top w:val="none" w:sz="0" w:space="0" w:color="auto"/>
            <w:left w:val="none" w:sz="0" w:space="0" w:color="auto"/>
            <w:bottom w:val="none" w:sz="0" w:space="0" w:color="auto"/>
            <w:right w:val="none" w:sz="0" w:space="0" w:color="auto"/>
          </w:divBdr>
        </w:div>
      </w:divsChild>
    </w:div>
    <w:div w:id="143275213">
      <w:bodyDiv w:val="1"/>
      <w:marLeft w:val="0"/>
      <w:marRight w:val="0"/>
      <w:marTop w:val="0"/>
      <w:marBottom w:val="0"/>
      <w:divBdr>
        <w:top w:val="none" w:sz="0" w:space="0" w:color="auto"/>
        <w:left w:val="none" w:sz="0" w:space="0" w:color="auto"/>
        <w:bottom w:val="none" w:sz="0" w:space="0" w:color="auto"/>
        <w:right w:val="none" w:sz="0" w:space="0" w:color="auto"/>
      </w:divBdr>
    </w:div>
    <w:div w:id="220992029">
      <w:bodyDiv w:val="1"/>
      <w:marLeft w:val="0"/>
      <w:marRight w:val="0"/>
      <w:marTop w:val="0"/>
      <w:marBottom w:val="0"/>
      <w:divBdr>
        <w:top w:val="none" w:sz="0" w:space="0" w:color="auto"/>
        <w:left w:val="none" w:sz="0" w:space="0" w:color="auto"/>
        <w:bottom w:val="none" w:sz="0" w:space="0" w:color="auto"/>
        <w:right w:val="none" w:sz="0" w:space="0" w:color="auto"/>
      </w:divBdr>
    </w:div>
    <w:div w:id="234367039">
      <w:bodyDiv w:val="1"/>
      <w:marLeft w:val="0"/>
      <w:marRight w:val="0"/>
      <w:marTop w:val="0"/>
      <w:marBottom w:val="0"/>
      <w:divBdr>
        <w:top w:val="none" w:sz="0" w:space="0" w:color="auto"/>
        <w:left w:val="none" w:sz="0" w:space="0" w:color="auto"/>
        <w:bottom w:val="none" w:sz="0" w:space="0" w:color="auto"/>
        <w:right w:val="none" w:sz="0" w:space="0" w:color="auto"/>
      </w:divBdr>
    </w:div>
    <w:div w:id="276984694">
      <w:bodyDiv w:val="1"/>
      <w:marLeft w:val="0"/>
      <w:marRight w:val="0"/>
      <w:marTop w:val="0"/>
      <w:marBottom w:val="0"/>
      <w:divBdr>
        <w:top w:val="none" w:sz="0" w:space="0" w:color="auto"/>
        <w:left w:val="none" w:sz="0" w:space="0" w:color="auto"/>
        <w:bottom w:val="none" w:sz="0" w:space="0" w:color="auto"/>
        <w:right w:val="none" w:sz="0" w:space="0" w:color="auto"/>
      </w:divBdr>
      <w:divsChild>
        <w:div w:id="1888956406">
          <w:marLeft w:val="0"/>
          <w:marRight w:val="0"/>
          <w:marTop w:val="0"/>
          <w:marBottom w:val="0"/>
          <w:divBdr>
            <w:top w:val="none" w:sz="0" w:space="0" w:color="auto"/>
            <w:left w:val="none" w:sz="0" w:space="0" w:color="auto"/>
            <w:bottom w:val="none" w:sz="0" w:space="0" w:color="auto"/>
            <w:right w:val="none" w:sz="0" w:space="0" w:color="auto"/>
          </w:divBdr>
          <w:divsChild>
            <w:div w:id="748530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179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3591">
      <w:bodyDiv w:val="1"/>
      <w:marLeft w:val="0"/>
      <w:marRight w:val="0"/>
      <w:marTop w:val="0"/>
      <w:marBottom w:val="0"/>
      <w:divBdr>
        <w:top w:val="none" w:sz="0" w:space="0" w:color="auto"/>
        <w:left w:val="none" w:sz="0" w:space="0" w:color="auto"/>
        <w:bottom w:val="none" w:sz="0" w:space="0" w:color="auto"/>
        <w:right w:val="none" w:sz="0" w:space="0" w:color="auto"/>
      </w:divBdr>
    </w:div>
    <w:div w:id="449206780">
      <w:bodyDiv w:val="1"/>
      <w:marLeft w:val="0"/>
      <w:marRight w:val="0"/>
      <w:marTop w:val="0"/>
      <w:marBottom w:val="0"/>
      <w:divBdr>
        <w:top w:val="none" w:sz="0" w:space="0" w:color="auto"/>
        <w:left w:val="none" w:sz="0" w:space="0" w:color="auto"/>
        <w:bottom w:val="none" w:sz="0" w:space="0" w:color="auto"/>
        <w:right w:val="none" w:sz="0" w:space="0" w:color="auto"/>
      </w:divBdr>
    </w:div>
    <w:div w:id="454754469">
      <w:bodyDiv w:val="1"/>
      <w:marLeft w:val="0"/>
      <w:marRight w:val="0"/>
      <w:marTop w:val="0"/>
      <w:marBottom w:val="0"/>
      <w:divBdr>
        <w:top w:val="none" w:sz="0" w:space="0" w:color="auto"/>
        <w:left w:val="none" w:sz="0" w:space="0" w:color="auto"/>
        <w:bottom w:val="none" w:sz="0" w:space="0" w:color="auto"/>
        <w:right w:val="none" w:sz="0" w:space="0" w:color="auto"/>
      </w:divBdr>
      <w:divsChild>
        <w:div w:id="282883481">
          <w:marLeft w:val="0"/>
          <w:marRight w:val="0"/>
          <w:marTop w:val="0"/>
          <w:marBottom w:val="0"/>
          <w:divBdr>
            <w:top w:val="none" w:sz="0" w:space="0" w:color="auto"/>
            <w:left w:val="none" w:sz="0" w:space="0" w:color="auto"/>
            <w:bottom w:val="none" w:sz="0" w:space="0" w:color="auto"/>
            <w:right w:val="none" w:sz="0" w:space="0" w:color="auto"/>
          </w:divBdr>
          <w:divsChild>
            <w:div w:id="54868736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7987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829391">
      <w:bodyDiv w:val="1"/>
      <w:marLeft w:val="0"/>
      <w:marRight w:val="0"/>
      <w:marTop w:val="0"/>
      <w:marBottom w:val="0"/>
      <w:divBdr>
        <w:top w:val="none" w:sz="0" w:space="0" w:color="auto"/>
        <w:left w:val="none" w:sz="0" w:space="0" w:color="auto"/>
        <w:bottom w:val="none" w:sz="0" w:space="0" w:color="auto"/>
        <w:right w:val="none" w:sz="0" w:space="0" w:color="auto"/>
      </w:divBdr>
      <w:divsChild>
        <w:div w:id="137844457">
          <w:marLeft w:val="0"/>
          <w:marRight w:val="0"/>
          <w:marTop w:val="180"/>
          <w:marBottom w:val="240"/>
          <w:divBdr>
            <w:top w:val="none" w:sz="0" w:space="0" w:color="auto"/>
            <w:left w:val="none" w:sz="0" w:space="0" w:color="auto"/>
            <w:bottom w:val="none" w:sz="0" w:space="0" w:color="auto"/>
            <w:right w:val="none" w:sz="0" w:space="0" w:color="auto"/>
          </w:divBdr>
        </w:div>
        <w:div w:id="1375888235">
          <w:marLeft w:val="0"/>
          <w:marRight w:val="0"/>
          <w:marTop w:val="180"/>
          <w:marBottom w:val="240"/>
          <w:divBdr>
            <w:top w:val="none" w:sz="0" w:space="0" w:color="auto"/>
            <w:left w:val="none" w:sz="0" w:space="0" w:color="auto"/>
            <w:bottom w:val="none" w:sz="0" w:space="0" w:color="auto"/>
            <w:right w:val="none" w:sz="0" w:space="0" w:color="auto"/>
          </w:divBdr>
        </w:div>
      </w:divsChild>
    </w:div>
    <w:div w:id="517160033">
      <w:bodyDiv w:val="1"/>
      <w:marLeft w:val="0"/>
      <w:marRight w:val="0"/>
      <w:marTop w:val="0"/>
      <w:marBottom w:val="0"/>
      <w:divBdr>
        <w:top w:val="none" w:sz="0" w:space="0" w:color="auto"/>
        <w:left w:val="none" w:sz="0" w:space="0" w:color="auto"/>
        <w:bottom w:val="none" w:sz="0" w:space="0" w:color="auto"/>
        <w:right w:val="none" w:sz="0" w:space="0" w:color="auto"/>
      </w:divBdr>
    </w:div>
    <w:div w:id="558902681">
      <w:bodyDiv w:val="1"/>
      <w:marLeft w:val="0"/>
      <w:marRight w:val="0"/>
      <w:marTop w:val="0"/>
      <w:marBottom w:val="0"/>
      <w:divBdr>
        <w:top w:val="none" w:sz="0" w:space="0" w:color="auto"/>
        <w:left w:val="none" w:sz="0" w:space="0" w:color="auto"/>
        <w:bottom w:val="none" w:sz="0" w:space="0" w:color="auto"/>
        <w:right w:val="none" w:sz="0" w:space="0" w:color="auto"/>
      </w:divBdr>
    </w:div>
    <w:div w:id="561061686">
      <w:bodyDiv w:val="1"/>
      <w:marLeft w:val="0"/>
      <w:marRight w:val="0"/>
      <w:marTop w:val="0"/>
      <w:marBottom w:val="0"/>
      <w:divBdr>
        <w:top w:val="none" w:sz="0" w:space="0" w:color="auto"/>
        <w:left w:val="none" w:sz="0" w:space="0" w:color="auto"/>
        <w:bottom w:val="none" w:sz="0" w:space="0" w:color="auto"/>
        <w:right w:val="none" w:sz="0" w:space="0" w:color="auto"/>
      </w:divBdr>
      <w:divsChild>
        <w:div w:id="134883091">
          <w:marLeft w:val="0"/>
          <w:marRight w:val="0"/>
          <w:marTop w:val="180"/>
          <w:marBottom w:val="240"/>
          <w:divBdr>
            <w:top w:val="none" w:sz="0" w:space="0" w:color="auto"/>
            <w:left w:val="none" w:sz="0" w:space="0" w:color="auto"/>
            <w:bottom w:val="none" w:sz="0" w:space="0" w:color="auto"/>
            <w:right w:val="none" w:sz="0" w:space="0" w:color="auto"/>
          </w:divBdr>
        </w:div>
        <w:div w:id="1298531799">
          <w:marLeft w:val="0"/>
          <w:marRight w:val="0"/>
          <w:marTop w:val="180"/>
          <w:marBottom w:val="240"/>
          <w:divBdr>
            <w:top w:val="none" w:sz="0" w:space="0" w:color="auto"/>
            <w:left w:val="none" w:sz="0" w:space="0" w:color="auto"/>
            <w:bottom w:val="none" w:sz="0" w:space="0" w:color="auto"/>
            <w:right w:val="none" w:sz="0" w:space="0" w:color="auto"/>
          </w:divBdr>
        </w:div>
      </w:divsChild>
    </w:div>
    <w:div w:id="595673343">
      <w:bodyDiv w:val="1"/>
      <w:marLeft w:val="0"/>
      <w:marRight w:val="0"/>
      <w:marTop w:val="0"/>
      <w:marBottom w:val="0"/>
      <w:divBdr>
        <w:top w:val="none" w:sz="0" w:space="0" w:color="auto"/>
        <w:left w:val="none" w:sz="0" w:space="0" w:color="auto"/>
        <w:bottom w:val="none" w:sz="0" w:space="0" w:color="auto"/>
        <w:right w:val="none" w:sz="0" w:space="0" w:color="auto"/>
      </w:divBdr>
    </w:div>
    <w:div w:id="608320870">
      <w:bodyDiv w:val="1"/>
      <w:marLeft w:val="0"/>
      <w:marRight w:val="0"/>
      <w:marTop w:val="0"/>
      <w:marBottom w:val="0"/>
      <w:divBdr>
        <w:top w:val="none" w:sz="0" w:space="0" w:color="auto"/>
        <w:left w:val="none" w:sz="0" w:space="0" w:color="auto"/>
        <w:bottom w:val="none" w:sz="0" w:space="0" w:color="auto"/>
        <w:right w:val="none" w:sz="0" w:space="0" w:color="auto"/>
      </w:divBdr>
      <w:divsChild>
        <w:div w:id="1942830876">
          <w:marLeft w:val="0"/>
          <w:marRight w:val="0"/>
          <w:marTop w:val="0"/>
          <w:marBottom w:val="0"/>
          <w:divBdr>
            <w:top w:val="none" w:sz="0" w:space="0" w:color="auto"/>
            <w:left w:val="none" w:sz="0" w:space="0" w:color="auto"/>
            <w:bottom w:val="none" w:sz="0" w:space="0" w:color="auto"/>
            <w:right w:val="none" w:sz="0" w:space="0" w:color="auto"/>
          </w:divBdr>
          <w:divsChild>
            <w:div w:id="87223196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7535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08157">
      <w:bodyDiv w:val="1"/>
      <w:marLeft w:val="0"/>
      <w:marRight w:val="0"/>
      <w:marTop w:val="0"/>
      <w:marBottom w:val="0"/>
      <w:divBdr>
        <w:top w:val="none" w:sz="0" w:space="0" w:color="auto"/>
        <w:left w:val="none" w:sz="0" w:space="0" w:color="auto"/>
        <w:bottom w:val="none" w:sz="0" w:space="0" w:color="auto"/>
        <w:right w:val="none" w:sz="0" w:space="0" w:color="auto"/>
      </w:divBdr>
      <w:divsChild>
        <w:div w:id="629243724">
          <w:marLeft w:val="0"/>
          <w:marRight w:val="0"/>
          <w:marTop w:val="0"/>
          <w:marBottom w:val="0"/>
          <w:divBdr>
            <w:top w:val="none" w:sz="0" w:space="0" w:color="auto"/>
            <w:left w:val="none" w:sz="0" w:space="0" w:color="auto"/>
            <w:bottom w:val="none" w:sz="0" w:space="0" w:color="auto"/>
            <w:right w:val="none" w:sz="0" w:space="0" w:color="auto"/>
          </w:divBdr>
        </w:div>
        <w:div w:id="1718428592">
          <w:marLeft w:val="0"/>
          <w:marRight w:val="0"/>
          <w:marTop w:val="180"/>
          <w:marBottom w:val="240"/>
          <w:divBdr>
            <w:top w:val="none" w:sz="0" w:space="0" w:color="auto"/>
            <w:left w:val="none" w:sz="0" w:space="0" w:color="auto"/>
            <w:bottom w:val="none" w:sz="0" w:space="0" w:color="auto"/>
            <w:right w:val="none" w:sz="0" w:space="0" w:color="auto"/>
          </w:divBdr>
        </w:div>
      </w:divsChild>
    </w:div>
    <w:div w:id="715810969">
      <w:bodyDiv w:val="1"/>
      <w:marLeft w:val="0"/>
      <w:marRight w:val="0"/>
      <w:marTop w:val="0"/>
      <w:marBottom w:val="0"/>
      <w:divBdr>
        <w:top w:val="none" w:sz="0" w:space="0" w:color="auto"/>
        <w:left w:val="none" w:sz="0" w:space="0" w:color="auto"/>
        <w:bottom w:val="none" w:sz="0" w:space="0" w:color="auto"/>
        <w:right w:val="none" w:sz="0" w:space="0" w:color="auto"/>
      </w:divBdr>
    </w:div>
    <w:div w:id="734209181">
      <w:bodyDiv w:val="1"/>
      <w:marLeft w:val="0"/>
      <w:marRight w:val="0"/>
      <w:marTop w:val="0"/>
      <w:marBottom w:val="0"/>
      <w:divBdr>
        <w:top w:val="none" w:sz="0" w:space="0" w:color="auto"/>
        <w:left w:val="none" w:sz="0" w:space="0" w:color="auto"/>
        <w:bottom w:val="none" w:sz="0" w:space="0" w:color="auto"/>
        <w:right w:val="none" w:sz="0" w:space="0" w:color="auto"/>
      </w:divBdr>
    </w:div>
    <w:div w:id="736512383">
      <w:bodyDiv w:val="1"/>
      <w:marLeft w:val="0"/>
      <w:marRight w:val="0"/>
      <w:marTop w:val="0"/>
      <w:marBottom w:val="0"/>
      <w:divBdr>
        <w:top w:val="none" w:sz="0" w:space="0" w:color="auto"/>
        <w:left w:val="none" w:sz="0" w:space="0" w:color="auto"/>
        <w:bottom w:val="none" w:sz="0" w:space="0" w:color="auto"/>
        <w:right w:val="none" w:sz="0" w:space="0" w:color="auto"/>
      </w:divBdr>
    </w:div>
    <w:div w:id="736973573">
      <w:bodyDiv w:val="1"/>
      <w:marLeft w:val="0"/>
      <w:marRight w:val="0"/>
      <w:marTop w:val="0"/>
      <w:marBottom w:val="0"/>
      <w:divBdr>
        <w:top w:val="none" w:sz="0" w:space="0" w:color="auto"/>
        <w:left w:val="none" w:sz="0" w:space="0" w:color="auto"/>
        <w:bottom w:val="none" w:sz="0" w:space="0" w:color="auto"/>
        <w:right w:val="none" w:sz="0" w:space="0" w:color="auto"/>
      </w:divBdr>
    </w:div>
    <w:div w:id="766661374">
      <w:bodyDiv w:val="1"/>
      <w:marLeft w:val="0"/>
      <w:marRight w:val="0"/>
      <w:marTop w:val="0"/>
      <w:marBottom w:val="0"/>
      <w:divBdr>
        <w:top w:val="none" w:sz="0" w:space="0" w:color="auto"/>
        <w:left w:val="none" w:sz="0" w:space="0" w:color="auto"/>
        <w:bottom w:val="none" w:sz="0" w:space="0" w:color="auto"/>
        <w:right w:val="none" w:sz="0" w:space="0" w:color="auto"/>
      </w:divBdr>
    </w:div>
    <w:div w:id="776947650">
      <w:bodyDiv w:val="1"/>
      <w:marLeft w:val="0"/>
      <w:marRight w:val="0"/>
      <w:marTop w:val="0"/>
      <w:marBottom w:val="0"/>
      <w:divBdr>
        <w:top w:val="none" w:sz="0" w:space="0" w:color="auto"/>
        <w:left w:val="none" w:sz="0" w:space="0" w:color="auto"/>
        <w:bottom w:val="none" w:sz="0" w:space="0" w:color="auto"/>
        <w:right w:val="none" w:sz="0" w:space="0" w:color="auto"/>
      </w:divBdr>
    </w:div>
    <w:div w:id="778449081">
      <w:bodyDiv w:val="1"/>
      <w:marLeft w:val="0"/>
      <w:marRight w:val="0"/>
      <w:marTop w:val="0"/>
      <w:marBottom w:val="0"/>
      <w:divBdr>
        <w:top w:val="none" w:sz="0" w:space="0" w:color="auto"/>
        <w:left w:val="none" w:sz="0" w:space="0" w:color="auto"/>
        <w:bottom w:val="none" w:sz="0" w:space="0" w:color="auto"/>
        <w:right w:val="none" w:sz="0" w:space="0" w:color="auto"/>
      </w:divBdr>
    </w:div>
    <w:div w:id="778835300">
      <w:bodyDiv w:val="1"/>
      <w:marLeft w:val="0"/>
      <w:marRight w:val="0"/>
      <w:marTop w:val="0"/>
      <w:marBottom w:val="0"/>
      <w:divBdr>
        <w:top w:val="none" w:sz="0" w:space="0" w:color="auto"/>
        <w:left w:val="none" w:sz="0" w:space="0" w:color="auto"/>
        <w:bottom w:val="none" w:sz="0" w:space="0" w:color="auto"/>
        <w:right w:val="none" w:sz="0" w:space="0" w:color="auto"/>
      </w:divBdr>
    </w:div>
    <w:div w:id="802164035">
      <w:bodyDiv w:val="1"/>
      <w:marLeft w:val="0"/>
      <w:marRight w:val="0"/>
      <w:marTop w:val="0"/>
      <w:marBottom w:val="0"/>
      <w:divBdr>
        <w:top w:val="none" w:sz="0" w:space="0" w:color="auto"/>
        <w:left w:val="none" w:sz="0" w:space="0" w:color="auto"/>
        <w:bottom w:val="none" w:sz="0" w:space="0" w:color="auto"/>
        <w:right w:val="none" w:sz="0" w:space="0" w:color="auto"/>
      </w:divBdr>
    </w:div>
    <w:div w:id="845100527">
      <w:bodyDiv w:val="1"/>
      <w:marLeft w:val="0"/>
      <w:marRight w:val="0"/>
      <w:marTop w:val="0"/>
      <w:marBottom w:val="0"/>
      <w:divBdr>
        <w:top w:val="none" w:sz="0" w:space="0" w:color="auto"/>
        <w:left w:val="none" w:sz="0" w:space="0" w:color="auto"/>
        <w:bottom w:val="none" w:sz="0" w:space="0" w:color="auto"/>
        <w:right w:val="none" w:sz="0" w:space="0" w:color="auto"/>
      </w:divBdr>
    </w:div>
    <w:div w:id="950822518">
      <w:bodyDiv w:val="1"/>
      <w:marLeft w:val="0"/>
      <w:marRight w:val="0"/>
      <w:marTop w:val="0"/>
      <w:marBottom w:val="0"/>
      <w:divBdr>
        <w:top w:val="none" w:sz="0" w:space="0" w:color="auto"/>
        <w:left w:val="none" w:sz="0" w:space="0" w:color="auto"/>
        <w:bottom w:val="none" w:sz="0" w:space="0" w:color="auto"/>
        <w:right w:val="none" w:sz="0" w:space="0" w:color="auto"/>
      </w:divBdr>
    </w:div>
    <w:div w:id="1009673153">
      <w:bodyDiv w:val="1"/>
      <w:marLeft w:val="0"/>
      <w:marRight w:val="0"/>
      <w:marTop w:val="0"/>
      <w:marBottom w:val="0"/>
      <w:divBdr>
        <w:top w:val="none" w:sz="0" w:space="0" w:color="auto"/>
        <w:left w:val="none" w:sz="0" w:space="0" w:color="auto"/>
        <w:bottom w:val="none" w:sz="0" w:space="0" w:color="auto"/>
        <w:right w:val="none" w:sz="0" w:space="0" w:color="auto"/>
      </w:divBdr>
    </w:div>
    <w:div w:id="1066100299">
      <w:bodyDiv w:val="1"/>
      <w:marLeft w:val="0"/>
      <w:marRight w:val="0"/>
      <w:marTop w:val="0"/>
      <w:marBottom w:val="0"/>
      <w:divBdr>
        <w:top w:val="none" w:sz="0" w:space="0" w:color="auto"/>
        <w:left w:val="none" w:sz="0" w:space="0" w:color="auto"/>
        <w:bottom w:val="none" w:sz="0" w:space="0" w:color="auto"/>
        <w:right w:val="none" w:sz="0" w:space="0" w:color="auto"/>
      </w:divBdr>
    </w:div>
    <w:div w:id="1079017204">
      <w:bodyDiv w:val="1"/>
      <w:marLeft w:val="0"/>
      <w:marRight w:val="0"/>
      <w:marTop w:val="0"/>
      <w:marBottom w:val="0"/>
      <w:divBdr>
        <w:top w:val="none" w:sz="0" w:space="0" w:color="auto"/>
        <w:left w:val="none" w:sz="0" w:space="0" w:color="auto"/>
        <w:bottom w:val="none" w:sz="0" w:space="0" w:color="auto"/>
        <w:right w:val="none" w:sz="0" w:space="0" w:color="auto"/>
      </w:divBdr>
    </w:div>
    <w:div w:id="1086000006">
      <w:bodyDiv w:val="1"/>
      <w:marLeft w:val="0"/>
      <w:marRight w:val="0"/>
      <w:marTop w:val="0"/>
      <w:marBottom w:val="0"/>
      <w:divBdr>
        <w:top w:val="none" w:sz="0" w:space="0" w:color="auto"/>
        <w:left w:val="none" w:sz="0" w:space="0" w:color="auto"/>
        <w:bottom w:val="none" w:sz="0" w:space="0" w:color="auto"/>
        <w:right w:val="none" w:sz="0" w:space="0" w:color="auto"/>
      </w:divBdr>
      <w:divsChild>
        <w:div w:id="473572770">
          <w:marLeft w:val="0"/>
          <w:marRight w:val="0"/>
          <w:marTop w:val="180"/>
          <w:marBottom w:val="240"/>
          <w:divBdr>
            <w:top w:val="none" w:sz="0" w:space="0" w:color="auto"/>
            <w:left w:val="none" w:sz="0" w:space="0" w:color="auto"/>
            <w:bottom w:val="none" w:sz="0" w:space="0" w:color="auto"/>
            <w:right w:val="none" w:sz="0" w:space="0" w:color="auto"/>
          </w:divBdr>
        </w:div>
        <w:div w:id="519977432">
          <w:marLeft w:val="0"/>
          <w:marRight w:val="0"/>
          <w:marTop w:val="180"/>
          <w:marBottom w:val="240"/>
          <w:divBdr>
            <w:top w:val="none" w:sz="0" w:space="0" w:color="auto"/>
            <w:left w:val="none" w:sz="0" w:space="0" w:color="auto"/>
            <w:bottom w:val="none" w:sz="0" w:space="0" w:color="auto"/>
            <w:right w:val="none" w:sz="0" w:space="0" w:color="auto"/>
          </w:divBdr>
        </w:div>
      </w:divsChild>
    </w:div>
    <w:div w:id="1161116466">
      <w:bodyDiv w:val="1"/>
      <w:marLeft w:val="0"/>
      <w:marRight w:val="0"/>
      <w:marTop w:val="0"/>
      <w:marBottom w:val="0"/>
      <w:divBdr>
        <w:top w:val="none" w:sz="0" w:space="0" w:color="auto"/>
        <w:left w:val="none" w:sz="0" w:space="0" w:color="auto"/>
        <w:bottom w:val="none" w:sz="0" w:space="0" w:color="auto"/>
        <w:right w:val="none" w:sz="0" w:space="0" w:color="auto"/>
      </w:divBdr>
    </w:div>
    <w:div w:id="1251159524">
      <w:bodyDiv w:val="1"/>
      <w:marLeft w:val="0"/>
      <w:marRight w:val="0"/>
      <w:marTop w:val="0"/>
      <w:marBottom w:val="0"/>
      <w:divBdr>
        <w:top w:val="none" w:sz="0" w:space="0" w:color="auto"/>
        <w:left w:val="none" w:sz="0" w:space="0" w:color="auto"/>
        <w:bottom w:val="none" w:sz="0" w:space="0" w:color="auto"/>
        <w:right w:val="none" w:sz="0" w:space="0" w:color="auto"/>
      </w:divBdr>
    </w:div>
    <w:div w:id="1257667810">
      <w:bodyDiv w:val="1"/>
      <w:marLeft w:val="0"/>
      <w:marRight w:val="0"/>
      <w:marTop w:val="0"/>
      <w:marBottom w:val="0"/>
      <w:divBdr>
        <w:top w:val="none" w:sz="0" w:space="0" w:color="auto"/>
        <w:left w:val="none" w:sz="0" w:space="0" w:color="auto"/>
        <w:bottom w:val="none" w:sz="0" w:space="0" w:color="auto"/>
        <w:right w:val="none" w:sz="0" w:space="0" w:color="auto"/>
      </w:divBdr>
    </w:div>
    <w:div w:id="1274557710">
      <w:bodyDiv w:val="1"/>
      <w:marLeft w:val="0"/>
      <w:marRight w:val="0"/>
      <w:marTop w:val="0"/>
      <w:marBottom w:val="0"/>
      <w:divBdr>
        <w:top w:val="none" w:sz="0" w:space="0" w:color="auto"/>
        <w:left w:val="none" w:sz="0" w:space="0" w:color="auto"/>
        <w:bottom w:val="none" w:sz="0" w:space="0" w:color="auto"/>
        <w:right w:val="none" w:sz="0" w:space="0" w:color="auto"/>
      </w:divBdr>
    </w:div>
    <w:div w:id="1305817090">
      <w:bodyDiv w:val="1"/>
      <w:marLeft w:val="0"/>
      <w:marRight w:val="0"/>
      <w:marTop w:val="0"/>
      <w:marBottom w:val="0"/>
      <w:divBdr>
        <w:top w:val="none" w:sz="0" w:space="0" w:color="auto"/>
        <w:left w:val="none" w:sz="0" w:space="0" w:color="auto"/>
        <w:bottom w:val="none" w:sz="0" w:space="0" w:color="auto"/>
        <w:right w:val="none" w:sz="0" w:space="0" w:color="auto"/>
      </w:divBdr>
    </w:div>
    <w:div w:id="1452164822">
      <w:bodyDiv w:val="1"/>
      <w:marLeft w:val="0"/>
      <w:marRight w:val="0"/>
      <w:marTop w:val="0"/>
      <w:marBottom w:val="0"/>
      <w:divBdr>
        <w:top w:val="none" w:sz="0" w:space="0" w:color="auto"/>
        <w:left w:val="none" w:sz="0" w:space="0" w:color="auto"/>
        <w:bottom w:val="none" w:sz="0" w:space="0" w:color="auto"/>
        <w:right w:val="none" w:sz="0" w:space="0" w:color="auto"/>
      </w:divBdr>
    </w:div>
    <w:div w:id="1457984049">
      <w:bodyDiv w:val="1"/>
      <w:marLeft w:val="0"/>
      <w:marRight w:val="0"/>
      <w:marTop w:val="0"/>
      <w:marBottom w:val="0"/>
      <w:divBdr>
        <w:top w:val="none" w:sz="0" w:space="0" w:color="auto"/>
        <w:left w:val="none" w:sz="0" w:space="0" w:color="auto"/>
        <w:bottom w:val="none" w:sz="0" w:space="0" w:color="auto"/>
        <w:right w:val="none" w:sz="0" w:space="0" w:color="auto"/>
      </w:divBdr>
    </w:div>
    <w:div w:id="1495753744">
      <w:bodyDiv w:val="1"/>
      <w:marLeft w:val="0"/>
      <w:marRight w:val="0"/>
      <w:marTop w:val="0"/>
      <w:marBottom w:val="0"/>
      <w:divBdr>
        <w:top w:val="none" w:sz="0" w:space="0" w:color="auto"/>
        <w:left w:val="none" w:sz="0" w:space="0" w:color="auto"/>
        <w:bottom w:val="none" w:sz="0" w:space="0" w:color="auto"/>
        <w:right w:val="none" w:sz="0" w:space="0" w:color="auto"/>
      </w:divBdr>
    </w:div>
    <w:div w:id="1568805467">
      <w:bodyDiv w:val="1"/>
      <w:marLeft w:val="0"/>
      <w:marRight w:val="0"/>
      <w:marTop w:val="0"/>
      <w:marBottom w:val="0"/>
      <w:divBdr>
        <w:top w:val="none" w:sz="0" w:space="0" w:color="auto"/>
        <w:left w:val="none" w:sz="0" w:space="0" w:color="auto"/>
        <w:bottom w:val="none" w:sz="0" w:space="0" w:color="auto"/>
        <w:right w:val="none" w:sz="0" w:space="0" w:color="auto"/>
      </w:divBdr>
      <w:divsChild>
        <w:div w:id="1928269807">
          <w:marLeft w:val="0"/>
          <w:marRight w:val="0"/>
          <w:marTop w:val="180"/>
          <w:marBottom w:val="240"/>
          <w:divBdr>
            <w:top w:val="none" w:sz="0" w:space="0" w:color="auto"/>
            <w:left w:val="none" w:sz="0" w:space="0" w:color="auto"/>
            <w:bottom w:val="none" w:sz="0" w:space="0" w:color="auto"/>
            <w:right w:val="none" w:sz="0" w:space="0" w:color="auto"/>
          </w:divBdr>
        </w:div>
      </w:divsChild>
    </w:div>
    <w:div w:id="1607886455">
      <w:bodyDiv w:val="1"/>
      <w:marLeft w:val="0"/>
      <w:marRight w:val="0"/>
      <w:marTop w:val="0"/>
      <w:marBottom w:val="0"/>
      <w:divBdr>
        <w:top w:val="none" w:sz="0" w:space="0" w:color="auto"/>
        <w:left w:val="none" w:sz="0" w:space="0" w:color="auto"/>
        <w:bottom w:val="none" w:sz="0" w:space="0" w:color="auto"/>
        <w:right w:val="none" w:sz="0" w:space="0" w:color="auto"/>
      </w:divBdr>
    </w:div>
    <w:div w:id="1608345700">
      <w:bodyDiv w:val="1"/>
      <w:marLeft w:val="0"/>
      <w:marRight w:val="0"/>
      <w:marTop w:val="0"/>
      <w:marBottom w:val="0"/>
      <w:divBdr>
        <w:top w:val="none" w:sz="0" w:space="0" w:color="auto"/>
        <w:left w:val="none" w:sz="0" w:space="0" w:color="auto"/>
        <w:bottom w:val="none" w:sz="0" w:space="0" w:color="auto"/>
        <w:right w:val="none" w:sz="0" w:space="0" w:color="auto"/>
      </w:divBdr>
      <w:divsChild>
        <w:div w:id="892346820">
          <w:marLeft w:val="0"/>
          <w:marRight w:val="0"/>
          <w:marTop w:val="0"/>
          <w:marBottom w:val="0"/>
          <w:divBdr>
            <w:top w:val="none" w:sz="0" w:space="0" w:color="auto"/>
            <w:left w:val="none" w:sz="0" w:space="0" w:color="auto"/>
            <w:bottom w:val="none" w:sz="0" w:space="0" w:color="auto"/>
            <w:right w:val="none" w:sz="0" w:space="0" w:color="auto"/>
          </w:divBdr>
        </w:div>
        <w:div w:id="1578905473">
          <w:marLeft w:val="0"/>
          <w:marRight w:val="0"/>
          <w:marTop w:val="180"/>
          <w:marBottom w:val="240"/>
          <w:divBdr>
            <w:top w:val="none" w:sz="0" w:space="0" w:color="auto"/>
            <w:left w:val="none" w:sz="0" w:space="0" w:color="auto"/>
            <w:bottom w:val="none" w:sz="0" w:space="0" w:color="auto"/>
            <w:right w:val="none" w:sz="0" w:space="0" w:color="auto"/>
          </w:divBdr>
        </w:div>
      </w:divsChild>
    </w:div>
    <w:div w:id="1610892708">
      <w:bodyDiv w:val="1"/>
      <w:marLeft w:val="0"/>
      <w:marRight w:val="0"/>
      <w:marTop w:val="0"/>
      <w:marBottom w:val="0"/>
      <w:divBdr>
        <w:top w:val="none" w:sz="0" w:space="0" w:color="auto"/>
        <w:left w:val="none" w:sz="0" w:space="0" w:color="auto"/>
        <w:bottom w:val="none" w:sz="0" w:space="0" w:color="auto"/>
        <w:right w:val="none" w:sz="0" w:space="0" w:color="auto"/>
      </w:divBdr>
      <w:divsChild>
        <w:div w:id="1750544330">
          <w:marLeft w:val="0"/>
          <w:marRight w:val="0"/>
          <w:marTop w:val="180"/>
          <w:marBottom w:val="240"/>
          <w:divBdr>
            <w:top w:val="none" w:sz="0" w:space="0" w:color="auto"/>
            <w:left w:val="none" w:sz="0" w:space="0" w:color="auto"/>
            <w:bottom w:val="none" w:sz="0" w:space="0" w:color="auto"/>
            <w:right w:val="none" w:sz="0" w:space="0" w:color="auto"/>
          </w:divBdr>
        </w:div>
      </w:divsChild>
    </w:div>
    <w:div w:id="1615864423">
      <w:bodyDiv w:val="1"/>
      <w:marLeft w:val="0"/>
      <w:marRight w:val="0"/>
      <w:marTop w:val="0"/>
      <w:marBottom w:val="0"/>
      <w:divBdr>
        <w:top w:val="none" w:sz="0" w:space="0" w:color="auto"/>
        <w:left w:val="none" w:sz="0" w:space="0" w:color="auto"/>
        <w:bottom w:val="none" w:sz="0" w:space="0" w:color="auto"/>
        <w:right w:val="none" w:sz="0" w:space="0" w:color="auto"/>
      </w:divBdr>
    </w:div>
    <w:div w:id="1617523919">
      <w:bodyDiv w:val="1"/>
      <w:marLeft w:val="0"/>
      <w:marRight w:val="0"/>
      <w:marTop w:val="0"/>
      <w:marBottom w:val="0"/>
      <w:divBdr>
        <w:top w:val="none" w:sz="0" w:space="0" w:color="auto"/>
        <w:left w:val="none" w:sz="0" w:space="0" w:color="auto"/>
        <w:bottom w:val="none" w:sz="0" w:space="0" w:color="auto"/>
        <w:right w:val="none" w:sz="0" w:space="0" w:color="auto"/>
      </w:divBdr>
      <w:divsChild>
        <w:div w:id="1385254443">
          <w:marLeft w:val="0"/>
          <w:marRight w:val="0"/>
          <w:marTop w:val="0"/>
          <w:marBottom w:val="0"/>
          <w:divBdr>
            <w:top w:val="none" w:sz="0" w:space="0" w:color="auto"/>
            <w:left w:val="none" w:sz="0" w:space="0" w:color="auto"/>
            <w:bottom w:val="none" w:sz="0" w:space="0" w:color="auto"/>
            <w:right w:val="none" w:sz="0" w:space="0" w:color="auto"/>
          </w:divBdr>
          <w:divsChild>
            <w:div w:id="55550640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182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959560">
      <w:bodyDiv w:val="1"/>
      <w:marLeft w:val="0"/>
      <w:marRight w:val="0"/>
      <w:marTop w:val="0"/>
      <w:marBottom w:val="0"/>
      <w:divBdr>
        <w:top w:val="none" w:sz="0" w:space="0" w:color="auto"/>
        <w:left w:val="none" w:sz="0" w:space="0" w:color="auto"/>
        <w:bottom w:val="none" w:sz="0" w:space="0" w:color="auto"/>
        <w:right w:val="none" w:sz="0" w:space="0" w:color="auto"/>
      </w:divBdr>
      <w:divsChild>
        <w:div w:id="42486925">
          <w:marLeft w:val="0"/>
          <w:marRight w:val="0"/>
          <w:marTop w:val="180"/>
          <w:marBottom w:val="240"/>
          <w:divBdr>
            <w:top w:val="none" w:sz="0" w:space="0" w:color="auto"/>
            <w:left w:val="none" w:sz="0" w:space="0" w:color="auto"/>
            <w:bottom w:val="none" w:sz="0" w:space="0" w:color="auto"/>
            <w:right w:val="none" w:sz="0" w:space="0" w:color="auto"/>
          </w:divBdr>
        </w:div>
        <w:div w:id="836578224">
          <w:marLeft w:val="0"/>
          <w:marRight w:val="0"/>
          <w:marTop w:val="180"/>
          <w:marBottom w:val="240"/>
          <w:divBdr>
            <w:top w:val="none" w:sz="0" w:space="0" w:color="auto"/>
            <w:left w:val="none" w:sz="0" w:space="0" w:color="auto"/>
            <w:bottom w:val="none" w:sz="0" w:space="0" w:color="auto"/>
            <w:right w:val="none" w:sz="0" w:space="0" w:color="auto"/>
          </w:divBdr>
        </w:div>
      </w:divsChild>
    </w:div>
    <w:div w:id="1701734872">
      <w:bodyDiv w:val="1"/>
      <w:marLeft w:val="0"/>
      <w:marRight w:val="0"/>
      <w:marTop w:val="0"/>
      <w:marBottom w:val="0"/>
      <w:divBdr>
        <w:top w:val="none" w:sz="0" w:space="0" w:color="auto"/>
        <w:left w:val="none" w:sz="0" w:space="0" w:color="auto"/>
        <w:bottom w:val="none" w:sz="0" w:space="0" w:color="auto"/>
        <w:right w:val="none" w:sz="0" w:space="0" w:color="auto"/>
      </w:divBdr>
    </w:div>
    <w:div w:id="1704549156">
      <w:bodyDiv w:val="1"/>
      <w:marLeft w:val="0"/>
      <w:marRight w:val="0"/>
      <w:marTop w:val="0"/>
      <w:marBottom w:val="0"/>
      <w:divBdr>
        <w:top w:val="none" w:sz="0" w:space="0" w:color="auto"/>
        <w:left w:val="none" w:sz="0" w:space="0" w:color="auto"/>
        <w:bottom w:val="none" w:sz="0" w:space="0" w:color="auto"/>
        <w:right w:val="none" w:sz="0" w:space="0" w:color="auto"/>
      </w:divBdr>
    </w:div>
    <w:div w:id="1717779368">
      <w:bodyDiv w:val="1"/>
      <w:marLeft w:val="0"/>
      <w:marRight w:val="0"/>
      <w:marTop w:val="0"/>
      <w:marBottom w:val="0"/>
      <w:divBdr>
        <w:top w:val="none" w:sz="0" w:space="0" w:color="auto"/>
        <w:left w:val="none" w:sz="0" w:space="0" w:color="auto"/>
        <w:bottom w:val="none" w:sz="0" w:space="0" w:color="auto"/>
        <w:right w:val="none" w:sz="0" w:space="0" w:color="auto"/>
      </w:divBdr>
    </w:div>
    <w:div w:id="1729456901">
      <w:bodyDiv w:val="1"/>
      <w:marLeft w:val="0"/>
      <w:marRight w:val="0"/>
      <w:marTop w:val="0"/>
      <w:marBottom w:val="0"/>
      <w:divBdr>
        <w:top w:val="none" w:sz="0" w:space="0" w:color="auto"/>
        <w:left w:val="none" w:sz="0" w:space="0" w:color="auto"/>
        <w:bottom w:val="none" w:sz="0" w:space="0" w:color="auto"/>
        <w:right w:val="none" w:sz="0" w:space="0" w:color="auto"/>
      </w:divBdr>
    </w:div>
    <w:div w:id="1735544143">
      <w:bodyDiv w:val="1"/>
      <w:marLeft w:val="0"/>
      <w:marRight w:val="0"/>
      <w:marTop w:val="0"/>
      <w:marBottom w:val="0"/>
      <w:divBdr>
        <w:top w:val="none" w:sz="0" w:space="0" w:color="auto"/>
        <w:left w:val="none" w:sz="0" w:space="0" w:color="auto"/>
        <w:bottom w:val="none" w:sz="0" w:space="0" w:color="auto"/>
        <w:right w:val="none" w:sz="0" w:space="0" w:color="auto"/>
      </w:divBdr>
      <w:divsChild>
        <w:div w:id="851072279">
          <w:marLeft w:val="0"/>
          <w:marRight w:val="0"/>
          <w:marTop w:val="180"/>
          <w:marBottom w:val="240"/>
          <w:divBdr>
            <w:top w:val="none" w:sz="0" w:space="0" w:color="auto"/>
            <w:left w:val="none" w:sz="0" w:space="0" w:color="auto"/>
            <w:bottom w:val="none" w:sz="0" w:space="0" w:color="auto"/>
            <w:right w:val="none" w:sz="0" w:space="0" w:color="auto"/>
          </w:divBdr>
        </w:div>
        <w:div w:id="1725786856">
          <w:marLeft w:val="0"/>
          <w:marRight w:val="0"/>
          <w:marTop w:val="180"/>
          <w:marBottom w:val="240"/>
          <w:divBdr>
            <w:top w:val="none" w:sz="0" w:space="0" w:color="auto"/>
            <w:left w:val="none" w:sz="0" w:space="0" w:color="auto"/>
            <w:bottom w:val="none" w:sz="0" w:space="0" w:color="auto"/>
            <w:right w:val="none" w:sz="0" w:space="0" w:color="auto"/>
          </w:divBdr>
        </w:div>
      </w:divsChild>
    </w:div>
    <w:div w:id="1758793918">
      <w:bodyDiv w:val="1"/>
      <w:marLeft w:val="0"/>
      <w:marRight w:val="0"/>
      <w:marTop w:val="0"/>
      <w:marBottom w:val="0"/>
      <w:divBdr>
        <w:top w:val="none" w:sz="0" w:space="0" w:color="auto"/>
        <w:left w:val="none" w:sz="0" w:space="0" w:color="auto"/>
        <w:bottom w:val="none" w:sz="0" w:space="0" w:color="auto"/>
        <w:right w:val="none" w:sz="0" w:space="0" w:color="auto"/>
      </w:divBdr>
    </w:div>
    <w:div w:id="1808088098">
      <w:bodyDiv w:val="1"/>
      <w:marLeft w:val="0"/>
      <w:marRight w:val="0"/>
      <w:marTop w:val="0"/>
      <w:marBottom w:val="0"/>
      <w:divBdr>
        <w:top w:val="none" w:sz="0" w:space="0" w:color="auto"/>
        <w:left w:val="none" w:sz="0" w:space="0" w:color="auto"/>
        <w:bottom w:val="none" w:sz="0" w:space="0" w:color="auto"/>
        <w:right w:val="none" w:sz="0" w:space="0" w:color="auto"/>
      </w:divBdr>
    </w:div>
    <w:div w:id="1815443440">
      <w:bodyDiv w:val="1"/>
      <w:marLeft w:val="0"/>
      <w:marRight w:val="0"/>
      <w:marTop w:val="0"/>
      <w:marBottom w:val="0"/>
      <w:divBdr>
        <w:top w:val="none" w:sz="0" w:space="0" w:color="auto"/>
        <w:left w:val="none" w:sz="0" w:space="0" w:color="auto"/>
        <w:bottom w:val="none" w:sz="0" w:space="0" w:color="auto"/>
        <w:right w:val="none" w:sz="0" w:space="0" w:color="auto"/>
      </w:divBdr>
    </w:div>
    <w:div w:id="1822774729">
      <w:bodyDiv w:val="1"/>
      <w:marLeft w:val="0"/>
      <w:marRight w:val="0"/>
      <w:marTop w:val="0"/>
      <w:marBottom w:val="0"/>
      <w:divBdr>
        <w:top w:val="none" w:sz="0" w:space="0" w:color="auto"/>
        <w:left w:val="none" w:sz="0" w:space="0" w:color="auto"/>
        <w:bottom w:val="none" w:sz="0" w:space="0" w:color="auto"/>
        <w:right w:val="none" w:sz="0" w:space="0" w:color="auto"/>
      </w:divBdr>
    </w:div>
    <w:div w:id="1822885925">
      <w:bodyDiv w:val="1"/>
      <w:marLeft w:val="0"/>
      <w:marRight w:val="0"/>
      <w:marTop w:val="0"/>
      <w:marBottom w:val="0"/>
      <w:divBdr>
        <w:top w:val="none" w:sz="0" w:space="0" w:color="auto"/>
        <w:left w:val="none" w:sz="0" w:space="0" w:color="auto"/>
        <w:bottom w:val="none" w:sz="0" w:space="0" w:color="auto"/>
        <w:right w:val="none" w:sz="0" w:space="0" w:color="auto"/>
      </w:divBdr>
      <w:divsChild>
        <w:div w:id="314797667">
          <w:marLeft w:val="0"/>
          <w:marRight w:val="0"/>
          <w:marTop w:val="180"/>
          <w:marBottom w:val="240"/>
          <w:divBdr>
            <w:top w:val="none" w:sz="0" w:space="0" w:color="auto"/>
            <w:left w:val="none" w:sz="0" w:space="0" w:color="auto"/>
            <w:bottom w:val="none" w:sz="0" w:space="0" w:color="auto"/>
            <w:right w:val="none" w:sz="0" w:space="0" w:color="auto"/>
          </w:divBdr>
        </w:div>
        <w:div w:id="490364775">
          <w:marLeft w:val="0"/>
          <w:marRight w:val="0"/>
          <w:marTop w:val="0"/>
          <w:marBottom w:val="240"/>
          <w:divBdr>
            <w:top w:val="none" w:sz="0" w:space="0" w:color="auto"/>
            <w:left w:val="none" w:sz="0" w:space="0" w:color="auto"/>
            <w:bottom w:val="none" w:sz="0" w:space="0" w:color="auto"/>
            <w:right w:val="none" w:sz="0" w:space="0" w:color="auto"/>
          </w:divBdr>
        </w:div>
      </w:divsChild>
    </w:div>
    <w:div w:id="1834175539">
      <w:bodyDiv w:val="1"/>
      <w:marLeft w:val="0"/>
      <w:marRight w:val="0"/>
      <w:marTop w:val="0"/>
      <w:marBottom w:val="0"/>
      <w:divBdr>
        <w:top w:val="none" w:sz="0" w:space="0" w:color="auto"/>
        <w:left w:val="none" w:sz="0" w:space="0" w:color="auto"/>
        <w:bottom w:val="none" w:sz="0" w:space="0" w:color="auto"/>
        <w:right w:val="none" w:sz="0" w:space="0" w:color="auto"/>
      </w:divBdr>
    </w:div>
    <w:div w:id="1937247049">
      <w:bodyDiv w:val="1"/>
      <w:marLeft w:val="0"/>
      <w:marRight w:val="0"/>
      <w:marTop w:val="0"/>
      <w:marBottom w:val="0"/>
      <w:divBdr>
        <w:top w:val="none" w:sz="0" w:space="0" w:color="auto"/>
        <w:left w:val="none" w:sz="0" w:space="0" w:color="auto"/>
        <w:bottom w:val="none" w:sz="0" w:space="0" w:color="auto"/>
        <w:right w:val="none" w:sz="0" w:space="0" w:color="auto"/>
      </w:divBdr>
    </w:div>
    <w:div w:id="1963147880">
      <w:bodyDiv w:val="1"/>
      <w:marLeft w:val="0"/>
      <w:marRight w:val="0"/>
      <w:marTop w:val="0"/>
      <w:marBottom w:val="0"/>
      <w:divBdr>
        <w:top w:val="none" w:sz="0" w:space="0" w:color="auto"/>
        <w:left w:val="none" w:sz="0" w:space="0" w:color="auto"/>
        <w:bottom w:val="none" w:sz="0" w:space="0" w:color="auto"/>
        <w:right w:val="none" w:sz="0" w:space="0" w:color="auto"/>
      </w:divBdr>
    </w:div>
    <w:div w:id="1978021955">
      <w:bodyDiv w:val="1"/>
      <w:marLeft w:val="0"/>
      <w:marRight w:val="0"/>
      <w:marTop w:val="0"/>
      <w:marBottom w:val="0"/>
      <w:divBdr>
        <w:top w:val="none" w:sz="0" w:space="0" w:color="auto"/>
        <w:left w:val="none" w:sz="0" w:space="0" w:color="auto"/>
        <w:bottom w:val="none" w:sz="0" w:space="0" w:color="auto"/>
        <w:right w:val="none" w:sz="0" w:space="0" w:color="auto"/>
      </w:divBdr>
    </w:div>
    <w:div w:id="1994983962">
      <w:bodyDiv w:val="1"/>
      <w:marLeft w:val="0"/>
      <w:marRight w:val="0"/>
      <w:marTop w:val="0"/>
      <w:marBottom w:val="0"/>
      <w:divBdr>
        <w:top w:val="none" w:sz="0" w:space="0" w:color="auto"/>
        <w:left w:val="none" w:sz="0" w:space="0" w:color="auto"/>
        <w:bottom w:val="none" w:sz="0" w:space="0" w:color="auto"/>
        <w:right w:val="none" w:sz="0" w:space="0" w:color="auto"/>
      </w:divBdr>
    </w:div>
    <w:div w:id="204088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bankingsupervision.europa.eu/press/pr/date/2025/html/ssm.pr250801~24ec6ae308.en.html" TargetMode="External"/><Relationship Id="rId13" Type="http://schemas.openxmlformats.org/officeDocument/2006/relationships/hyperlink" Target="https://www.bankingsupervision.europa.eu/press/speeches/date/2026/html/ssm.sp260519~eb90c081f4.en.html" TargetMode="External"/><Relationship Id="rId18" Type="http://schemas.openxmlformats.org/officeDocument/2006/relationships/hyperlink" Target="https://finance.ec.europa.eu/publications/strategy-supervisory-data-eu-financial-services_en" TargetMode="External"/><Relationship Id="rId3" Type="http://schemas.openxmlformats.org/officeDocument/2006/relationships/hyperlink" Target="https://commission.europa.eu/topics/competitiveness/draghi-report_fr" TargetMode="External"/><Relationship Id="rId21" Type="http://schemas.openxmlformats.org/officeDocument/2006/relationships/hyperlink" Target="https://www.eba.europa.eu/publications-and-media/publications/efficient-reporting-simpler-smarter-proportionate" TargetMode="External"/><Relationship Id="rId7" Type="http://schemas.openxmlformats.org/officeDocument/2006/relationships/hyperlink" Target="https://www.eba.europa.eu/publications-and-media/press-releases/eba-publishes-results-its-2025-eu-wide-stress-test" TargetMode="External"/><Relationship Id="rId12" Type="http://schemas.openxmlformats.org/officeDocument/2006/relationships/hyperlink" Target="https://www.eba.europa.eu/sites/default/files/2026-06/fa80675a-1caa-4098-822f-511c6fad0616/Report%20on%20simplifying%20the%20stacking%20orders%20of%20the%20EU%20prudential%20and%20resolution%20framework.pdf" TargetMode="External"/><Relationship Id="rId17" Type="http://schemas.openxmlformats.org/officeDocument/2006/relationships/hyperlink" Target="https://www.eba.europa.eu/sites/default/files/document_library/Publications/Reports/2021/1013948/Study%20of%20the%20cost%20of%20compliance%20with%20supervisory%20reporting%20requirement.pdf" TargetMode="External"/><Relationship Id="rId25" Type="http://schemas.openxmlformats.org/officeDocument/2006/relationships/hyperlink" Target="https://www.europarl.europa.eu/doceo/document/TA-10-2026-0159_FR.pdf" TargetMode="External"/><Relationship Id="rId2" Type="http://schemas.openxmlformats.org/officeDocument/2006/relationships/hyperlink" Target="https://www.consilium.europa.eu/media/ny3j24sm/much-more-than-a-market-report-by-enrico-letta.pdf" TargetMode="External"/><Relationship Id="rId16" Type="http://schemas.openxmlformats.org/officeDocument/2006/relationships/hyperlink" Target="https://www.ecb.europa.eu/press/pubbydate/2025/html/ecb.simplification_supervisory_reporting_framework202512.en.html" TargetMode="External"/><Relationship Id="rId20" Type="http://schemas.openxmlformats.org/officeDocument/2006/relationships/hyperlink" Target="https://eur-lex.europa.eu/legal-content/FR/TXT/PDF/?uri=CELEX:52025PC0080" TargetMode="External"/><Relationship Id="rId1" Type="http://schemas.openxmlformats.org/officeDocument/2006/relationships/hyperlink" Target="https://eur-lex.europa.eu/legal-content/FR/TXT/PDF/?uri=CELEX:52025DC0124" TargetMode="External"/><Relationship Id="rId6" Type="http://schemas.openxmlformats.org/officeDocument/2006/relationships/hyperlink" Target="https://commission.europa.eu/law/law-making-process/better-regulation/simplification-implementation-and-enforcement/simpler-clearer-and-better-enforced-eu-rulebook_en" TargetMode="External"/><Relationship Id="rId11" Type="http://schemas.openxmlformats.org/officeDocument/2006/relationships/hyperlink" Target="https://taxation-customs.ec.europa.eu/document/download/10e86b94-8da3-49cf-b224-059ce5cf9bb6_en?filename=Taxation-of-the-financial-sector-Executive-summary_EN.pdf" TargetMode="External"/><Relationship Id="rId24" Type="http://schemas.openxmlformats.org/officeDocument/2006/relationships/hyperlink" Target="https://www.consilium.europa.eu/media/y1vdyhkz/fr-20260319-european-council-conclusions.pdf" TargetMode="External"/><Relationship Id="rId5" Type="http://schemas.openxmlformats.org/officeDocument/2006/relationships/hyperlink" Target="https://data.consilium.europa.eu/doc/document/ST-8473-2026-INIT/fr/pdf" TargetMode="External"/><Relationship Id="rId15" Type="http://schemas.openxmlformats.org/officeDocument/2006/relationships/hyperlink" Target="https://www.eba.europa.eu/publications-and-media/press-releases/eba-and-esma-recommend-targeted-revisions-investment-firms-prudential-framework" TargetMode="External"/><Relationship Id="rId23" Type="http://schemas.openxmlformats.org/officeDocument/2006/relationships/hyperlink" Target="https://data.consilium.europa.eu/doc/document/ST-16463-2025-INIT/fr/pdf" TargetMode="External"/><Relationship Id="rId10" Type="http://schemas.openxmlformats.org/officeDocument/2006/relationships/hyperlink" Target="https://www.ecb.europa.eu/press/consultationresponse/pdf/ecb.conresp202604.en.pdf" TargetMode="External"/><Relationship Id="rId19" Type="http://schemas.openxmlformats.org/officeDocument/2006/relationships/hyperlink" Target="https://eur-lex.europa.eu/legal-content/FR/TXT/HTML/?uri=OJ:L_202502088" TargetMode="External"/><Relationship Id="rId4" Type="http://schemas.openxmlformats.org/officeDocument/2006/relationships/hyperlink" Target="https://eur-lex.europa.eu/legal-content/FR/TXT/PDF/?uri=CELEX:52025DC0500&amp;qid=1783323218847" TargetMode="External"/><Relationship Id="rId9" Type="http://schemas.openxmlformats.org/officeDocument/2006/relationships/hyperlink" Target="https://www.ecb.europa.eu/press/consultationresponse/pdf/ecb.conresp202604.en.pdf" TargetMode="External"/><Relationship Id="rId14" Type="http://schemas.openxmlformats.org/officeDocument/2006/relationships/hyperlink" Target="https://competition-policy.ec.europa.eu/document/download/46dde10f-85c1-4590-a3f4-2b71f85685ef_en?filename=Merger%20Guidelines%20-%20final%20for%20public%20consultation.pdf" TargetMode="External"/><Relationship Id="rId22" Type="http://schemas.openxmlformats.org/officeDocument/2006/relationships/hyperlink" Target="https://www.eba.europa.eu/publications-and-media/publications/efficient-reporting-simpler-smarter-proportion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1B6E4-1A64-42C8-9C6A-E01F804C1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10830</Words>
  <Characters>61734</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72420</CharactersWithSpaces>
  <SharedDoc>false</SharedDoc>
  <HLinks>
    <vt:vector size="150" baseType="variant">
      <vt:variant>
        <vt:i4>7929863</vt:i4>
      </vt:variant>
      <vt:variant>
        <vt:i4>72</vt:i4>
      </vt:variant>
      <vt:variant>
        <vt:i4>0</vt:i4>
      </vt:variant>
      <vt:variant>
        <vt:i4>5</vt:i4>
      </vt:variant>
      <vt:variant>
        <vt:lpwstr>https://www.europarl.europa.eu/doceo/document/TA-10-2026-0159_EN.pdf</vt:lpwstr>
      </vt:variant>
      <vt:variant>
        <vt:lpwstr/>
      </vt:variant>
      <vt:variant>
        <vt:i4>8257580</vt:i4>
      </vt:variant>
      <vt:variant>
        <vt:i4>69</vt:i4>
      </vt:variant>
      <vt:variant>
        <vt:i4>0</vt:i4>
      </vt:variant>
      <vt:variant>
        <vt:i4>5</vt:i4>
      </vt:variant>
      <vt:variant>
        <vt:lpwstr>https://www.consilium.europa.eu/media/lwhk3itd/en-20260319-european-council-conclusions.pdf</vt:lpwstr>
      </vt:variant>
      <vt:variant>
        <vt:lpwstr/>
      </vt:variant>
      <vt:variant>
        <vt:i4>3801192</vt:i4>
      </vt:variant>
      <vt:variant>
        <vt:i4>66</vt:i4>
      </vt:variant>
      <vt:variant>
        <vt:i4>0</vt:i4>
      </vt:variant>
      <vt:variant>
        <vt:i4>5</vt:i4>
      </vt:variant>
      <vt:variant>
        <vt:lpwstr>https://data.consilium.europa.eu/doc/document/ST-16463-2025-INIT/en/pdf</vt:lpwstr>
      </vt:variant>
      <vt:variant>
        <vt:lpwstr/>
      </vt:variant>
      <vt:variant>
        <vt:i4>6619179</vt:i4>
      </vt:variant>
      <vt:variant>
        <vt:i4>63</vt:i4>
      </vt:variant>
      <vt:variant>
        <vt:i4>0</vt:i4>
      </vt:variant>
      <vt:variant>
        <vt:i4>5</vt:i4>
      </vt:variant>
      <vt:variant>
        <vt:lpwstr>https://www.eba.europa.eu/publications-and-media/publications/efficient-reporting-simpler-smarter-proportionate</vt:lpwstr>
      </vt:variant>
      <vt:variant>
        <vt:lpwstr/>
      </vt:variant>
      <vt:variant>
        <vt:i4>1835025</vt:i4>
      </vt:variant>
      <vt:variant>
        <vt:i4>60</vt:i4>
      </vt:variant>
      <vt:variant>
        <vt:i4>0</vt:i4>
      </vt:variant>
      <vt:variant>
        <vt:i4>5</vt:i4>
      </vt:variant>
      <vt:variant>
        <vt:lpwstr>https://eur-lex.europa.eu/legal-content/EN/TXT/?uri=CELEX:52025PC0080</vt:lpwstr>
      </vt:variant>
      <vt:variant>
        <vt:lpwstr/>
      </vt:variant>
      <vt:variant>
        <vt:i4>6750308</vt:i4>
      </vt:variant>
      <vt:variant>
        <vt:i4>57</vt:i4>
      </vt:variant>
      <vt:variant>
        <vt:i4>0</vt:i4>
      </vt:variant>
      <vt:variant>
        <vt:i4>5</vt:i4>
      </vt:variant>
      <vt:variant>
        <vt:lpwstr>http://data.europa.eu/eli/reg/2025/2088/oj</vt:lpwstr>
      </vt:variant>
      <vt:variant>
        <vt:lpwstr/>
      </vt:variant>
      <vt:variant>
        <vt:i4>2687063</vt:i4>
      </vt:variant>
      <vt:variant>
        <vt:i4>54</vt:i4>
      </vt:variant>
      <vt:variant>
        <vt:i4>0</vt:i4>
      </vt:variant>
      <vt:variant>
        <vt:i4>5</vt:i4>
      </vt:variant>
      <vt:variant>
        <vt:lpwstr>https://finance.ec.europa.eu/publications/strategy-supervisory-data-eu-financial-services_en</vt:lpwstr>
      </vt:variant>
      <vt:variant>
        <vt:lpwstr/>
      </vt:variant>
      <vt:variant>
        <vt:i4>2228227</vt:i4>
      </vt:variant>
      <vt:variant>
        <vt:i4>51</vt:i4>
      </vt:variant>
      <vt:variant>
        <vt:i4>0</vt:i4>
      </vt:variant>
      <vt:variant>
        <vt:i4>5</vt:i4>
      </vt:variant>
      <vt:variant>
        <vt:lpwstr>https://www.eba.europa.eu/sites/default/files/document_library/Publications/Reports/2021/1013948/Study of the cost of compliance with supervisory reporting requirement.pdf</vt:lpwstr>
      </vt:variant>
      <vt:variant>
        <vt:lpwstr/>
      </vt:variant>
      <vt:variant>
        <vt:i4>6094952</vt:i4>
      </vt:variant>
      <vt:variant>
        <vt:i4>48</vt:i4>
      </vt:variant>
      <vt:variant>
        <vt:i4>0</vt:i4>
      </vt:variant>
      <vt:variant>
        <vt:i4>5</vt:i4>
      </vt:variant>
      <vt:variant>
        <vt:lpwstr>https://www.ecb.europa.eu/press/pubbydate/2025/html/ecb.simplification_supervisory_reporting_framework202512.en.html</vt:lpwstr>
      </vt:variant>
      <vt:variant>
        <vt:lpwstr/>
      </vt:variant>
      <vt:variant>
        <vt:i4>3932258</vt:i4>
      </vt:variant>
      <vt:variant>
        <vt:i4>45</vt:i4>
      </vt:variant>
      <vt:variant>
        <vt:i4>0</vt:i4>
      </vt:variant>
      <vt:variant>
        <vt:i4>5</vt:i4>
      </vt:variant>
      <vt:variant>
        <vt:lpwstr>https://www.eba.europa.eu/publications-and-media/press-releases/eba-and-esma-recommend-targeted-revisions-investment-firms-prudential-framework</vt:lpwstr>
      </vt:variant>
      <vt:variant>
        <vt:lpwstr/>
      </vt:variant>
      <vt:variant>
        <vt:i4>5177400</vt:i4>
      </vt:variant>
      <vt:variant>
        <vt:i4>42</vt:i4>
      </vt:variant>
      <vt:variant>
        <vt:i4>0</vt:i4>
      </vt:variant>
      <vt:variant>
        <vt:i4>5</vt:i4>
      </vt:variant>
      <vt:variant>
        <vt:lpwstr>https://competition-policy.ec.europa.eu/document/download/46dde10f-85c1-4590-a3f4-2b71f85685ef_en?filename=Merger%20Guidelines%20-%20final%20for%20public%20consultation.pdf</vt:lpwstr>
      </vt:variant>
      <vt:variant>
        <vt:lpwstr/>
      </vt:variant>
      <vt:variant>
        <vt:i4>7405607</vt:i4>
      </vt:variant>
      <vt:variant>
        <vt:i4>39</vt:i4>
      </vt:variant>
      <vt:variant>
        <vt:i4>0</vt:i4>
      </vt:variant>
      <vt:variant>
        <vt:i4>5</vt:i4>
      </vt:variant>
      <vt:variant>
        <vt:lpwstr>https://www.bankingsupervision.europa.eu/press/speeches/date/2026/html/ssm.sp260519~eb90c081f4.en.html</vt:lpwstr>
      </vt:variant>
      <vt:variant>
        <vt:lpwstr/>
      </vt:variant>
      <vt:variant>
        <vt:i4>6881316</vt:i4>
      </vt:variant>
      <vt:variant>
        <vt:i4>36</vt:i4>
      </vt:variant>
      <vt:variant>
        <vt:i4>0</vt:i4>
      </vt:variant>
      <vt:variant>
        <vt:i4>5</vt:i4>
      </vt:variant>
      <vt:variant>
        <vt:lpwstr>https://www.eba.europa.eu/sites/default/files/2026-06/fa80675a-1caa-4098-822f-511c6fad0616/Report on simplifying the stacking orders of the EU prudential and resolution framework.pdf</vt:lpwstr>
      </vt:variant>
      <vt:variant>
        <vt:lpwstr/>
      </vt:variant>
      <vt:variant>
        <vt:i4>5505118</vt:i4>
      </vt:variant>
      <vt:variant>
        <vt:i4>33</vt:i4>
      </vt:variant>
      <vt:variant>
        <vt:i4>0</vt:i4>
      </vt:variant>
      <vt:variant>
        <vt:i4>5</vt:i4>
      </vt:variant>
      <vt:variant>
        <vt:lpwstr>https://taxation-customs.ec.europa.eu/document/download/10e86b94-8da3-49cf-b224-059ce5cf9bb6_en?filename=Taxation-of-the-financial-sector-Executive-summary_EN.pdf</vt:lpwstr>
      </vt:variant>
      <vt:variant>
        <vt:lpwstr/>
      </vt:variant>
      <vt:variant>
        <vt:i4>393296</vt:i4>
      </vt:variant>
      <vt:variant>
        <vt:i4>30</vt:i4>
      </vt:variant>
      <vt:variant>
        <vt:i4>0</vt:i4>
      </vt:variant>
      <vt:variant>
        <vt:i4>5</vt:i4>
      </vt:variant>
      <vt:variant>
        <vt:lpwstr>https://www.ecb.europa.eu/press/consultationresponse/pdf/ecb.conresp202604.en.pdf</vt:lpwstr>
      </vt:variant>
      <vt:variant>
        <vt:lpwstr/>
      </vt:variant>
      <vt:variant>
        <vt:i4>393296</vt:i4>
      </vt:variant>
      <vt:variant>
        <vt:i4>27</vt:i4>
      </vt:variant>
      <vt:variant>
        <vt:i4>0</vt:i4>
      </vt:variant>
      <vt:variant>
        <vt:i4>5</vt:i4>
      </vt:variant>
      <vt:variant>
        <vt:lpwstr>https://www.ecb.europa.eu/press/consultationresponse/pdf/ecb.conresp202604.en.pdf</vt:lpwstr>
      </vt:variant>
      <vt:variant>
        <vt:lpwstr/>
      </vt:variant>
      <vt:variant>
        <vt:i4>4784137</vt:i4>
      </vt:variant>
      <vt:variant>
        <vt:i4>24</vt:i4>
      </vt:variant>
      <vt:variant>
        <vt:i4>0</vt:i4>
      </vt:variant>
      <vt:variant>
        <vt:i4>5</vt:i4>
      </vt:variant>
      <vt:variant>
        <vt:lpwstr>https://www.bankingsupervision.europa.eu/press/pr/date/2025/html/ssm.pr250801~24ec6ae308.en.html</vt:lpwstr>
      </vt:variant>
      <vt:variant>
        <vt:lpwstr/>
      </vt:variant>
      <vt:variant>
        <vt:i4>7012455</vt:i4>
      </vt:variant>
      <vt:variant>
        <vt:i4>21</vt:i4>
      </vt:variant>
      <vt:variant>
        <vt:i4>0</vt:i4>
      </vt:variant>
      <vt:variant>
        <vt:i4>5</vt:i4>
      </vt:variant>
      <vt:variant>
        <vt:lpwstr>https://www.eba.europa.eu/publications-and-media/press-releases/eba-publishes-results-its-2025-eu-wide-stress-test</vt:lpwstr>
      </vt:variant>
      <vt:variant>
        <vt:lpwstr/>
      </vt:variant>
      <vt:variant>
        <vt:i4>917551</vt:i4>
      </vt:variant>
      <vt:variant>
        <vt:i4>18</vt:i4>
      </vt:variant>
      <vt:variant>
        <vt:i4>0</vt:i4>
      </vt:variant>
      <vt:variant>
        <vt:i4>5</vt:i4>
      </vt:variant>
      <vt:variant>
        <vt:lpwstr>https://commission.europa.eu/law/law-making-process/better-regulation/simplification-implementation-and-enforcement/simpler-clearer-and-better-enforced-eu-rulebook_en</vt:lpwstr>
      </vt:variant>
      <vt:variant>
        <vt:lpwstr/>
      </vt:variant>
      <vt:variant>
        <vt:i4>6684783</vt:i4>
      </vt:variant>
      <vt:variant>
        <vt:i4>15</vt:i4>
      </vt:variant>
      <vt:variant>
        <vt:i4>0</vt:i4>
      </vt:variant>
      <vt:variant>
        <vt:i4>5</vt:i4>
      </vt:variant>
      <vt:variant>
        <vt:lpwstr>https://data.consilium.europa.eu/doc/document/ST-8473-2026-INIT/en/pdf</vt:lpwstr>
      </vt:variant>
      <vt:variant>
        <vt:lpwstr/>
      </vt:variant>
      <vt:variant>
        <vt:i4>7733276</vt:i4>
      </vt:variant>
      <vt:variant>
        <vt:i4>12</vt:i4>
      </vt:variant>
      <vt:variant>
        <vt:i4>0</vt:i4>
      </vt:variant>
      <vt:variant>
        <vt:i4>5</vt:i4>
      </vt:variant>
      <vt:variant>
        <vt:lpwstr>https://single-market-economy.ec.europa.eu/document/download/d92c78d0-7d47-4a16-b53f-1cead54bcb49_en?filename=Communication%20-%20Single%20Market%20Strategy.pdf</vt:lpwstr>
      </vt:variant>
      <vt:variant>
        <vt:lpwstr/>
      </vt:variant>
      <vt:variant>
        <vt:i4>7667730</vt:i4>
      </vt:variant>
      <vt:variant>
        <vt:i4>9</vt:i4>
      </vt:variant>
      <vt:variant>
        <vt:i4>0</vt:i4>
      </vt:variant>
      <vt:variant>
        <vt:i4>5</vt:i4>
      </vt:variant>
      <vt:variant>
        <vt:lpwstr>https://commission.europa.eu/topics/competitiveness/draghi-report_en</vt:lpwstr>
      </vt:variant>
      <vt:variant>
        <vt:lpwstr/>
      </vt:variant>
      <vt:variant>
        <vt:i4>6225928</vt:i4>
      </vt:variant>
      <vt:variant>
        <vt:i4>6</vt:i4>
      </vt:variant>
      <vt:variant>
        <vt:i4>0</vt:i4>
      </vt:variant>
      <vt:variant>
        <vt:i4>5</vt:i4>
      </vt:variant>
      <vt:variant>
        <vt:lpwstr>https://www.consilium.europa.eu/media/ny3j24sm/much-more-than-a-market-report-by-enrico-letta.pdf</vt:lpwstr>
      </vt:variant>
      <vt:variant>
        <vt:lpwstr/>
      </vt:variant>
      <vt:variant>
        <vt:i4>4980776</vt:i4>
      </vt:variant>
      <vt:variant>
        <vt:i4>3</vt:i4>
      </vt:variant>
      <vt:variant>
        <vt:i4>0</vt:i4>
      </vt:variant>
      <vt:variant>
        <vt:i4>5</vt:i4>
      </vt:variant>
      <vt:variant>
        <vt:lpwstr>https://commission.europa.eu/topics/competitiveness/competitiveness-compass_en</vt:lpwstr>
      </vt:variant>
      <vt:variant>
        <vt:lpwstr/>
      </vt:variant>
      <vt:variant>
        <vt:i4>3735597</vt:i4>
      </vt:variant>
      <vt:variant>
        <vt:i4>0</vt:i4>
      </vt:variant>
      <vt:variant>
        <vt:i4>0</vt:i4>
      </vt:variant>
      <vt:variant>
        <vt:i4>5</vt:i4>
      </vt:variant>
      <vt:variant>
        <vt:lpwstr>https://eur-lex.europa.eu/legal-content/EN/TXT/HTML/?uri=CELEX:52025DC0124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2026-07-15T19:41:00Z</dcterms:created>
  <dcterms:modified xsi:type="dcterms:W3CDTF">2026-07-17T10:52:00Z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2026-07-15T06:41:45Z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b97cb437-4841-4f11-af1a-09a9b64d2202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