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C2D864-637C-43C8-9CFB-EC22D9D16CAC" style="width:455.25pt;height:409.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rStyle w:val="Marker"/>
          <w:noProof/>
        </w:rPr>
      </w:pPr>
      <w:r>
        <w:rPr>
          <w:noProof/>
        </w:rPr>
        <w:lastRenderedPageBreak/>
        <w:t>ANNEXE I</w:t>
      </w:r>
    </w:p>
    <w:p>
      <w:pPr>
        <w:rPr>
          <w:noProof/>
        </w:rPr>
      </w:pPr>
    </w:p>
    <w:p>
      <w:pPr>
        <w:pStyle w:val="Point0number"/>
        <w:numPr>
          <w:ilvl w:val="0"/>
          <w:numId w:val="2"/>
        </w:numPr>
        <w:rPr>
          <w:noProof/>
        </w:rPr>
      </w:pPr>
      <w:r>
        <w:rPr>
          <w:noProof/>
        </w:rPr>
        <w:t>L’annexe I de la directive 2003/87/CE est modifiée comme suit:</w:t>
      </w:r>
    </w:p>
    <w:p>
      <w:pPr>
        <w:pStyle w:val="Point1letter"/>
        <w:rPr>
          <w:noProof/>
        </w:rPr>
      </w:pPr>
      <w:r>
        <w:rPr>
          <w:noProof/>
        </w:rPr>
        <w:t xml:space="preserve">le titre est remplacé par le texte suivant: </w:t>
      </w:r>
    </w:p>
    <w:p>
      <w:pPr>
        <w:pStyle w:val="Point1letter0"/>
        <w:tabs>
          <w:tab w:val="clear" w:pos="1417"/>
        </w:tabs>
        <w:ind w:firstLine="0"/>
        <w:jc w:val="center"/>
        <w:rPr>
          <w:noProof/>
        </w:rPr>
      </w:pPr>
      <w:r>
        <w:rPr>
          <w:noProof/>
        </w:rPr>
        <w:t>ANNEXE I</w:t>
      </w:r>
    </w:p>
    <w:p>
      <w:pPr>
        <w:pStyle w:val="Point1letter0"/>
        <w:tabs>
          <w:tab w:val="clear" w:pos="1417"/>
        </w:tabs>
        <w:ind w:firstLine="0"/>
        <w:jc w:val="center"/>
        <w:rPr>
          <w:noProof/>
        </w:rPr>
      </w:pPr>
      <w:r>
        <w:rPr>
          <w:noProof/>
        </w:rPr>
        <w:t>«AVIATION, TRANSPORT MARITIME ET INSTALLATIONS»;</w:t>
      </w:r>
    </w:p>
    <w:p>
      <w:pPr>
        <w:pStyle w:val="Point1letter"/>
        <w:rPr>
          <w:noProof/>
        </w:rPr>
      </w:pPr>
      <w:r>
        <w:rPr>
          <w:noProof/>
        </w:rPr>
        <w:t>au point 5, les mots suivants sont supprimés: «ou municipaux»;</w:t>
      </w:r>
    </w:p>
    <w:p>
      <w:pPr>
        <w:pStyle w:val="Point1letter0"/>
        <w:tabs>
          <w:tab w:val="clear" w:pos="1417"/>
        </w:tabs>
        <w:ind w:firstLine="0"/>
        <w:rPr>
          <w:noProof/>
        </w:rPr>
      </w:pPr>
    </w:p>
    <w:p>
      <w:pPr>
        <w:pStyle w:val="Point1letter"/>
        <w:rPr>
          <w:noProof/>
        </w:rPr>
      </w:pPr>
      <w:r>
        <w:rPr>
          <w:noProof/>
        </w:rPr>
        <w:t>le tableau est modifié comme suit:</w:t>
      </w:r>
    </w:p>
    <w:p>
      <w:pPr>
        <w:pStyle w:val="Text2"/>
        <w:rPr>
          <w:noProof/>
        </w:rPr>
      </w:pPr>
      <w:r>
        <w:rPr>
          <w:noProof/>
        </w:rPr>
        <w:t>i) la première ligne est remplacée par le texte suivant:</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hideMark/>
                </w:tcPr>
                <w:p>
                  <w:pPr>
                    <w:spacing w:before="0" w:after="0"/>
                    <w:jc w:val="left"/>
                    <w:rPr>
                      <w:rFonts w:eastAsia="Times New Roman"/>
                      <w:noProof/>
                      <w:color w:val="333333"/>
                      <w:sz w:val="27"/>
                      <w:szCs w:val="27"/>
                      <w:lang w:eastAsia="en-IE"/>
                    </w:rPr>
                  </w:pPr>
                </w:p>
              </w:tc>
            </w:tr>
          </w:tbl>
          <w:p>
            <w:pPr>
              <w:rPr>
                <w:noProof/>
              </w:rPr>
            </w:pPr>
            <w:r>
              <w:rPr>
                <w:noProof/>
              </w:rPr>
              <w:t>Combustion de combustibles dans des installations dont la puissance calorifique totale de combustion est supérieure à 20 MW (à l’exception des installations d’incinération de déchets dangereux ou municipaux) </w:t>
            </w:r>
          </w:p>
        </w:tc>
        <w:tc>
          <w:tcPr>
            <w:tcW w:w="2235" w:type="dxa"/>
          </w:tcPr>
          <w:p>
            <w:pPr>
              <w:rPr>
                <w:noProof/>
              </w:rPr>
            </w:pPr>
            <w:r>
              <w:rPr>
                <w:noProof/>
              </w:rPr>
              <w:t>Dioxyde de carbone </w:t>
            </w:r>
          </w:p>
        </w:tc>
      </w:tr>
    </w:tbl>
    <w:p>
      <w:pPr>
        <w:pStyle w:val="Text2"/>
        <w:rPr>
          <w:noProof/>
        </w:rPr>
      </w:pPr>
      <w:r>
        <w:rPr>
          <w:noProof/>
        </w:rPr>
        <w:t>ii) la vingt-quatrième ligne est remplacée par le texte suivant:</w:t>
      </w:r>
    </w:p>
    <w:tbl>
      <w:tblPr>
        <w:tblW w:w="7327" w:type="dxa"/>
        <w:tblInd w:w="199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59"/>
        <w:gridCol w:w="2268"/>
      </w:tblGrid>
      <w:tr>
        <w:trPr>
          <w:trHeight w:val="690"/>
        </w:trPr>
        <w:tc>
          <w:tcPr>
            <w:tcW w:w="5059" w:type="dxa"/>
            <w:tcBorders>
              <w:right w:val="single" w:sz="4" w:space="0" w:color="auto"/>
            </w:tcBorders>
          </w:tcPr>
          <w:p>
            <w:pPr>
              <w:spacing w:before="60"/>
              <w:rPr>
                <w:noProof/>
              </w:rPr>
            </w:pPr>
            <w:r>
              <w:rPr>
                <w:noProof/>
              </w:rPr>
              <w:t>Production d’hydrogène (H</w:t>
            </w:r>
            <w:r>
              <w:rPr>
                <w:noProof/>
                <w:sz w:val="17"/>
                <w:vertAlign w:val="subscript"/>
              </w:rPr>
              <w:t>2</w:t>
            </w:r>
            <w:r>
              <w:rPr>
                <w:noProof/>
              </w:rPr>
              <w:t>), y compris la production d’hydrogène en tant que sous-produit uniquement, et de gaz de synthèse dont la capacité de production supérieure à 5 tonnes par jour</w:t>
            </w:r>
          </w:p>
        </w:tc>
        <w:tc>
          <w:tcPr>
            <w:tcW w:w="2268" w:type="dxa"/>
            <w:tcBorders>
              <w:left w:val="single" w:sz="4" w:space="0" w:color="auto"/>
            </w:tcBorders>
          </w:tcPr>
          <w:p>
            <w:pPr>
              <w:spacing w:before="60"/>
              <w:rPr>
                <w:noProof/>
              </w:rPr>
            </w:pPr>
            <w:r>
              <w:rPr>
                <w:noProof/>
              </w:rPr>
              <w:t>Dioxyde de carbone</w:t>
            </w:r>
          </w:p>
        </w:tc>
      </w:tr>
    </w:tbl>
    <w:p>
      <w:pPr>
        <w:pStyle w:val="Text2"/>
        <w:rPr>
          <w:noProof/>
        </w:rPr>
      </w:pPr>
      <w:r>
        <w:rPr>
          <w:noProof/>
        </w:rPr>
        <w:t>iii) la vingt-sixième ligne est remplacée par le texte suivant:</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themeFill="background1"/>
                  <w:hideMark/>
                </w:tcPr>
                <w:p>
                  <w:pPr>
                    <w:spacing w:before="0" w:after="0"/>
                    <w:jc w:val="left"/>
                    <w:rPr>
                      <w:rFonts w:eastAsia="Times New Roman"/>
                      <w:noProof/>
                      <w:color w:val="333333"/>
                      <w:sz w:val="27"/>
                      <w:szCs w:val="27"/>
                      <w:lang w:eastAsia="en-IE"/>
                    </w:rPr>
                  </w:pPr>
                </w:p>
              </w:tc>
            </w:tr>
          </w:tbl>
          <w:p>
            <w:pPr>
              <w:rPr>
                <w:noProof/>
              </w:rPr>
            </w:pPr>
            <w:r>
              <w:rPr>
                <w:noProof/>
              </w:rPr>
              <w:t>Captage du dioxyde de carbone provenant des activités visées par la présente directive</w:t>
            </w:r>
          </w:p>
        </w:tc>
        <w:tc>
          <w:tcPr>
            <w:tcW w:w="2235" w:type="dxa"/>
          </w:tcPr>
          <w:p>
            <w:pPr>
              <w:rPr>
                <w:noProof/>
              </w:rPr>
            </w:pPr>
            <w:r>
              <w:rPr>
                <w:noProof/>
              </w:rPr>
              <w:t>Dioxyde de carbone </w:t>
            </w:r>
          </w:p>
        </w:tc>
      </w:tr>
    </w:tbl>
    <w:p>
      <w:pPr>
        <w:pStyle w:val="Text2"/>
        <w:rPr>
          <w:noProof/>
        </w:rPr>
      </w:pPr>
      <w:r>
        <w:rPr>
          <w:noProof/>
        </w:rPr>
        <w:t>iv) la vingt-septième ligne est remplacée par le texte suivant:</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themeFill="background1"/>
                  <w:hideMark/>
                </w:tcPr>
                <w:p>
                  <w:pPr>
                    <w:spacing w:before="0" w:after="0"/>
                    <w:jc w:val="left"/>
                    <w:rPr>
                      <w:rFonts w:eastAsia="Times New Roman"/>
                      <w:noProof/>
                      <w:color w:val="333333"/>
                      <w:sz w:val="27"/>
                      <w:szCs w:val="27"/>
                      <w:lang w:eastAsia="en-IE"/>
                    </w:rPr>
                  </w:pPr>
                </w:p>
              </w:tc>
            </w:tr>
          </w:tbl>
          <w:p>
            <w:pPr>
              <w:rPr>
                <w:noProof/>
              </w:rPr>
            </w:pPr>
            <w:r>
              <w:rPr>
                <w:noProof/>
              </w:rPr>
              <w:t>Transport du dioxyde de carbone vers une installation exerçant une activité visée par la présente directive, à l’exclusion des émissions relevant d’une autre activité régie par la présente directive</w:t>
            </w:r>
          </w:p>
        </w:tc>
        <w:tc>
          <w:tcPr>
            <w:tcW w:w="2235" w:type="dxa"/>
          </w:tcPr>
          <w:p>
            <w:pPr>
              <w:rPr>
                <w:noProof/>
              </w:rPr>
            </w:pPr>
            <w:r>
              <w:rPr>
                <w:noProof/>
              </w:rPr>
              <w:t>Dioxyde de carbone </w:t>
            </w:r>
          </w:p>
        </w:tc>
      </w:tr>
    </w:tbl>
    <w:p>
      <w:pPr>
        <w:pStyle w:val="Text2"/>
        <w:rPr>
          <w:noProof/>
        </w:rPr>
      </w:pPr>
      <w:r>
        <w:rPr>
          <w:noProof/>
        </w:rPr>
        <w:t>v) les lignes suivantes sont insérées après la vingt-huitième ligne:</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themeFill="background1"/>
                  <w:hideMark/>
                </w:tcPr>
                <w:p>
                  <w:pPr>
                    <w:spacing w:before="0" w:after="0"/>
                    <w:jc w:val="left"/>
                    <w:rPr>
                      <w:rFonts w:eastAsia="Times New Roman"/>
                      <w:noProof/>
                      <w:color w:val="333333"/>
                      <w:sz w:val="27"/>
                      <w:szCs w:val="27"/>
                      <w:lang w:eastAsia="en-IE"/>
                    </w:rPr>
                  </w:pPr>
                </w:p>
              </w:tc>
            </w:tr>
          </w:tbl>
          <w:p>
            <w:pPr>
              <w:rPr>
                <w:noProof/>
              </w:rPr>
            </w:pPr>
            <w:r>
              <w:rPr>
                <w:noProof/>
              </w:rPr>
              <w:t>Traitement du dioxyde de carbone provenant des activités visées par la présente directive, y compris la purification, la liquéfaction, la gazéification, le stockage temporaire ou d’autres services similaires</w:t>
            </w:r>
          </w:p>
        </w:tc>
        <w:tc>
          <w:tcPr>
            <w:tcW w:w="2235" w:type="dxa"/>
          </w:tcPr>
          <w:p>
            <w:pPr>
              <w:rPr>
                <w:noProof/>
              </w:rPr>
            </w:pPr>
            <w:r>
              <w:rPr>
                <w:noProof/>
              </w:rPr>
              <w:t>Dioxyde de carbone </w:t>
            </w:r>
          </w:p>
          <w:p>
            <w:pPr>
              <w:rPr>
                <w:noProof/>
              </w:rPr>
            </w:pPr>
          </w:p>
          <w:p>
            <w:pPr>
              <w:rPr>
                <w:noProof/>
              </w:rPr>
            </w:pPr>
          </w:p>
        </w:tc>
      </w:tr>
      <w:tr>
        <w:tc>
          <w:tcPr>
            <w:tcW w:w="4993" w:type="dxa"/>
          </w:tcPr>
          <w:p>
            <w:pPr>
              <w:spacing w:before="0" w:after="0"/>
              <w:jc w:val="left"/>
              <w:rPr>
                <w:noProof/>
                <w:color w:val="333333"/>
                <w:sz w:val="27"/>
                <w:szCs w:val="27"/>
              </w:rPr>
            </w:pPr>
            <w:r>
              <w:rPr>
                <w:noProof/>
              </w:rPr>
              <w:t>Utilisation de dioxyde de carbone provenant d’activités visées par la présente directive en le fixant chimiquement à d’autres molécules à base de carbone</w:t>
            </w:r>
          </w:p>
        </w:tc>
        <w:tc>
          <w:tcPr>
            <w:tcW w:w="2235" w:type="dxa"/>
          </w:tcPr>
          <w:p>
            <w:pPr>
              <w:rPr>
                <w:noProof/>
              </w:rPr>
            </w:pPr>
          </w:p>
        </w:tc>
      </w:tr>
      <w:tr>
        <w:tc>
          <w:tcPr>
            <w:tcW w:w="4993" w:type="dxa"/>
          </w:tcPr>
          <w:p>
            <w:pPr>
              <w:spacing w:before="0" w:after="0"/>
              <w:jc w:val="left"/>
              <w:rPr>
                <w:noProof/>
                <w:color w:val="333333"/>
                <w:sz w:val="27"/>
                <w:szCs w:val="27"/>
              </w:rPr>
            </w:pPr>
            <w:r>
              <w:rPr>
                <w:noProof/>
              </w:rPr>
              <w:lastRenderedPageBreak/>
              <w:t>Distribution de carburants de synthèse incorporant du carbone issu du dioxyde de carbone capté dans le cadre d’activités relevant de la présente directive</w:t>
            </w:r>
          </w:p>
        </w:tc>
        <w:tc>
          <w:tcPr>
            <w:tcW w:w="2235" w:type="dxa"/>
          </w:tcPr>
          <w:p>
            <w:pPr>
              <w:rPr>
                <w:noProof/>
              </w:rPr>
            </w:pPr>
          </w:p>
        </w:tc>
      </w:tr>
    </w:tbl>
    <w:p>
      <w:pPr>
        <w:pStyle w:val="Text2"/>
        <w:rPr>
          <w:noProof/>
        </w:rPr>
      </w:pPr>
      <w:r>
        <w:rPr>
          <w:noProof/>
        </w:rPr>
        <w:t>vi) les modifications suivantes sont apportées à la vingt-neuvième ligne «Aviation»:</w:t>
      </w:r>
    </w:p>
    <w:p>
      <w:pPr>
        <w:pStyle w:val="Point3letter"/>
        <w:rPr>
          <w:noProof/>
        </w:rPr>
      </w:pPr>
      <w:r>
        <w:rPr>
          <w:noProof/>
        </w:rPr>
        <w:t>une phrase est ajoutée après la première phrase:</w:t>
      </w:r>
    </w:p>
    <w:p>
      <w:pPr>
        <w:pStyle w:val="Text2"/>
        <w:ind w:left="2137"/>
        <w:rPr>
          <w:noProof/>
        </w:rPr>
      </w:pPr>
      <w:r>
        <w:rPr>
          <w:noProof/>
        </w:rPr>
        <w:t>«À compter du 1</w:t>
      </w:r>
      <w:r>
        <w:rPr>
          <w:noProof/>
          <w:vertAlign w:val="superscript"/>
        </w:rPr>
        <w:t>er</w:t>
      </w:r>
      <w:r>
        <w:rPr>
          <w:noProof/>
        </w:rPr>
        <w:t> janvier 2029, les vols au départ d’un aérodrome situé sur le territoire d’un État membre auquel s’applique le traité, à l’exception des exploitants d’aéronefs assurant des vols entre deux États différents dont les émissions annuelles totales sont inférieures à 10 000 tonnes, calculées conformément à la présente annexe.»,</w:t>
      </w:r>
    </w:p>
    <w:p>
      <w:pPr>
        <w:pStyle w:val="Point3letter"/>
        <w:rPr>
          <w:noProof/>
        </w:rPr>
      </w:pPr>
      <w:r>
        <w:rPr>
          <w:noProof/>
        </w:rPr>
        <w:t>le point j) est remplacé par le texte suivant:</w:t>
      </w:r>
    </w:p>
    <w:p>
      <w:pPr>
        <w:pStyle w:val="Text2"/>
        <w:ind w:left="2137"/>
        <w:rPr>
          <w:noProof/>
        </w:rPr>
      </w:pPr>
      <w:r>
        <w:rPr>
          <w:noProof/>
        </w:rPr>
        <w:t>«j) les vols qui, à l'exception de ce point, relèveraient de cette activité, effectués par un exploitant d’aéronef assurant des vols dont les émissions annuelles totales sont inférieures à 1 000 tonnes par an et relevant du champ d’application de la présente directive tel que défini avant 2029 ou du champ d’application du SEQE de la Suisse ou du SEQE du Royaume-Uni.</w:t>
      </w:r>
    </w:p>
    <w:p>
      <w:pPr>
        <w:pStyle w:val="Text2"/>
        <w:ind w:left="2137"/>
        <w:rPr>
          <w:noProof/>
        </w:rPr>
      </w:pPr>
      <w:r>
        <w:rPr>
          <w:noProof/>
        </w:rPr>
        <w:t>Les vols visés aux points l) et m) ou effectués exclusivement aux fins de transporter, en mission officielle, des monarques régnants et leur proche famille, des chefs d’État, des chefs de gouvernement et des ministres d’un État membre ne peuvent pas être exclus en vertu du présent point;»,</w:t>
      </w:r>
    </w:p>
    <w:p>
      <w:pPr>
        <w:pStyle w:val="Point3letter"/>
        <w:rPr>
          <w:noProof/>
        </w:rPr>
      </w:pPr>
      <w:r>
        <w:rPr>
          <w:noProof/>
        </w:rPr>
        <w:t>le point k) est remplacé par le texte suivant:</w:t>
      </w:r>
    </w:p>
    <w:p>
      <w:pPr>
        <w:pStyle w:val="Text2"/>
        <w:ind w:left="2137"/>
        <w:rPr>
          <w:noProof/>
        </w:rPr>
      </w:pPr>
      <w:r>
        <w:rPr>
          <w:noProof/>
        </w:rPr>
        <w:t>«k) les vols qui, à l'exception de ce point, relèveraient de cette activité, effectués par un exploitant d’aéronef assurant des vols dont les émissions annuelles totales soumises à l’obligation en matière de restitution en vertu de l’article 12, paragraphe 3, point b), sont inférieures à 1 000 tonnes par an, sans tenir compte des émissions pour lesquelles l’obligation de restitution est réputée satisfaite en vertu de l’article 3 </w:t>
      </w:r>
      <w:r>
        <w:rPr>
          <w:i/>
          <w:iCs/>
          <w:noProof/>
        </w:rPr>
        <w:t>quater</w:t>
      </w:r>
      <w:r>
        <w:rPr>
          <w:noProof/>
        </w:rPr>
        <w:t>, paragraphe 8, ou de l’article 28 </w:t>
      </w:r>
      <w:r>
        <w:rPr>
          <w:i/>
          <w:iCs/>
          <w:noProof/>
        </w:rPr>
        <w:t>bis</w:t>
      </w:r>
      <w:r>
        <w:rPr>
          <w:noProof/>
        </w:rPr>
        <w:t>, paragraphe 1»;</w:t>
      </w:r>
    </w:p>
    <w:p>
      <w:pPr>
        <w:pStyle w:val="Text2"/>
        <w:rPr>
          <w:noProof/>
        </w:rPr>
      </w:pPr>
    </w:p>
    <w:p>
      <w:pPr>
        <w:pStyle w:val="Text2"/>
        <w:rPr>
          <w:noProof/>
        </w:rPr>
      </w:pPr>
      <w:r>
        <w:rPr>
          <w:noProof/>
        </w:rPr>
        <w:t xml:space="preserve">vii) la trentième ligne est remplacée par le texte suivant: </w:t>
      </w:r>
    </w:p>
    <w:tbl>
      <w:tblPr>
        <w:tblStyle w:val="TableGrid"/>
        <w:tblW w:w="0" w:type="auto"/>
        <w:tblInd w:w="2061" w:type="dxa"/>
        <w:tblLook w:val="04A0" w:firstRow="1" w:lastRow="0" w:firstColumn="1" w:lastColumn="0" w:noHBand="0" w:noVBand="1"/>
      </w:tblPr>
      <w:tblGrid>
        <w:gridCol w:w="4993"/>
        <w:gridCol w:w="2235"/>
      </w:tblGrid>
      <w:tr>
        <w:tc>
          <w:tcPr>
            <w:tcW w:w="4993" w:type="dxa"/>
          </w:tcPr>
          <w:p>
            <w:pPr>
              <w:spacing w:before="60"/>
              <w:rPr>
                <w:noProof/>
                <w:szCs w:val="24"/>
              </w:rPr>
            </w:pPr>
            <w:r>
              <w:rPr>
                <w:noProof/>
              </w:rPr>
              <w:t>Transport maritime</w:t>
            </w:r>
          </w:p>
          <w:p>
            <w:pPr>
              <w:rPr>
                <w:noProof/>
              </w:rPr>
            </w:pPr>
            <w:r>
              <w:rPr>
                <w:noProof/>
              </w:rPr>
              <w:t>Les activités de transport maritime couvertes par le règlement (UE) 2015/757, à l’exception des activités de transport maritime couvertes par l’article 2, paragraphe 1 </w:t>
            </w:r>
            <w:r>
              <w:rPr>
                <w:i/>
                <w:iCs/>
                <w:noProof/>
              </w:rPr>
              <w:t>quinquies</w:t>
            </w:r>
            <w:r>
              <w:rPr>
                <w:noProof/>
              </w:rPr>
              <w:t>, points e) et f), et, jusqu’au 31 décembre 2030, les activités de transport maritime couvertes par l’article 2, paragraphes 1 </w:t>
            </w:r>
            <w:r>
              <w:rPr>
                <w:i/>
                <w:iCs/>
                <w:noProof/>
              </w:rPr>
              <w:t>bis</w:t>
            </w:r>
            <w:r>
              <w:rPr>
                <w:noProof/>
              </w:rPr>
              <w:t>, 1 </w:t>
            </w:r>
            <w:r>
              <w:rPr>
                <w:i/>
                <w:iCs/>
                <w:noProof/>
              </w:rPr>
              <w:t>bis bis</w:t>
            </w:r>
            <w:r>
              <w:rPr>
                <w:noProof/>
              </w:rPr>
              <w:t>, 1 </w:t>
            </w:r>
            <w:r>
              <w:rPr>
                <w:i/>
                <w:iCs/>
                <w:noProof/>
              </w:rPr>
              <w:t>ter bis</w:t>
            </w:r>
            <w:r>
              <w:rPr>
                <w:noProof/>
              </w:rPr>
              <w:t xml:space="preserve"> et 1 </w:t>
            </w:r>
            <w:r>
              <w:rPr>
                <w:i/>
                <w:iCs/>
                <w:noProof/>
              </w:rPr>
              <w:t>quinquies</w:t>
            </w:r>
            <w:r>
              <w:rPr>
                <w:noProof/>
              </w:rPr>
              <w:t>, points a) à d), dudit règlement, et, à partir du 1</w:t>
            </w:r>
            <w:r>
              <w:rPr>
                <w:noProof/>
                <w:vertAlign w:val="superscript"/>
              </w:rPr>
              <w:t>er</w:t>
            </w:r>
            <w:r>
              <w:rPr>
                <w:noProof/>
              </w:rPr>
              <w:t> janvier 2031, les activités de transport maritime couvertes par l’article 2, paragraphe 1 </w:t>
            </w:r>
            <w:r>
              <w:rPr>
                <w:i/>
                <w:iCs/>
                <w:noProof/>
              </w:rPr>
              <w:t>ter</w:t>
            </w:r>
            <w:r>
              <w:rPr>
                <w:noProof/>
              </w:rPr>
              <w:t xml:space="preserve">, dudit règlement. </w:t>
            </w:r>
          </w:p>
        </w:tc>
        <w:tc>
          <w:tcPr>
            <w:tcW w:w="2235" w:type="dxa"/>
          </w:tcPr>
          <w:p>
            <w:pPr>
              <w:spacing w:before="60"/>
              <w:rPr>
                <w:noProof/>
                <w:szCs w:val="24"/>
              </w:rPr>
            </w:pPr>
            <w:r>
              <w:rPr>
                <w:noProof/>
              </w:rPr>
              <w:t>Dioxyde de carbone</w:t>
            </w:r>
          </w:p>
          <w:p>
            <w:pPr>
              <w:rPr>
                <w:noProof/>
              </w:rPr>
            </w:pPr>
            <w:r>
              <w:rPr>
                <w:noProof/>
              </w:rPr>
              <w:t>À partir du 1</w:t>
            </w:r>
            <w:r>
              <w:rPr>
                <w:noProof/>
                <w:vertAlign w:val="superscript"/>
              </w:rPr>
              <w:t>er</w:t>
            </w:r>
            <w:r>
              <w:rPr>
                <w:noProof/>
              </w:rPr>
              <w:t> janvier 2026, méthane et oxyde nitreux</w:t>
            </w:r>
          </w:p>
        </w:tc>
      </w:tr>
    </w:tbl>
    <w:p>
      <w:pPr>
        <w:pStyle w:val="Text2"/>
        <w:rPr>
          <w:noProof/>
        </w:rPr>
      </w:pPr>
      <w:r>
        <w:rPr>
          <w:noProof/>
        </w:rPr>
        <w:lastRenderedPageBreak/>
        <w:t>viii) les lignes suivantes sont ajoutées:</w:t>
      </w:r>
    </w:p>
    <w:tbl>
      <w:tblPr>
        <w:tblStyle w:val="TableGrid"/>
        <w:tblW w:w="0" w:type="auto"/>
        <w:tblInd w:w="2061" w:type="dxa"/>
        <w:tblLook w:val="04A0" w:firstRow="1" w:lastRow="0" w:firstColumn="1" w:lastColumn="0" w:noHBand="0" w:noVBand="1"/>
      </w:tblPr>
      <w:tblGrid>
        <w:gridCol w:w="4993"/>
        <w:gridCol w:w="2235"/>
      </w:tblGrid>
      <w:tr>
        <w:tc>
          <w:tcPr>
            <w:tcW w:w="4993" w:type="dxa"/>
          </w:tcPr>
          <w:p>
            <w:pPr>
              <w:spacing w:before="0" w:after="0"/>
              <w:jc w:val="left"/>
              <w:rPr>
                <w:noProof/>
              </w:rPr>
            </w:pPr>
            <w:r>
              <w:rPr>
                <w:noProof/>
              </w:rPr>
              <w:t>Incinération et coïncinération des déchets</w:t>
            </w:r>
          </w:p>
          <w:p>
            <w:pPr>
              <w:spacing w:before="0" w:after="0"/>
              <w:jc w:val="left"/>
              <w:rPr>
                <w:noProof/>
                <w:color w:val="000000" w:themeColor="text1"/>
              </w:rPr>
            </w:pPr>
          </w:p>
          <w:p>
            <w:pPr>
              <w:spacing w:before="0" w:after="0"/>
              <w:jc w:val="left"/>
              <w:rPr>
                <w:noProof/>
                <w:color w:val="000000" w:themeColor="text1"/>
              </w:rPr>
            </w:pPr>
            <w:r>
              <w:rPr>
                <w:noProof/>
                <w:color w:val="000000" w:themeColor="text1"/>
              </w:rPr>
              <w:t>À partir du 1</w:t>
            </w:r>
            <w:r>
              <w:rPr>
                <w:noProof/>
                <w:color w:val="000000" w:themeColor="text1"/>
                <w:vertAlign w:val="superscript"/>
              </w:rPr>
              <w:t>er</w:t>
            </w:r>
            <w:r>
              <w:rPr>
                <w:noProof/>
                <w:color w:val="000000" w:themeColor="text1"/>
              </w:rPr>
              <w:t> janvier 2031, l’élimination ou la valorisation des déchets dans des installations d’incinération des déchets ou dans des installations de coïncinération des déchets telles que définies à l’article 3, paragraphes 40 et 41, de la directive 2010/75/UE du Parlement européen et du Conseil pour les déchets non dangereux, avec une capacité supérieure à 3 tonnes par heure, à l’exclusion du recyclage chimique.</w:t>
            </w:r>
          </w:p>
        </w:tc>
        <w:tc>
          <w:tcPr>
            <w:tcW w:w="2235" w:type="dxa"/>
          </w:tcPr>
          <w:p>
            <w:pPr>
              <w:rPr>
                <w:noProof/>
              </w:rPr>
            </w:pPr>
            <w:r>
              <w:rPr>
                <w:noProof/>
              </w:rPr>
              <w:t>Dioxyde de carbone </w:t>
            </w:r>
          </w:p>
        </w:tc>
      </w:tr>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hideMark/>
                </w:tcPr>
                <w:p>
                  <w:pPr>
                    <w:spacing w:before="0" w:after="0"/>
                    <w:jc w:val="left"/>
                    <w:rPr>
                      <w:rFonts w:eastAsia="Times New Roman"/>
                      <w:noProof/>
                      <w:szCs w:val="24"/>
                      <w:lang w:eastAsia="en-IE"/>
                    </w:rPr>
                  </w:pPr>
                </w:p>
              </w:tc>
            </w:tr>
          </w:tbl>
          <w:p>
            <w:pPr>
              <w:tabs>
                <w:tab w:val="num" w:pos="360"/>
              </w:tabs>
              <w:spacing w:before="0" w:after="0"/>
              <w:jc w:val="left"/>
              <w:textAlignment w:val="baseline"/>
              <w:rPr>
                <w:noProof/>
              </w:rPr>
            </w:pPr>
            <w:r>
              <w:rPr>
                <w:noProof/>
              </w:rPr>
              <w:t>Au plus tard le 31 juillet 2029, la Commission publie un rapport indiquant si une des conditions suivantes ou les deux ont été remplies: </w:t>
            </w:r>
          </w:p>
          <w:p>
            <w:pPr>
              <w:numPr>
                <w:ilvl w:val="0"/>
                <w:numId w:val="3"/>
              </w:numPr>
              <w:rPr>
                <w:noProof/>
              </w:rPr>
            </w:pPr>
            <w:r>
              <w:rPr>
                <w:noProof/>
              </w:rPr>
              <w:t>la mise en place d’un ou de plusieurs registres des décharges conformément à l’article [X] du règlement (UE) […/…] [acte législatif sur l’économie circulaire] afin de garantir l’intégrité environnementale et d’éviter le contournement; et </w:t>
            </w:r>
          </w:p>
          <w:p>
            <w:pPr>
              <w:numPr>
                <w:ilvl w:val="0"/>
                <w:numId w:val="3"/>
              </w:numPr>
              <w:rPr>
                <w:noProof/>
              </w:rPr>
            </w:pPr>
            <w:r>
              <w:rPr>
                <w:noProof/>
              </w:rPr>
              <w:t xml:space="preserve">les conclusions sur les meilleures techniques disponibles pour les décharges ont été publiées au </w:t>
            </w:r>
            <w:r>
              <w:rPr>
                <w:i/>
                <w:iCs/>
                <w:noProof/>
              </w:rPr>
              <w:t>Journal officiel de l’Union européenne</w:t>
            </w:r>
            <w:r>
              <w:rPr>
                <w:noProof/>
              </w:rPr>
              <w:t xml:space="preserve"> conformément à l’article 13 de la directive 2010/75/UE. </w:t>
            </w:r>
          </w:p>
          <w:p>
            <w:pPr>
              <w:rPr>
                <w:noProof/>
              </w:rPr>
            </w:pPr>
            <w:r>
              <w:rPr>
                <w:noProof/>
              </w:rPr>
              <w:t>Si les deux conditions visées sont remplies, les articles 14 et 15 s’appliquent aux décharges où des déchets non dangereux sont éliminés ou valorisés à partir du 1</w:t>
            </w:r>
            <w:r>
              <w:rPr>
                <w:noProof/>
                <w:vertAlign w:val="superscript"/>
              </w:rPr>
              <w:t>er</w:t>
            </w:r>
            <w:r>
              <w:rPr>
                <w:noProof/>
              </w:rPr>
              <w:t xml:space="preserve"> janvier 2031. </w:t>
            </w:r>
          </w:p>
          <w:p>
            <w:pPr>
              <w:rPr>
                <w:noProof/>
              </w:rPr>
            </w:pPr>
            <w:r>
              <w:rPr>
                <w:noProof/>
              </w:rPr>
              <w:t>Si l’une des conditions visées ou les deux ne sont pas remplies, les articles 14 et 15 s’appliquent aux décharges où des déchets non dangereux sont éliminés ou valorisés à partir du 1</w:t>
            </w:r>
            <w:r>
              <w:rPr>
                <w:noProof/>
                <w:vertAlign w:val="superscript"/>
              </w:rPr>
              <w:t>er</w:t>
            </w:r>
            <w:r>
              <w:rPr>
                <w:noProof/>
              </w:rPr>
              <w:t> janvier 2034.</w:t>
            </w:r>
          </w:p>
        </w:tc>
        <w:tc>
          <w:tcPr>
            <w:tcW w:w="2235" w:type="dxa"/>
          </w:tcPr>
          <w:p>
            <w:pPr>
              <w:rPr>
                <w:noProof/>
              </w:rPr>
            </w:pPr>
            <w:r>
              <w:rPr>
                <w:noProof/>
              </w:rPr>
              <w:t>Dioxyde de carbone </w:t>
            </w:r>
          </w:p>
        </w:tc>
      </w:tr>
    </w:tbl>
    <w:p>
      <w:pPr>
        <w:rPr>
          <w:noProof/>
        </w:rPr>
      </w:pPr>
    </w:p>
    <w:p>
      <w:pPr>
        <w:pStyle w:val="Text2"/>
        <w:rPr>
          <w:noProof/>
        </w:rPr>
      </w:pPr>
    </w:p>
    <w:p>
      <w:pPr>
        <w:pStyle w:val="Point0number"/>
        <w:numPr>
          <w:ilvl w:val="0"/>
          <w:numId w:val="4"/>
        </w:numPr>
        <w:rPr>
          <w:noProof/>
        </w:rPr>
      </w:pPr>
      <w:r>
        <w:rPr>
          <w:noProof/>
        </w:rPr>
        <w:t>L’annexe II </w:t>
      </w:r>
      <w:r>
        <w:rPr>
          <w:i/>
          <w:iCs/>
          <w:noProof/>
        </w:rPr>
        <w:t>ter</w:t>
      </w:r>
      <w:r>
        <w:rPr>
          <w:noProof/>
        </w:rPr>
        <w:t xml:space="preserve"> de la directive 2003/87/CE est remplacée par le texte suivant: </w:t>
      </w:r>
    </w:p>
    <w:p>
      <w:pPr>
        <w:jc w:val="center"/>
        <w:rPr>
          <w:noProof/>
        </w:rPr>
      </w:pPr>
      <w:r>
        <w:rPr>
          <w:noProof/>
        </w:rPr>
        <w:t>ANNEXE II</w:t>
      </w:r>
      <w:r>
        <w:rPr>
          <w:i/>
          <w:iCs/>
          <w:noProof/>
        </w:rPr>
        <w:t> ter</w:t>
      </w:r>
    </w:p>
    <w:p>
      <w:pPr>
        <w:ind w:left="850"/>
        <w:jc w:val="center"/>
        <w:rPr>
          <w:b/>
          <w:noProof/>
        </w:rPr>
      </w:pPr>
      <w:r>
        <w:rPr>
          <w:b/>
          <w:noProof/>
        </w:rPr>
        <w:t>Répartition des fonds en provenance du Fonds pour la modernisation conformément à l’article 10, paragraphe 1</w:t>
      </w:r>
    </w:p>
    <w:p>
      <w:pPr>
        <w:ind w:left="850"/>
        <w:jc w:val="center"/>
        <w:rPr>
          <w:bCs/>
          <w:noProof/>
        </w:rPr>
      </w:pPr>
    </w:p>
    <w:tbl>
      <w:tblPr>
        <w:tblStyle w:val="TableGrid"/>
        <w:tblW w:w="2700" w:type="dxa"/>
        <w:tblInd w:w="2767" w:type="dxa"/>
        <w:tblLook w:val="04A0" w:firstRow="1" w:lastRow="0" w:firstColumn="1" w:lastColumn="0" w:noHBand="0" w:noVBand="1"/>
      </w:tblPr>
      <w:tblGrid>
        <w:gridCol w:w="1740"/>
        <w:gridCol w:w="1016"/>
      </w:tblGrid>
      <w:tr>
        <w:trPr>
          <w:trHeight w:val="290"/>
        </w:trPr>
        <w:tc>
          <w:tcPr>
            <w:tcW w:w="1740" w:type="dxa"/>
            <w:noWrap/>
            <w:hideMark/>
          </w:tcPr>
          <w:p>
            <w:pPr>
              <w:rPr>
                <w:bCs/>
                <w:noProof/>
              </w:rPr>
            </w:pPr>
            <w:r>
              <w:rPr>
                <w:noProof/>
              </w:rPr>
              <w:t>Bulgarie</w:t>
            </w:r>
          </w:p>
        </w:tc>
        <w:tc>
          <w:tcPr>
            <w:tcW w:w="960" w:type="dxa"/>
            <w:noWrap/>
            <w:hideMark/>
          </w:tcPr>
          <w:p>
            <w:pPr>
              <w:rPr>
                <w:bCs/>
                <w:noProof/>
              </w:rPr>
            </w:pPr>
            <w:r>
              <w:rPr>
                <w:noProof/>
              </w:rPr>
              <w:t>5,44 %</w:t>
            </w:r>
          </w:p>
        </w:tc>
      </w:tr>
      <w:tr>
        <w:trPr>
          <w:trHeight w:val="290"/>
        </w:trPr>
        <w:tc>
          <w:tcPr>
            <w:tcW w:w="1740" w:type="dxa"/>
            <w:noWrap/>
          </w:tcPr>
          <w:p>
            <w:pPr>
              <w:rPr>
                <w:bCs/>
                <w:noProof/>
              </w:rPr>
            </w:pPr>
            <w:r>
              <w:rPr>
                <w:noProof/>
              </w:rPr>
              <w:lastRenderedPageBreak/>
              <w:t>Tchéquie</w:t>
            </w:r>
          </w:p>
        </w:tc>
        <w:tc>
          <w:tcPr>
            <w:tcW w:w="960" w:type="dxa"/>
            <w:noWrap/>
          </w:tcPr>
          <w:p>
            <w:pPr>
              <w:rPr>
                <w:bCs/>
                <w:noProof/>
              </w:rPr>
            </w:pPr>
            <w:r>
              <w:rPr>
                <w:noProof/>
              </w:rPr>
              <w:t>13,02 %</w:t>
            </w:r>
          </w:p>
        </w:tc>
      </w:tr>
      <w:tr>
        <w:trPr>
          <w:trHeight w:val="290"/>
        </w:trPr>
        <w:tc>
          <w:tcPr>
            <w:tcW w:w="1740" w:type="dxa"/>
            <w:noWrap/>
          </w:tcPr>
          <w:p>
            <w:pPr>
              <w:rPr>
                <w:bCs/>
                <w:noProof/>
              </w:rPr>
            </w:pPr>
            <w:r>
              <w:rPr>
                <w:noProof/>
              </w:rPr>
              <w:t>Estonie</w:t>
            </w:r>
          </w:p>
        </w:tc>
        <w:tc>
          <w:tcPr>
            <w:tcW w:w="960" w:type="dxa"/>
            <w:noWrap/>
          </w:tcPr>
          <w:p>
            <w:pPr>
              <w:rPr>
                <w:bCs/>
                <w:noProof/>
              </w:rPr>
            </w:pPr>
            <w:r>
              <w:rPr>
                <w:noProof/>
              </w:rPr>
              <w:t>1,62 %</w:t>
            </w:r>
          </w:p>
        </w:tc>
      </w:tr>
      <w:tr>
        <w:trPr>
          <w:trHeight w:val="290"/>
        </w:trPr>
        <w:tc>
          <w:tcPr>
            <w:tcW w:w="1740" w:type="dxa"/>
            <w:noWrap/>
          </w:tcPr>
          <w:p>
            <w:pPr>
              <w:rPr>
                <w:bCs/>
                <w:noProof/>
              </w:rPr>
            </w:pPr>
            <w:r>
              <w:rPr>
                <w:noProof/>
              </w:rPr>
              <w:t>Grèce</w:t>
            </w:r>
          </w:p>
        </w:tc>
        <w:tc>
          <w:tcPr>
            <w:tcW w:w="960" w:type="dxa"/>
            <w:noWrap/>
          </w:tcPr>
          <w:p>
            <w:pPr>
              <w:rPr>
                <w:bCs/>
                <w:noProof/>
              </w:rPr>
            </w:pPr>
            <w:r>
              <w:rPr>
                <w:noProof/>
              </w:rPr>
              <w:t>8,42 %</w:t>
            </w:r>
          </w:p>
        </w:tc>
      </w:tr>
      <w:tr>
        <w:trPr>
          <w:trHeight w:val="290"/>
        </w:trPr>
        <w:tc>
          <w:tcPr>
            <w:tcW w:w="1740" w:type="dxa"/>
            <w:noWrap/>
          </w:tcPr>
          <w:p>
            <w:pPr>
              <w:rPr>
                <w:bCs/>
                <w:noProof/>
              </w:rPr>
            </w:pPr>
            <w:r>
              <w:rPr>
                <w:noProof/>
              </w:rPr>
              <w:t>Croatie</w:t>
            </w:r>
          </w:p>
        </w:tc>
        <w:tc>
          <w:tcPr>
            <w:tcW w:w="960" w:type="dxa"/>
            <w:noWrap/>
          </w:tcPr>
          <w:p>
            <w:pPr>
              <w:rPr>
                <w:bCs/>
                <w:noProof/>
              </w:rPr>
            </w:pPr>
            <w:r>
              <w:rPr>
                <w:noProof/>
              </w:rPr>
              <w:t>2,43 %</w:t>
            </w:r>
          </w:p>
        </w:tc>
      </w:tr>
      <w:tr>
        <w:trPr>
          <w:trHeight w:val="290"/>
        </w:trPr>
        <w:tc>
          <w:tcPr>
            <w:tcW w:w="1740" w:type="dxa"/>
            <w:noWrap/>
          </w:tcPr>
          <w:p>
            <w:pPr>
              <w:rPr>
                <w:bCs/>
                <w:noProof/>
              </w:rPr>
            </w:pPr>
            <w:r>
              <w:rPr>
                <w:noProof/>
              </w:rPr>
              <w:t>Lettonie</w:t>
            </w:r>
          </w:p>
        </w:tc>
        <w:tc>
          <w:tcPr>
            <w:tcW w:w="960" w:type="dxa"/>
            <w:noWrap/>
          </w:tcPr>
          <w:p>
            <w:pPr>
              <w:rPr>
                <w:bCs/>
                <w:noProof/>
              </w:rPr>
            </w:pPr>
            <w:r>
              <w:rPr>
                <w:noProof/>
              </w:rPr>
              <w:t>1,01 %</w:t>
            </w:r>
          </w:p>
        </w:tc>
      </w:tr>
      <w:tr>
        <w:trPr>
          <w:trHeight w:val="290"/>
        </w:trPr>
        <w:tc>
          <w:tcPr>
            <w:tcW w:w="1740" w:type="dxa"/>
            <w:noWrap/>
          </w:tcPr>
          <w:p>
            <w:pPr>
              <w:rPr>
                <w:bCs/>
                <w:noProof/>
              </w:rPr>
            </w:pPr>
            <w:r>
              <w:rPr>
                <w:noProof/>
              </w:rPr>
              <w:t>Lituanie</w:t>
            </w:r>
          </w:p>
        </w:tc>
        <w:tc>
          <w:tcPr>
            <w:tcW w:w="960" w:type="dxa"/>
            <w:noWrap/>
          </w:tcPr>
          <w:p>
            <w:pPr>
              <w:rPr>
                <w:bCs/>
                <w:noProof/>
              </w:rPr>
            </w:pPr>
            <w:r>
              <w:rPr>
                <w:noProof/>
              </w:rPr>
              <w:t>2,17 %</w:t>
            </w:r>
          </w:p>
        </w:tc>
      </w:tr>
      <w:tr>
        <w:trPr>
          <w:trHeight w:val="290"/>
        </w:trPr>
        <w:tc>
          <w:tcPr>
            <w:tcW w:w="1740" w:type="dxa"/>
            <w:noWrap/>
          </w:tcPr>
          <w:p>
            <w:pPr>
              <w:rPr>
                <w:bCs/>
                <w:noProof/>
              </w:rPr>
            </w:pPr>
            <w:r>
              <w:rPr>
                <w:noProof/>
              </w:rPr>
              <w:t>Hongrie</w:t>
            </w:r>
          </w:p>
        </w:tc>
        <w:tc>
          <w:tcPr>
            <w:tcW w:w="960" w:type="dxa"/>
            <w:noWrap/>
          </w:tcPr>
          <w:p>
            <w:pPr>
              <w:rPr>
                <w:bCs/>
                <w:noProof/>
              </w:rPr>
            </w:pPr>
            <w:r>
              <w:rPr>
                <w:noProof/>
              </w:rPr>
              <w:t>5,78 %</w:t>
            </w:r>
          </w:p>
        </w:tc>
      </w:tr>
      <w:tr>
        <w:trPr>
          <w:trHeight w:val="290"/>
        </w:trPr>
        <w:tc>
          <w:tcPr>
            <w:tcW w:w="1740" w:type="dxa"/>
            <w:noWrap/>
          </w:tcPr>
          <w:p>
            <w:pPr>
              <w:rPr>
                <w:bCs/>
                <w:noProof/>
              </w:rPr>
            </w:pPr>
            <w:r>
              <w:rPr>
                <w:noProof/>
              </w:rPr>
              <w:t>Pologne</w:t>
            </w:r>
          </w:p>
        </w:tc>
        <w:tc>
          <w:tcPr>
            <w:tcW w:w="960" w:type="dxa"/>
            <w:noWrap/>
          </w:tcPr>
          <w:p>
            <w:pPr>
              <w:rPr>
                <w:bCs/>
                <w:noProof/>
              </w:rPr>
            </w:pPr>
            <w:r>
              <w:rPr>
                <w:noProof/>
              </w:rPr>
              <w:t>38,14 %</w:t>
            </w:r>
          </w:p>
        </w:tc>
      </w:tr>
      <w:tr>
        <w:trPr>
          <w:trHeight w:val="290"/>
        </w:trPr>
        <w:tc>
          <w:tcPr>
            <w:tcW w:w="1740" w:type="dxa"/>
            <w:noWrap/>
          </w:tcPr>
          <w:p>
            <w:pPr>
              <w:rPr>
                <w:bCs/>
                <w:noProof/>
              </w:rPr>
            </w:pPr>
            <w:r>
              <w:rPr>
                <w:noProof/>
              </w:rPr>
              <w:t>Portugal</w:t>
            </w:r>
          </w:p>
        </w:tc>
        <w:tc>
          <w:tcPr>
            <w:tcW w:w="960" w:type="dxa"/>
            <w:noWrap/>
          </w:tcPr>
          <w:p>
            <w:pPr>
              <w:rPr>
                <w:bCs/>
                <w:noProof/>
              </w:rPr>
            </w:pPr>
            <w:r>
              <w:rPr>
                <w:noProof/>
              </w:rPr>
              <w:t>7,26 %</w:t>
            </w:r>
          </w:p>
        </w:tc>
      </w:tr>
      <w:tr>
        <w:trPr>
          <w:trHeight w:val="290"/>
        </w:trPr>
        <w:tc>
          <w:tcPr>
            <w:tcW w:w="1740" w:type="dxa"/>
            <w:noWrap/>
            <w:hideMark/>
          </w:tcPr>
          <w:p>
            <w:pPr>
              <w:rPr>
                <w:bCs/>
                <w:noProof/>
              </w:rPr>
            </w:pPr>
            <w:r>
              <w:rPr>
                <w:noProof/>
              </w:rPr>
              <w:t>Roumanie</w:t>
            </w:r>
          </w:p>
        </w:tc>
        <w:tc>
          <w:tcPr>
            <w:tcW w:w="960" w:type="dxa"/>
            <w:noWrap/>
            <w:hideMark/>
          </w:tcPr>
          <w:p>
            <w:pPr>
              <w:rPr>
                <w:bCs/>
                <w:noProof/>
              </w:rPr>
            </w:pPr>
            <w:r>
              <w:rPr>
                <w:noProof/>
              </w:rPr>
              <w:t>9,92 %</w:t>
            </w:r>
          </w:p>
        </w:tc>
      </w:tr>
      <w:tr>
        <w:trPr>
          <w:trHeight w:val="290"/>
        </w:trPr>
        <w:tc>
          <w:tcPr>
            <w:tcW w:w="1740" w:type="dxa"/>
            <w:noWrap/>
            <w:hideMark/>
          </w:tcPr>
          <w:p>
            <w:pPr>
              <w:rPr>
                <w:bCs/>
                <w:noProof/>
              </w:rPr>
            </w:pPr>
            <w:r>
              <w:rPr>
                <w:noProof/>
              </w:rPr>
              <w:t>Slovaquie</w:t>
            </w:r>
          </w:p>
        </w:tc>
        <w:tc>
          <w:tcPr>
            <w:tcW w:w="960" w:type="dxa"/>
            <w:noWrap/>
            <w:hideMark/>
          </w:tcPr>
          <w:p>
            <w:pPr>
              <w:rPr>
                <w:bCs/>
                <w:noProof/>
              </w:rPr>
            </w:pPr>
            <w:r>
              <w:rPr>
                <w:noProof/>
              </w:rPr>
              <w:t>4,78 %</w:t>
            </w:r>
          </w:p>
        </w:tc>
      </w:tr>
    </w:tbl>
    <w:p>
      <w:pPr>
        <w:ind w:left="850"/>
        <w:jc w:val="center"/>
        <w:rPr>
          <w:bCs/>
          <w:noProof/>
        </w:rPr>
      </w:pPr>
    </w:p>
    <w:p>
      <w:pPr>
        <w:pStyle w:val="Point0number"/>
        <w:numPr>
          <w:ilvl w:val="0"/>
          <w:numId w:val="4"/>
        </w:numPr>
        <w:rPr>
          <w:noProof/>
        </w:rPr>
      </w:pPr>
      <w:r>
        <w:rPr>
          <w:noProof/>
        </w:rPr>
        <w:t>L’annexe IV de la directive 2003/87/CE est modifiée comme suit:</w:t>
      </w:r>
    </w:p>
    <w:p>
      <w:pPr>
        <w:pStyle w:val="Text1"/>
        <w:rPr>
          <w:noProof/>
        </w:rPr>
      </w:pPr>
      <w:r>
        <w:rPr>
          <w:noProof/>
        </w:rPr>
        <w:t>a) dans le titre de la partie A, le mot «fixes» est supprimé;</w:t>
      </w:r>
    </w:p>
    <w:p>
      <w:pPr>
        <w:pStyle w:val="Text1"/>
        <w:rPr>
          <w:noProof/>
        </w:rPr>
      </w:pPr>
      <w:r>
        <w:rPr>
          <w:noProof/>
        </w:rPr>
        <w:t>b) dans la partie A, la section «Calcul des émissions» est modifiée comme suit:</w:t>
      </w:r>
    </w:p>
    <w:p>
      <w:pPr>
        <w:pStyle w:val="Text1"/>
        <w:rPr>
          <w:noProof/>
        </w:rPr>
      </w:pPr>
      <w:r>
        <w:rPr>
          <w:noProof/>
        </w:rPr>
        <w:t>c) au troisième paragraphe, le point suivant est ajouté:</w:t>
      </w:r>
    </w:p>
    <w:p>
      <w:pPr>
        <w:pStyle w:val="Text2"/>
        <w:rPr>
          <w:noProof/>
        </w:rPr>
      </w:pPr>
      <w:r>
        <w:rPr>
          <w:noProof/>
        </w:rPr>
        <w:t>«Le dioxyde de carbone capté dans l’atmosphère ou à partir de sources dont le facteur d’émission est égal à zéro a un facteur d’émission égal à zéro, sauf si le CO</w:t>
      </w:r>
      <w:r>
        <w:rPr>
          <w:noProof/>
          <w:vertAlign w:val="subscript"/>
        </w:rPr>
        <w:t>2</w:t>
      </w:r>
      <w:r>
        <w:rPr>
          <w:noProof/>
        </w:rPr>
        <w:t xml:space="preserve"> est rejeté, évacué ou émis d’une autre manière à partir d’un site de stockage géologique permanent.».</w:t>
      </w:r>
    </w:p>
    <w:p>
      <w:pPr>
        <w:pStyle w:val="Point0number"/>
        <w:numPr>
          <w:ilvl w:val="0"/>
          <w:numId w:val="4"/>
        </w:numPr>
        <w:rPr>
          <w:noProof/>
          <w:szCs w:val="24"/>
        </w:rPr>
      </w:pPr>
      <w:r>
        <w:rPr>
          <w:noProof/>
        </w:rPr>
        <w:t>À l’annexe V de la directive 2003/87/CE, dans le titre de la partie A, le mot «fixes» est supprimé.</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pPr>
        <w:pStyle w:val="Annexetitre"/>
        <w:rPr>
          <w:noProof/>
        </w:rPr>
      </w:pPr>
      <w:r>
        <w:rPr>
          <w:noProof/>
        </w:rPr>
        <w:lastRenderedPageBreak/>
        <w:t>ANNEXE II</w:t>
      </w:r>
    </w:p>
    <w:p>
      <w:pPr>
        <w:rPr>
          <w:noProof/>
        </w:rPr>
      </w:pPr>
    </w:p>
    <w:p>
      <w:pPr>
        <w:rPr>
          <w:noProof/>
        </w:rPr>
      </w:pPr>
      <w:r>
        <w:rPr>
          <w:noProof/>
        </w:rPr>
        <w:t>L’annexe suivante est ajoutée à la décision 2015/1814:</w:t>
      </w:r>
    </w:p>
    <w:p>
      <w:pPr>
        <w:rPr>
          <w:b/>
          <w:noProof/>
        </w:rPr>
      </w:pPr>
      <w:bookmarkStart w:id="0" w:name="_Hlk230337102"/>
    </w:p>
    <w:p>
      <w:pPr>
        <w:jc w:val="center"/>
        <w:rPr>
          <w:b/>
          <w:noProof/>
        </w:rPr>
      </w:pPr>
      <w:r>
        <w:rPr>
          <w:b/>
          <w:noProof/>
        </w:rPr>
        <w:t>ANNEXE</w:t>
      </w:r>
    </w:p>
    <w:p>
      <w:pPr>
        <w:jc w:val="center"/>
        <w:rPr>
          <w:b/>
          <w:i/>
          <w:iCs/>
          <w:noProof/>
        </w:rPr>
      </w:pPr>
      <w:r>
        <w:rPr>
          <w:b/>
          <w:i/>
          <w:noProof/>
        </w:rPr>
        <w:t>Paramètres dynamiques</w:t>
      </w:r>
    </w:p>
    <w:bookmarkEnd w:id="0"/>
    <w:p>
      <w:pPr>
        <w:rPr>
          <w:i/>
          <w:noProof/>
        </w:rPr>
      </w:pPr>
      <w:r>
        <w:rPr>
          <w:i/>
          <w:noProof/>
        </w:rPr>
        <w:t xml:space="preserve">Paramètres dynamiques de la RSM diminuant à un taux de 4 % par an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1"/>
        <w:gridCol w:w="617"/>
        <w:gridCol w:w="617"/>
        <w:gridCol w:w="617"/>
        <w:gridCol w:w="616"/>
        <w:gridCol w:w="616"/>
        <w:gridCol w:w="616"/>
        <w:gridCol w:w="617"/>
        <w:gridCol w:w="617"/>
        <w:gridCol w:w="617"/>
        <w:gridCol w:w="617"/>
        <w:gridCol w:w="617"/>
        <w:gridCol w:w="617"/>
        <w:gridCol w:w="617"/>
      </w:tblGrid>
      <w:tr>
        <w:tc>
          <w:tcPr>
            <w:tcW w:w="1065"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i/>
                <w:noProof/>
                <w:sz w:val="20"/>
              </w:rPr>
              <w:t>Millions de quotas de l'UE</w:t>
            </w:r>
            <w:r>
              <w:rPr>
                <w:b/>
                <w:noProof/>
                <w:sz w:val="20"/>
              </w:rPr>
              <w:t xml:space="preserve"> </w:t>
            </w:r>
          </w:p>
        </w:tc>
        <w:tc>
          <w:tcPr>
            <w:tcW w:w="618"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2028 </w:t>
            </w:r>
          </w:p>
        </w:tc>
        <w:tc>
          <w:tcPr>
            <w:tcW w:w="618"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2029 </w:t>
            </w:r>
          </w:p>
        </w:tc>
        <w:tc>
          <w:tcPr>
            <w:tcW w:w="618"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2030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2031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2032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2033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2034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2035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2036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2037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2038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2039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2040 </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Coussin supérieur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947</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909</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872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837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804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772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741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711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683</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656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629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604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580</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Seuil supérieur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833</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768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737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708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679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652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626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601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577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554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532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510</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Seuil inférieur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400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384</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369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354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340</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326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313</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301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289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277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266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255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245</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Coussin inférieur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288</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276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265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255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245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235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225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216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208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199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191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184</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Taux de prélèvement</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96</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61</w:t>
            </w:r>
          </w:p>
        </w:tc>
      </w:tr>
    </w:tbl>
    <w:p>
      <w:pPr>
        <w:rPr>
          <w:noProof/>
        </w:rPr>
      </w:pPr>
    </w:p>
    <w:p>
      <w:pPr>
        <w:rPr>
          <w:noProof/>
        </w:rPr>
      </w:pPr>
    </w:p>
    <w:p>
      <w:pPr>
        <w:rPr>
          <w:noProof/>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B6655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F64AD8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A244D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BCEAC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1"/>
  </w:num>
  <w:num w:numId="8">
    <w:abstractNumId w:val="0"/>
  </w:num>
  <w:num w:numId="9">
    <w:abstractNumId w:val="16"/>
  </w:num>
  <w:num w:numId="10">
    <w:abstractNumId w:val="9"/>
  </w:num>
  <w:num w:numId="11">
    <w:abstractNumId w:val="18"/>
  </w:num>
  <w:num w:numId="12">
    <w:abstractNumId w:val="7"/>
  </w:num>
  <w:num w:numId="13">
    <w:abstractNumId w:val="10"/>
  </w:num>
  <w:num w:numId="14">
    <w:abstractNumId w:val="11"/>
  </w:num>
  <w:num w:numId="15">
    <w:abstractNumId w:val="5"/>
  </w:num>
  <w:num w:numId="16">
    <w:abstractNumId w:val="17"/>
  </w:num>
  <w:num w:numId="17">
    <w:abstractNumId w:val="4"/>
  </w:num>
  <w:num w:numId="18">
    <w:abstractNumId w:val="12"/>
  </w:num>
  <w:num w:numId="19">
    <w:abstractNumId w:val="14"/>
  </w:num>
  <w:num w:numId="20">
    <w:abstractNumId w:val="15"/>
  </w:num>
  <w:num w:numId="21">
    <w:abstractNumId w:val="6"/>
  </w:num>
  <w:num w:numId="22">
    <w:abstractNumId w:val="13"/>
  </w:num>
  <w:num w:numId="23">
    <w:abstractNumId w:val="19"/>
  </w:num>
  <w:num w:numId="24">
    <w:abstractNumId w:val="16"/>
  </w:num>
  <w:num w:numId="25">
    <w:abstractNumId w:val="9"/>
  </w:num>
  <w:num w:numId="26">
    <w:abstractNumId w:val="18"/>
  </w:num>
  <w:num w:numId="27">
    <w:abstractNumId w:val="7"/>
  </w:num>
  <w:num w:numId="28">
    <w:abstractNumId w:val="10"/>
  </w:num>
  <w:num w:numId="29">
    <w:abstractNumId w:val="11"/>
  </w:num>
  <w:num w:numId="30">
    <w:abstractNumId w:val="5"/>
  </w:num>
  <w:num w:numId="31">
    <w:abstractNumId w:val="17"/>
  </w:num>
  <w:num w:numId="32">
    <w:abstractNumId w:val="4"/>
  </w:num>
  <w:num w:numId="33">
    <w:abstractNumId w:val="12"/>
  </w:num>
  <w:num w:numId="34">
    <w:abstractNumId w:val="14"/>
  </w:num>
  <w:num w:numId="35">
    <w:abstractNumId w:val="15"/>
  </w:num>
  <w:num w:numId="36">
    <w:abstractNumId w:val="6"/>
  </w:num>
  <w:num w:numId="37">
    <w:abstractNumId w:val="13"/>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5: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2"/>
    <w:docVar w:name="LW_ANNEX_UNIQUE" w:val="0"/>
    <w:docVar w:name="LW_CORRIGENDUM" w:val="&lt;UNUSED&gt;"/>
    <w:docVar w:name="LW_COVERPAGE_EXISTS" w:val="True"/>
    <w:docVar w:name="LW_COVERPAGE_GUID" w:val="43C2D864-637C-43C8-9CFB-EC22D9D16CAC"/>
    <w:docVar w:name="LW_COVERPAGE_TYPE" w:val="1"/>
    <w:docVar w:name="LW_CreatedUtc" w:val="2026-07-07T15:55:04.0317398Z"/>
    <w:docVar w:name="LW_CROSSREFERENCE" w:val="{COM(2026) 619 final} - {COM(2026) 620 final} - {SEC(2026) 616 final} - {SWD(2026) 616 final} - {SWD(2026) 617 final} - {SWD(2026) 618 final}"/>
    <w:docVar w:name="LW_DocType" w:val="ANNEX"/>
    <w:docVar w:name="LW_EMISSION" w:val="17.7.2026"/>
    <w:docVar w:name="LW_EMISSION_ISODATE" w:val="2026-07-1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DIRECTIVE DU PARLEMENT EUROPÉEN ET DU CONSEIL modifiant la directive 2003/87/CE et la décision (UE) 2015/1814 en ce qui concerne le renforcement de la compétitivité et de la décarbonation à coûts maîtrisés&lt;/FMT&gt;_x000b_"/>
    <w:docVar w:name="LW_OBJETACTEPRINCIPAL.CP" w:val="&lt;FMT:Bold&gt;DIRECTIVE DU PARLEMENT EUROPÉEN ET DU CONSEIL modifiant la directive 2003/87/CE et la décision (UE) 2015/1814 en ce qui concerne le renforcement de la compétitivité et de la décarbonation à coûts maîtrisés&lt;/FMT&gt;_x000b_"/>
    <w:docVar w:name="LW_PART_NBR" w:val="&lt;UNUSED&gt;"/>
    <w:docVar w:name="LW_PART_NBR_TOTAL" w:val="&lt;UNUSED&gt;"/>
    <w:docVar w:name="LW_REF.INST.NEW" w:val="COM"/>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w:docVar w:name="LW_TYPEACTEPRINCIPAL.CP" w:val="proposition de"/>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Number2">
    <w:name w:val="List Number 2"/>
    <w:basedOn w:val="Normal"/>
    <w:pPr>
      <w:numPr>
        <w:numId w:val="1"/>
      </w:numPr>
      <w:tabs>
        <w:tab w:val="clear" w:pos="1560"/>
      </w:tabs>
      <w:ind w:left="0" w:firstLine="0"/>
    </w:pPr>
    <w:rPr>
      <w:rFonts w:eastAsia="Times New Roman"/>
      <w:lang w:eastAsia="en-GB"/>
    </w:rPr>
  </w:style>
  <w:style w:type="paragraph" w:customStyle="1" w:styleId="ListNumber2Level2">
    <w:name w:val="List Number 2 (Level 2)"/>
    <w:basedOn w:val="Text2"/>
    <w:pPr>
      <w:numPr>
        <w:ilvl w:val="1"/>
        <w:numId w:val="1"/>
      </w:numPr>
      <w:tabs>
        <w:tab w:val="clear" w:pos="2268"/>
      </w:tabs>
      <w:ind w:left="0" w:firstLine="0"/>
    </w:pPr>
    <w:rPr>
      <w:rFonts w:eastAsia="Times New Roman"/>
      <w:lang w:eastAsia="en-GB"/>
    </w:rPr>
  </w:style>
  <w:style w:type="paragraph" w:customStyle="1" w:styleId="ListNumber2Level3">
    <w:name w:val="List Number 2 (Level 3)"/>
    <w:basedOn w:val="Text2"/>
    <w:pPr>
      <w:numPr>
        <w:ilvl w:val="2"/>
        <w:numId w:val="1"/>
      </w:numPr>
      <w:tabs>
        <w:tab w:val="clear" w:pos="2977"/>
      </w:tabs>
      <w:ind w:left="0" w:firstLine="0"/>
    </w:pPr>
    <w:rPr>
      <w:rFonts w:eastAsia="Times New Roman"/>
      <w:lang w:eastAsia="en-GB"/>
    </w:rPr>
  </w:style>
  <w:style w:type="paragraph" w:customStyle="1" w:styleId="ListNumber2Level4">
    <w:name w:val="List Number 2 (Level 4)"/>
    <w:basedOn w:val="Text2"/>
    <w:pPr>
      <w:numPr>
        <w:ilvl w:val="3"/>
        <w:numId w:val="1"/>
      </w:numPr>
      <w:tabs>
        <w:tab w:val="clear" w:pos="3686"/>
      </w:tabs>
      <w:ind w:left="0" w:firstLine="0"/>
    </w:pPr>
    <w:rPr>
      <w:rFonts w:eastAsia="Times New Roman"/>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fr-FR" w:eastAsia="en-GB"/>
    </w:rPr>
  </w:style>
  <w:style w:type="paragraph" w:customStyle="1" w:styleId="Point1letter0">
    <w:name w:val="Point 1 (letter)0"/>
    <w:basedOn w:val="Normal"/>
    <w:pPr>
      <w:tabs>
        <w:tab w:val="num" w:pos="1417"/>
      </w:tabs>
      <w:ind w:left="1417" w:hanging="567"/>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4</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2026-07-17T07:05:00Z</dcterms:created>
  <dcterms:modified xsi:type="dcterms:W3CDTF">2026-09-08T13:05:00Z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2026-07-15T15:13:13Z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02a9ce12-7e9d-4fc1-9ee9-2353cf1b06e6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DQCStatus">
    <vt:lpwstr>Green (DQC version 03)</vt:lpwstr>
  </property>
</Properties>
</file>