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764D65DE-8826-4C82-9B20-B97875B2FD67" style="width:455.25pt;height:409.5pt">
            <v:imagedata r:id="rId7" o:title=""/>
          </v:shape>
        </w:pict>
      </w:r>
    </w:p>
    <w:p>
      <w:pPr>
        <w:rPr>
          <w:noProof/>
        </w:rPr>
        <w:sectPr>
          <w:headerReference w:type="even" r:id="rId8"/>
          <w:headerReference w:type="default" r:id="rId9"/>
          <w:footerReference w:type="even" r:id="rId10"/>
          <w:footerReference w:type="default" r:id="rId11"/>
          <w:headerReference w:type="first" r:id="rId12"/>
          <w:footerReference w:type="first" r:id="rId13"/>
          <w:pgSz w:w="11907" w:h="16839"/>
          <w:pgMar w:top="1134" w:right="1417" w:bottom="1134" w:left="1417" w:header="709" w:footer="709" w:gutter="0"/>
          <w:pgNumType w:start="0"/>
          <w:cols w:space="720"/>
          <w:docGrid w:linePitch="360"/>
        </w:sectPr>
      </w:pPr>
    </w:p>
    <w:p>
      <w:pPr>
        <w:pStyle w:val="Annexetitre"/>
        <w:rPr>
          <w:rStyle w:val="Marker"/>
          <w:noProof/>
        </w:rPr>
      </w:pPr>
      <w:r>
        <w:rPr>
          <w:noProof/>
        </w:rPr>
        <w:lastRenderedPageBreak/>
        <w:t>ANEXA I</w:t>
      </w:r>
    </w:p>
    <w:p>
      <w:pPr>
        <w:rPr>
          <w:noProof/>
        </w:rPr>
      </w:pPr>
    </w:p>
    <w:p>
      <w:pPr>
        <w:pStyle w:val="Point0number"/>
        <w:numPr>
          <w:ilvl w:val="0"/>
          <w:numId w:val="2"/>
        </w:numPr>
        <w:rPr>
          <w:noProof/>
        </w:rPr>
      </w:pPr>
      <w:r>
        <w:rPr>
          <w:noProof/>
        </w:rPr>
        <w:t>Anexa I la Directiva 2003/87/CE se modifică după cum urmează:</w:t>
      </w:r>
    </w:p>
    <w:p>
      <w:pPr>
        <w:pStyle w:val="Point1letter"/>
        <w:rPr>
          <w:noProof/>
        </w:rPr>
      </w:pPr>
      <w:r>
        <w:rPr>
          <w:noProof/>
        </w:rPr>
        <w:t xml:space="preserve">titlul se înlocuiește cu următorul text: </w:t>
      </w:r>
    </w:p>
    <w:p>
      <w:pPr>
        <w:pStyle w:val="Point1letter0"/>
        <w:tabs>
          <w:tab w:val="clear" w:pos="1417"/>
        </w:tabs>
        <w:ind w:firstLine="0"/>
        <w:jc w:val="center"/>
        <w:rPr>
          <w:noProof/>
        </w:rPr>
      </w:pPr>
      <w:r>
        <w:rPr>
          <w:noProof/>
        </w:rPr>
        <w:t>ANEXA I</w:t>
      </w:r>
    </w:p>
    <w:p>
      <w:pPr>
        <w:pStyle w:val="Point1letter0"/>
        <w:tabs>
          <w:tab w:val="clear" w:pos="1417"/>
        </w:tabs>
        <w:ind w:firstLine="0"/>
        <w:jc w:val="center"/>
        <w:rPr>
          <w:noProof/>
        </w:rPr>
      </w:pPr>
      <w:r>
        <w:rPr>
          <w:noProof/>
        </w:rPr>
        <w:t>„AVIAȚIE, TRANSPORT MARITIM ȘI INSTALAȚII”;</w:t>
      </w:r>
    </w:p>
    <w:p>
      <w:pPr>
        <w:pStyle w:val="Point1letter"/>
        <w:rPr>
          <w:noProof/>
        </w:rPr>
      </w:pPr>
      <w:r>
        <w:rPr>
          <w:noProof/>
        </w:rPr>
        <w:t>la punctul 5, se elimină următoarele cuvinte: „sau municipale”;</w:t>
      </w:r>
    </w:p>
    <w:p>
      <w:pPr>
        <w:pStyle w:val="Point1letter0"/>
        <w:tabs>
          <w:tab w:val="clear" w:pos="1417"/>
        </w:tabs>
        <w:ind w:firstLine="0"/>
        <w:rPr>
          <w:noProof/>
        </w:rPr>
      </w:pPr>
    </w:p>
    <w:p>
      <w:pPr>
        <w:pStyle w:val="Point1letter"/>
        <w:rPr>
          <w:noProof/>
        </w:rPr>
      </w:pPr>
      <w:r>
        <w:rPr>
          <w:noProof/>
        </w:rPr>
        <w:t>tabelul se modifică după cum urmează:</w:t>
      </w:r>
    </w:p>
    <w:p>
      <w:pPr>
        <w:pStyle w:val="Text2"/>
        <w:rPr>
          <w:noProof/>
        </w:rPr>
      </w:pPr>
      <w:r>
        <w:rPr>
          <w:noProof/>
        </w:rPr>
        <w:t>(i) primul rând se înlocuiește cu următorul text:</w:t>
      </w:r>
    </w:p>
    <w:tbl>
      <w:tblPr>
        <w:tblStyle w:val="TableGrid"/>
        <w:tblW w:w="0" w:type="auto"/>
        <w:tblInd w:w="2061" w:type="dxa"/>
        <w:tblLook w:val="04A0" w:firstRow="1" w:lastRow="0" w:firstColumn="1" w:lastColumn="0" w:noHBand="0" w:noVBand="1"/>
      </w:tblPr>
      <w:tblGrid>
        <w:gridCol w:w="4993"/>
        <w:gridCol w:w="2235"/>
      </w:tblGrid>
      <w:tr>
        <w:tc>
          <w:tcPr>
            <w:tcW w:w="4993" w:type="dxa"/>
          </w:tcPr>
          <w:tbl>
            <w:tblPr>
              <w:tblW w:w="5000" w:type="pct"/>
              <w:shd w:val="clear" w:color="auto" w:fill="FFFFFF"/>
              <w:tblCellMar>
                <w:left w:w="0" w:type="dxa"/>
                <w:right w:w="0" w:type="dxa"/>
              </w:tblCellMar>
              <w:tblLook w:val="04A0" w:firstRow="1" w:lastRow="0" w:firstColumn="1" w:lastColumn="0" w:noHBand="0" w:noVBand="1"/>
            </w:tblPr>
            <w:tblGrid>
              <w:gridCol w:w="4777"/>
            </w:tblGrid>
            <w:tr>
              <w:tc>
                <w:tcPr>
                  <w:tcW w:w="0" w:type="auto"/>
                  <w:shd w:val="clear" w:color="auto" w:fill="FFFFFF"/>
                  <w:hideMark/>
                </w:tcPr>
                <w:p>
                  <w:pPr>
                    <w:spacing w:before="0" w:after="0"/>
                    <w:jc w:val="left"/>
                    <w:rPr>
                      <w:rFonts w:eastAsia="Times New Roman"/>
                      <w:noProof/>
                      <w:color w:val="333333"/>
                      <w:sz w:val="27"/>
                      <w:szCs w:val="27"/>
                      <w:lang w:eastAsia="en-IE"/>
                    </w:rPr>
                  </w:pPr>
                </w:p>
              </w:tc>
            </w:tr>
          </w:tbl>
          <w:p>
            <w:pPr>
              <w:rPr>
                <w:noProof/>
              </w:rPr>
            </w:pPr>
            <w:r>
              <w:rPr>
                <w:noProof/>
              </w:rPr>
              <w:t>Arderea combustibililor în instalații cu o putere termică nominală totală de peste 20 MW (cu excepția instalațiilor pentru incinerarea deșeurilor periculoase sau municipale)</w:t>
            </w:r>
          </w:p>
        </w:tc>
        <w:tc>
          <w:tcPr>
            <w:tcW w:w="2235" w:type="dxa"/>
          </w:tcPr>
          <w:p>
            <w:pPr>
              <w:rPr>
                <w:noProof/>
              </w:rPr>
            </w:pPr>
            <w:r>
              <w:rPr>
                <w:noProof/>
              </w:rPr>
              <w:t>Dioxid de carbon </w:t>
            </w:r>
          </w:p>
        </w:tc>
      </w:tr>
    </w:tbl>
    <w:p>
      <w:pPr>
        <w:pStyle w:val="Text2"/>
        <w:rPr>
          <w:noProof/>
        </w:rPr>
      </w:pPr>
      <w:r>
        <w:rPr>
          <w:noProof/>
        </w:rPr>
        <w:t>(ii) al douăzeci și patrulea rând se înlocuiește cu următorul text:</w:t>
      </w:r>
    </w:p>
    <w:tbl>
      <w:tblPr>
        <w:tblW w:w="7327" w:type="dxa"/>
        <w:tblInd w:w="1995" w:type="dxa"/>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5059"/>
        <w:gridCol w:w="2268"/>
      </w:tblGrid>
      <w:tr>
        <w:trPr>
          <w:trHeight w:val="690"/>
        </w:trPr>
        <w:tc>
          <w:tcPr>
            <w:tcW w:w="5059" w:type="dxa"/>
            <w:tcBorders>
              <w:right w:val="single" w:sz="4" w:space="0" w:color="auto"/>
            </w:tcBorders>
          </w:tcPr>
          <w:p>
            <w:pPr>
              <w:spacing w:before="60"/>
              <w:rPr>
                <w:noProof/>
              </w:rPr>
            </w:pPr>
            <w:r>
              <w:rPr>
                <w:noProof/>
              </w:rPr>
              <w:t>Producerea de hidrogen (H</w:t>
            </w:r>
            <w:r>
              <w:rPr>
                <w:noProof/>
                <w:sz w:val="17"/>
                <w:vertAlign w:val="subscript"/>
              </w:rPr>
              <w:t>2</w:t>
            </w:r>
            <w:r>
              <w:rPr>
                <w:noProof/>
              </w:rPr>
              <w:t>), inclusiv producerea de hidrogen numai ca produs secundar, și de gaze de sinteză, cu o capacitate de producție care depășește 5 tone pe zi</w:t>
            </w:r>
          </w:p>
        </w:tc>
        <w:tc>
          <w:tcPr>
            <w:tcW w:w="2268" w:type="dxa"/>
            <w:tcBorders>
              <w:left w:val="single" w:sz="4" w:space="0" w:color="auto"/>
            </w:tcBorders>
          </w:tcPr>
          <w:p>
            <w:pPr>
              <w:spacing w:before="60"/>
              <w:rPr>
                <w:noProof/>
              </w:rPr>
            </w:pPr>
            <w:r>
              <w:rPr>
                <w:noProof/>
              </w:rPr>
              <w:t>Dioxid de carbon</w:t>
            </w:r>
          </w:p>
        </w:tc>
      </w:tr>
    </w:tbl>
    <w:p>
      <w:pPr>
        <w:pStyle w:val="Text2"/>
        <w:rPr>
          <w:noProof/>
        </w:rPr>
      </w:pPr>
      <w:r>
        <w:rPr>
          <w:noProof/>
        </w:rPr>
        <w:t>(iii) al douăzeci și șaselea rând se înlocuiește cu următorul text:</w:t>
      </w:r>
    </w:p>
    <w:tbl>
      <w:tblPr>
        <w:tblStyle w:val="TableGrid"/>
        <w:tblW w:w="0" w:type="auto"/>
        <w:tblInd w:w="2061" w:type="dxa"/>
        <w:tblLook w:val="04A0" w:firstRow="1" w:lastRow="0" w:firstColumn="1" w:lastColumn="0" w:noHBand="0" w:noVBand="1"/>
      </w:tblPr>
      <w:tblGrid>
        <w:gridCol w:w="4993"/>
        <w:gridCol w:w="2235"/>
      </w:tblGrid>
      <w:tr>
        <w:tc>
          <w:tcPr>
            <w:tcW w:w="4993" w:type="dxa"/>
          </w:tcPr>
          <w:tbl>
            <w:tblPr>
              <w:tblW w:w="5000" w:type="pct"/>
              <w:shd w:val="clear" w:color="auto" w:fill="FFFFFF"/>
              <w:tblCellMar>
                <w:left w:w="0" w:type="dxa"/>
                <w:right w:w="0" w:type="dxa"/>
              </w:tblCellMar>
              <w:tblLook w:val="04A0" w:firstRow="1" w:lastRow="0" w:firstColumn="1" w:lastColumn="0" w:noHBand="0" w:noVBand="1"/>
            </w:tblPr>
            <w:tblGrid>
              <w:gridCol w:w="4777"/>
            </w:tblGrid>
            <w:tr>
              <w:tc>
                <w:tcPr>
                  <w:tcW w:w="0" w:type="auto"/>
                  <w:shd w:val="clear" w:color="auto" w:fill="FFFFFF" w:themeFill="background1"/>
                  <w:hideMark/>
                </w:tcPr>
                <w:p>
                  <w:pPr>
                    <w:spacing w:before="0" w:after="0"/>
                    <w:jc w:val="left"/>
                    <w:rPr>
                      <w:rFonts w:eastAsia="Times New Roman"/>
                      <w:noProof/>
                      <w:color w:val="333333"/>
                      <w:sz w:val="27"/>
                      <w:szCs w:val="27"/>
                      <w:lang w:eastAsia="en-IE"/>
                    </w:rPr>
                  </w:pPr>
                </w:p>
              </w:tc>
            </w:tr>
          </w:tbl>
          <w:p>
            <w:pPr>
              <w:rPr>
                <w:noProof/>
              </w:rPr>
            </w:pPr>
            <w:r>
              <w:rPr>
                <w:noProof/>
              </w:rPr>
              <w:t>Captarea dioxidului de carbon din activitățile care intră sub incidența prezentei directive</w:t>
            </w:r>
          </w:p>
        </w:tc>
        <w:tc>
          <w:tcPr>
            <w:tcW w:w="2235" w:type="dxa"/>
          </w:tcPr>
          <w:p>
            <w:pPr>
              <w:rPr>
                <w:noProof/>
              </w:rPr>
            </w:pPr>
            <w:r>
              <w:rPr>
                <w:noProof/>
              </w:rPr>
              <w:t>Dioxid de carbon </w:t>
            </w:r>
          </w:p>
        </w:tc>
      </w:tr>
    </w:tbl>
    <w:p>
      <w:pPr>
        <w:pStyle w:val="Text2"/>
        <w:rPr>
          <w:noProof/>
        </w:rPr>
      </w:pPr>
      <w:r>
        <w:rPr>
          <w:noProof/>
        </w:rPr>
        <w:t>(iv) al douăzeci și șaptelea rând se înlocuiește cu următorul text:</w:t>
      </w:r>
    </w:p>
    <w:tbl>
      <w:tblPr>
        <w:tblStyle w:val="TableGrid"/>
        <w:tblW w:w="0" w:type="auto"/>
        <w:tblInd w:w="2061" w:type="dxa"/>
        <w:tblLook w:val="04A0" w:firstRow="1" w:lastRow="0" w:firstColumn="1" w:lastColumn="0" w:noHBand="0" w:noVBand="1"/>
      </w:tblPr>
      <w:tblGrid>
        <w:gridCol w:w="4993"/>
        <w:gridCol w:w="2235"/>
      </w:tblGrid>
      <w:tr>
        <w:tc>
          <w:tcPr>
            <w:tcW w:w="4993" w:type="dxa"/>
          </w:tcPr>
          <w:tbl>
            <w:tblPr>
              <w:tblW w:w="5000" w:type="pct"/>
              <w:shd w:val="clear" w:color="auto" w:fill="FFFFFF"/>
              <w:tblCellMar>
                <w:left w:w="0" w:type="dxa"/>
                <w:right w:w="0" w:type="dxa"/>
              </w:tblCellMar>
              <w:tblLook w:val="04A0" w:firstRow="1" w:lastRow="0" w:firstColumn="1" w:lastColumn="0" w:noHBand="0" w:noVBand="1"/>
            </w:tblPr>
            <w:tblGrid>
              <w:gridCol w:w="4777"/>
            </w:tblGrid>
            <w:tr>
              <w:tc>
                <w:tcPr>
                  <w:tcW w:w="0" w:type="auto"/>
                  <w:shd w:val="clear" w:color="auto" w:fill="FFFFFF" w:themeFill="background1"/>
                  <w:hideMark/>
                </w:tcPr>
                <w:p>
                  <w:pPr>
                    <w:spacing w:before="0" w:after="0"/>
                    <w:jc w:val="left"/>
                    <w:rPr>
                      <w:rFonts w:eastAsia="Times New Roman"/>
                      <w:noProof/>
                      <w:color w:val="333333"/>
                      <w:sz w:val="27"/>
                      <w:szCs w:val="27"/>
                      <w:lang w:eastAsia="en-IE"/>
                    </w:rPr>
                  </w:pPr>
                </w:p>
              </w:tc>
            </w:tr>
          </w:tbl>
          <w:p>
            <w:pPr>
              <w:rPr>
                <w:noProof/>
              </w:rPr>
            </w:pPr>
            <w:r>
              <w:rPr>
                <w:noProof/>
              </w:rPr>
              <w:t>Transportul dioxidului de carbon către o instalație care desfășoară o activitate reglementată de prezenta directivă, cu excepția emisiilor care fac obiectul unei alte activități în temeiul prezentei directive</w:t>
            </w:r>
          </w:p>
        </w:tc>
        <w:tc>
          <w:tcPr>
            <w:tcW w:w="2235" w:type="dxa"/>
          </w:tcPr>
          <w:p>
            <w:pPr>
              <w:rPr>
                <w:noProof/>
              </w:rPr>
            </w:pPr>
            <w:r>
              <w:rPr>
                <w:noProof/>
              </w:rPr>
              <w:t>Dioxid de carbon</w:t>
            </w:r>
          </w:p>
        </w:tc>
      </w:tr>
    </w:tbl>
    <w:p>
      <w:pPr>
        <w:pStyle w:val="Text2"/>
        <w:rPr>
          <w:noProof/>
        </w:rPr>
      </w:pPr>
      <w:r>
        <w:rPr>
          <w:noProof/>
        </w:rPr>
        <w:t>(v) după al douăzeci și optulea rând se introduc următoarele rânduri:</w:t>
      </w:r>
    </w:p>
    <w:tbl>
      <w:tblPr>
        <w:tblStyle w:val="TableGrid"/>
        <w:tblW w:w="0" w:type="auto"/>
        <w:tblInd w:w="2061" w:type="dxa"/>
        <w:tblLook w:val="04A0" w:firstRow="1" w:lastRow="0" w:firstColumn="1" w:lastColumn="0" w:noHBand="0" w:noVBand="1"/>
      </w:tblPr>
      <w:tblGrid>
        <w:gridCol w:w="4993"/>
        <w:gridCol w:w="2235"/>
      </w:tblGrid>
      <w:tr>
        <w:tc>
          <w:tcPr>
            <w:tcW w:w="4993" w:type="dxa"/>
          </w:tcPr>
          <w:tbl>
            <w:tblPr>
              <w:tblW w:w="5000" w:type="pct"/>
              <w:shd w:val="clear" w:color="auto" w:fill="FFFFFF"/>
              <w:tblCellMar>
                <w:left w:w="0" w:type="dxa"/>
                <w:right w:w="0" w:type="dxa"/>
              </w:tblCellMar>
              <w:tblLook w:val="04A0" w:firstRow="1" w:lastRow="0" w:firstColumn="1" w:lastColumn="0" w:noHBand="0" w:noVBand="1"/>
            </w:tblPr>
            <w:tblGrid>
              <w:gridCol w:w="4777"/>
            </w:tblGrid>
            <w:tr>
              <w:tc>
                <w:tcPr>
                  <w:tcW w:w="0" w:type="auto"/>
                  <w:shd w:val="clear" w:color="auto" w:fill="FFFFFF" w:themeFill="background1"/>
                  <w:hideMark/>
                </w:tcPr>
                <w:p>
                  <w:pPr>
                    <w:spacing w:before="0" w:after="0"/>
                    <w:jc w:val="left"/>
                    <w:rPr>
                      <w:rFonts w:eastAsia="Times New Roman"/>
                      <w:noProof/>
                      <w:color w:val="333333"/>
                      <w:sz w:val="27"/>
                      <w:szCs w:val="27"/>
                      <w:lang w:eastAsia="en-IE"/>
                    </w:rPr>
                  </w:pPr>
                </w:p>
              </w:tc>
            </w:tr>
          </w:tbl>
          <w:p>
            <w:pPr>
              <w:rPr>
                <w:noProof/>
              </w:rPr>
            </w:pPr>
            <w:r>
              <w:rPr>
                <w:noProof/>
              </w:rPr>
              <w:t>Prelucrarea dioxidului de carbon rezultat din activitățile reglementate de prezenta directivă, inclusiv purificarea, lichefierea, gazeificarea, depozitarea temporară sau alte servicii similare</w:t>
            </w:r>
          </w:p>
        </w:tc>
        <w:tc>
          <w:tcPr>
            <w:tcW w:w="2235" w:type="dxa"/>
          </w:tcPr>
          <w:p>
            <w:pPr>
              <w:rPr>
                <w:noProof/>
              </w:rPr>
            </w:pPr>
            <w:r>
              <w:rPr>
                <w:noProof/>
              </w:rPr>
              <w:t>Dioxid de carbon</w:t>
            </w:r>
          </w:p>
          <w:p>
            <w:pPr>
              <w:rPr>
                <w:noProof/>
              </w:rPr>
            </w:pPr>
          </w:p>
          <w:p>
            <w:pPr>
              <w:rPr>
                <w:noProof/>
              </w:rPr>
            </w:pPr>
          </w:p>
        </w:tc>
      </w:tr>
      <w:tr>
        <w:tc>
          <w:tcPr>
            <w:tcW w:w="4993" w:type="dxa"/>
          </w:tcPr>
          <w:p>
            <w:pPr>
              <w:spacing w:before="0" w:after="0"/>
              <w:jc w:val="left"/>
              <w:rPr>
                <w:noProof/>
                <w:color w:val="333333"/>
                <w:sz w:val="27"/>
                <w:szCs w:val="27"/>
              </w:rPr>
            </w:pPr>
            <w:r>
              <w:rPr>
                <w:noProof/>
              </w:rPr>
              <w:t>Utilizarea dioxidului de carbon din activitățile reglementate de prezenta directivă care îl leagă chimic de alte molecule pe bază de carbon</w:t>
            </w:r>
          </w:p>
        </w:tc>
        <w:tc>
          <w:tcPr>
            <w:tcW w:w="2235" w:type="dxa"/>
          </w:tcPr>
          <w:p>
            <w:pPr>
              <w:rPr>
                <w:noProof/>
              </w:rPr>
            </w:pPr>
          </w:p>
        </w:tc>
      </w:tr>
      <w:tr>
        <w:tc>
          <w:tcPr>
            <w:tcW w:w="4993" w:type="dxa"/>
          </w:tcPr>
          <w:p>
            <w:pPr>
              <w:spacing w:before="0" w:after="0"/>
              <w:jc w:val="left"/>
              <w:rPr>
                <w:noProof/>
                <w:color w:val="333333"/>
                <w:sz w:val="27"/>
                <w:szCs w:val="27"/>
              </w:rPr>
            </w:pPr>
            <w:r>
              <w:rPr>
                <w:noProof/>
              </w:rPr>
              <w:t>Distribuția de combustibili sintetici care încorporează carbon din dioxid de carbon captat din activitățile reglementate de prezenta directivă</w:t>
            </w:r>
          </w:p>
        </w:tc>
        <w:tc>
          <w:tcPr>
            <w:tcW w:w="2235" w:type="dxa"/>
          </w:tcPr>
          <w:p>
            <w:pPr>
              <w:rPr>
                <w:noProof/>
              </w:rPr>
            </w:pPr>
          </w:p>
        </w:tc>
      </w:tr>
    </w:tbl>
    <w:p>
      <w:pPr>
        <w:pStyle w:val="Text2"/>
        <w:rPr>
          <w:noProof/>
        </w:rPr>
      </w:pPr>
      <w:r>
        <w:rPr>
          <w:noProof/>
        </w:rPr>
        <w:lastRenderedPageBreak/>
        <w:t>(vi) pe rândul douăzeci și nouă referitor la „Aviație” se efectuează următoarele modificări:</w:t>
      </w:r>
    </w:p>
    <w:p>
      <w:pPr>
        <w:pStyle w:val="Point3letter"/>
        <w:rPr>
          <w:noProof/>
        </w:rPr>
      </w:pPr>
      <w:r>
        <w:rPr>
          <w:noProof/>
        </w:rPr>
        <w:t>după prima teză se adaugă o teză:</w:t>
      </w:r>
    </w:p>
    <w:p>
      <w:pPr>
        <w:pStyle w:val="Text2"/>
        <w:ind w:left="2137"/>
        <w:rPr>
          <w:noProof/>
        </w:rPr>
      </w:pPr>
      <w:r>
        <w:rPr>
          <w:noProof/>
        </w:rPr>
        <w:t>„De la 1 ianuarie 2029, zborurile care pleacă de pe un aerodrom situat pe teritoriul unui stat membru căruia i se aplică tratatul, cu excepția operatorilor de aeronave care operează zboruri între două state diferite cu emisii anuale totale mai mici de 10 000 de tone calculate în conformitate cu prezenta anexă.”;</w:t>
      </w:r>
    </w:p>
    <w:p>
      <w:pPr>
        <w:pStyle w:val="Point3letter"/>
        <w:rPr>
          <w:noProof/>
        </w:rPr>
      </w:pPr>
      <w:r>
        <w:rPr>
          <w:noProof/>
        </w:rPr>
        <w:t>litera (j) se înlocuiește cu următorul text:</w:t>
      </w:r>
    </w:p>
    <w:p>
      <w:pPr>
        <w:pStyle w:val="Text2"/>
        <w:ind w:left="2137"/>
        <w:rPr>
          <w:noProof/>
        </w:rPr>
      </w:pPr>
      <w:r>
        <w:rPr>
          <w:noProof/>
        </w:rPr>
        <w:t>„(j) zborurile care, cu excepția prezentei litere, s-ar încadra în această activitate și sunt efectuate de un operator de aeronave care efectuează zboruri cu emisii anuale totale mai mici de 1 000 de tone pe an care intră în domeniul de aplicare al prezentei directive, astfel cum este definit înainte de 2029, sau în domeniul de aplicare al ETS-ului Elveției sau al ETS-ului Regatului Unit.</w:t>
      </w:r>
    </w:p>
    <w:p>
      <w:pPr>
        <w:pStyle w:val="Text2"/>
        <w:ind w:left="2137"/>
        <w:rPr>
          <w:noProof/>
        </w:rPr>
      </w:pPr>
      <w:r>
        <w:rPr>
          <w:noProof/>
        </w:rPr>
        <w:t>Zborurile menționate la literele (l) și (m) sau cele efectuate exclusiv pentru transportul, în misiune oficială, al unor monarhi în exercițiu și al rudelor apropiate ale acestora, al șefilor de stat, al șefilor de guvern și al miniștrilor unui stat membru nu pot fi excluse în temeiul prezentei litere;”;</w:t>
      </w:r>
    </w:p>
    <w:p>
      <w:pPr>
        <w:pStyle w:val="Point3letter"/>
        <w:rPr>
          <w:noProof/>
        </w:rPr>
      </w:pPr>
      <w:r>
        <w:rPr>
          <w:noProof/>
        </w:rPr>
        <w:t>litera (k) se înlocuiește cu următorul text:</w:t>
      </w:r>
    </w:p>
    <w:p>
      <w:pPr>
        <w:pStyle w:val="Text2"/>
        <w:ind w:left="2137"/>
        <w:rPr>
          <w:noProof/>
        </w:rPr>
      </w:pPr>
      <w:r>
        <w:rPr>
          <w:noProof/>
        </w:rPr>
        <w:t>„(k) zborurile care, cu excepția prezentei litere, s-ar încadra în această activitate, efectuate de un operator de aeronave care operează zboruri cu emisii anuale totale care fac obiectul obligației de restituire în temeiul articolului 12 alineatul (3) litera (b) mai mici de 1 000 de tone pe an, fără a lua în considerare emisiile pentru care obligația de restituire este considerată îndeplinită în temeiul articolului 3c alineatul (8) sau al articolului 28a alineatul (1)”;</w:t>
      </w:r>
    </w:p>
    <w:p>
      <w:pPr>
        <w:pStyle w:val="Text2"/>
        <w:rPr>
          <w:noProof/>
        </w:rPr>
      </w:pPr>
    </w:p>
    <w:p>
      <w:pPr>
        <w:pStyle w:val="Text2"/>
        <w:rPr>
          <w:noProof/>
        </w:rPr>
      </w:pPr>
      <w:r>
        <w:rPr>
          <w:noProof/>
        </w:rPr>
        <w:t xml:space="preserve">(vii) al treizecilea rând se înlocuiește cu următorul text: </w:t>
      </w:r>
    </w:p>
    <w:tbl>
      <w:tblPr>
        <w:tblStyle w:val="TableGrid"/>
        <w:tblW w:w="0" w:type="auto"/>
        <w:tblInd w:w="2061" w:type="dxa"/>
        <w:tblLook w:val="04A0" w:firstRow="1" w:lastRow="0" w:firstColumn="1" w:lastColumn="0" w:noHBand="0" w:noVBand="1"/>
      </w:tblPr>
      <w:tblGrid>
        <w:gridCol w:w="4993"/>
        <w:gridCol w:w="2235"/>
      </w:tblGrid>
      <w:tr>
        <w:tc>
          <w:tcPr>
            <w:tcW w:w="4993" w:type="dxa"/>
          </w:tcPr>
          <w:p>
            <w:pPr>
              <w:spacing w:before="60"/>
              <w:rPr>
                <w:noProof/>
                <w:szCs w:val="24"/>
              </w:rPr>
            </w:pPr>
            <w:r>
              <w:rPr>
                <w:noProof/>
              </w:rPr>
              <w:t>Transport maritim</w:t>
            </w:r>
          </w:p>
          <w:p>
            <w:pPr>
              <w:rPr>
                <w:noProof/>
              </w:rPr>
            </w:pPr>
            <w:r>
              <w:rPr>
                <w:noProof/>
              </w:rPr>
              <w:t xml:space="preserve">Activități de transport maritim care intră sub incidența Regulamentului (UE) 2015/757, cu excepția activităților de transport maritim care intră sub incidența articolului 2 alineatul (1d) literele (e) și (f), și, până la 31 decembrie 2030, activitățile de transport maritim care intră sub incidența articolului 2 alineatele (1a), (1aa), (1ba) și alineatul (1d) literele (a)-(d) din regulamentul respectiv și, începând cu 1 ianuarie 2031, activitățile de transport maritim care intră sub incidența articolului 2 alineatul (1b) din regulamentul respectiv. </w:t>
            </w:r>
          </w:p>
        </w:tc>
        <w:tc>
          <w:tcPr>
            <w:tcW w:w="2235" w:type="dxa"/>
          </w:tcPr>
          <w:p>
            <w:pPr>
              <w:spacing w:before="60"/>
              <w:rPr>
                <w:noProof/>
                <w:szCs w:val="24"/>
              </w:rPr>
            </w:pPr>
            <w:r>
              <w:rPr>
                <w:noProof/>
              </w:rPr>
              <w:t>Dioxid de carbon</w:t>
            </w:r>
          </w:p>
          <w:p>
            <w:pPr>
              <w:rPr>
                <w:noProof/>
              </w:rPr>
            </w:pPr>
            <w:r>
              <w:rPr>
                <w:noProof/>
              </w:rPr>
              <w:t>Începând cu 1 ianuarie 2026, metan și protoxid de azot</w:t>
            </w:r>
          </w:p>
        </w:tc>
      </w:tr>
    </w:tbl>
    <w:p>
      <w:pPr>
        <w:pStyle w:val="Text2"/>
        <w:rPr>
          <w:noProof/>
        </w:rPr>
      </w:pPr>
      <w:r>
        <w:rPr>
          <w:noProof/>
        </w:rPr>
        <w:t>(viii) se adaugă următoarele rânduri:</w:t>
      </w:r>
    </w:p>
    <w:tbl>
      <w:tblPr>
        <w:tblStyle w:val="TableGrid"/>
        <w:tblW w:w="0" w:type="auto"/>
        <w:tblInd w:w="2061" w:type="dxa"/>
        <w:tblLook w:val="04A0" w:firstRow="1" w:lastRow="0" w:firstColumn="1" w:lastColumn="0" w:noHBand="0" w:noVBand="1"/>
      </w:tblPr>
      <w:tblGrid>
        <w:gridCol w:w="4993"/>
        <w:gridCol w:w="2235"/>
      </w:tblGrid>
      <w:tr>
        <w:tc>
          <w:tcPr>
            <w:tcW w:w="4993" w:type="dxa"/>
          </w:tcPr>
          <w:p>
            <w:pPr>
              <w:spacing w:before="0" w:after="0"/>
              <w:jc w:val="left"/>
              <w:rPr>
                <w:noProof/>
              </w:rPr>
            </w:pPr>
            <w:r>
              <w:rPr>
                <w:noProof/>
              </w:rPr>
              <w:t>Incinerarea deșeurilor și coincinerarea deșeurilor</w:t>
            </w:r>
          </w:p>
          <w:p>
            <w:pPr>
              <w:spacing w:before="0" w:after="0"/>
              <w:jc w:val="left"/>
              <w:rPr>
                <w:noProof/>
                <w:color w:val="000000" w:themeColor="text1"/>
              </w:rPr>
            </w:pPr>
          </w:p>
          <w:p>
            <w:pPr>
              <w:spacing w:before="0" w:after="0"/>
              <w:jc w:val="left"/>
              <w:rPr>
                <w:noProof/>
                <w:color w:val="000000" w:themeColor="text1"/>
              </w:rPr>
            </w:pPr>
            <w:r>
              <w:rPr>
                <w:noProof/>
                <w:color w:val="000000" w:themeColor="text1"/>
              </w:rPr>
              <w:lastRenderedPageBreak/>
              <w:t>Începând cu 1 ianuarie 2031, eliminarea sau valorificarea deșeurilor în instalații de incinerare a deșeurilor sau în instalații de coincinerare a deșeurilor, astfel cum sunt definite la articolul 3 punctele 40 și 41 din Directiva 2010/75/UE a Parlamentului European și a Consiliului, pentru deșeurile nepericuloase cu o capacitate de peste 3 tone pe oră, excluzând reciclarea chimică.</w:t>
            </w:r>
          </w:p>
        </w:tc>
        <w:tc>
          <w:tcPr>
            <w:tcW w:w="2235" w:type="dxa"/>
          </w:tcPr>
          <w:p>
            <w:pPr>
              <w:rPr>
                <w:noProof/>
              </w:rPr>
            </w:pPr>
            <w:r>
              <w:rPr>
                <w:noProof/>
              </w:rPr>
              <w:lastRenderedPageBreak/>
              <w:t>Dioxid de carbon </w:t>
            </w:r>
          </w:p>
        </w:tc>
      </w:tr>
      <w:tr>
        <w:tc>
          <w:tcPr>
            <w:tcW w:w="4993" w:type="dxa"/>
          </w:tcPr>
          <w:tbl>
            <w:tblPr>
              <w:tblW w:w="5000" w:type="pct"/>
              <w:shd w:val="clear" w:color="auto" w:fill="FFFFFF"/>
              <w:tblCellMar>
                <w:left w:w="0" w:type="dxa"/>
                <w:right w:w="0" w:type="dxa"/>
              </w:tblCellMar>
              <w:tblLook w:val="04A0" w:firstRow="1" w:lastRow="0" w:firstColumn="1" w:lastColumn="0" w:noHBand="0" w:noVBand="1"/>
            </w:tblPr>
            <w:tblGrid>
              <w:gridCol w:w="4777"/>
            </w:tblGrid>
            <w:tr>
              <w:tc>
                <w:tcPr>
                  <w:tcW w:w="0" w:type="auto"/>
                  <w:shd w:val="clear" w:color="auto" w:fill="FFFFFF"/>
                  <w:hideMark/>
                </w:tcPr>
                <w:p>
                  <w:pPr>
                    <w:spacing w:before="0" w:after="0"/>
                    <w:jc w:val="left"/>
                    <w:rPr>
                      <w:rFonts w:eastAsia="Times New Roman"/>
                      <w:noProof/>
                      <w:szCs w:val="24"/>
                      <w:lang w:eastAsia="en-IE"/>
                    </w:rPr>
                  </w:pPr>
                </w:p>
              </w:tc>
            </w:tr>
          </w:tbl>
          <w:p>
            <w:pPr>
              <w:tabs>
                <w:tab w:val="num" w:pos="360"/>
              </w:tabs>
              <w:spacing w:before="0" w:after="0"/>
              <w:jc w:val="left"/>
              <w:textAlignment w:val="baseline"/>
              <w:rPr>
                <w:noProof/>
              </w:rPr>
            </w:pPr>
            <w:r>
              <w:rPr>
                <w:noProof/>
              </w:rPr>
              <w:t>Până la 31 iulie 2029, Comisia raportează dacă a fost îndeplinită una sau ambele condiții de mai jos:</w:t>
            </w:r>
          </w:p>
          <w:p>
            <w:pPr>
              <w:numPr>
                <w:ilvl w:val="0"/>
                <w:numId w:val="3"/>
              </w:numPr>
              <w:rPr>
                <w:noProof/>
              </w:rPr>
            </w:pPr>
            <w:r>
              <w:rPr>
                <w:noProof/>
              </w:rPr>
              <w:t>instituirea registrului (registrelor) depozitelor de deșeuri în temeiul articolului [X] din Regulamentul (UE) […./..] [Actul legislativ privind economia circulară pentru asigurarea integrității de mediu și evitarea eludării; și </w:t>
            </w:r>
          </w:p>
          <w:p>
            <w:pPr>
              <w:numPr>
                <w:ilvl w:val="0"/>
                <w:numId w:val="3"/>
              </w:numPr>
              <w:rPr>
                <w:noProof/>
              </w:rPr>
            </w:pPr>
            <w:r>
              <w:rPr>
                <w:noProof/>
              </w:rPr>
              <w:t>Concluziile privind cele mai bune tehnici disponibile pentru depozitele de deșeuri au fost publicate în Jurnalul Oficial al Uniunii Europene în temeiul articolului 13 din Directiva 2010/75/UE.</w:t>
            </w:r>
          </w:p>
          <w:p>
            <w:pPr>
              <w:rPr>
                <w:noProof/>
              </w:rPr>
            </w:pPr>
            <w:r>
              <w:rPr>
                <w:noProof/>
              </w:rPr>
              <w:t xml:space="preserve">În cazul în care sunt îndeplinite ambele condiții menționate, articolele 14 și 15 se aplică depozitelor de deșeuri în care se realizează eliminarea sau valorificarea deșeurilor nepericuloase începând cu 1 ianuarie 2031. </w:t>
            </w:r>
          </w:p>
          <w:p>
            <w:pPr>
              <w:rPr>
                <w:noProof/>
              </w:rPr>
            </w:pPr>
            <w:r>
              <w:rPr>
                <w:noProof/>
              </w:rPr>
              <w:t>În cazul în care nu este îndeplinită una dintre condiții sau nu sunt îndeplinite ambele condiții menționate, articolele 14 și 15 se aplică depozitelor de deșeuri în care se realizează eliminarea sau valorificarea deșeurilor nepericuloase începând cu 1 ianuarie 2034.</w:t>
            </w:r>
          </w:p>
        </w:tc>
        <w:tc>
          <w:tcPr>
            <w:tcW w:w="2235" w:type="dxa"/>
          </w:tcPr>
          <w:p>
            <w:pPr>
              <w:rPr>
                <w:noProof/>
              </w:rPr>
            </w:pPr>
            <w:r>
              <w:rPr>
                <w:noProof/>
              </w:rPr>
              <w:t>Dioxid de carbon </w:t>
            </w:r>
          </w:p>
        </w:tc>
      </w:tr>
    </w:tbl>
    <w:p>
      <w:pPr>
        <w:rPr>
          <w:noProof/>
        </w:rPr>
      </w:pPr>
    </w:p>
    <w:p>
      <w:pPr>
        <w:pStyle w:val="Text2"/>
        <w:rPr>
          <w:noProof/>
        </w:rPr>
      </w:pPr>
    </w:p>
    <w:p>
      <w:pPr>
        <w:pStyle w:val="Point0number"/>
        <w:numPr>
          <w:ilvl w:val="0"/>
          <w:numId w:val="4"/>
        </w:numPr>
        <w:rPr>
          <w:noProof/>
        </w:rPr>
      </w:pPr>
      <w:r>
        <w:rPr>
          <w:noProof/>
        </w:rPr>
        <w:t xml:space="preserve">anexa IIb la Directiva 2003/87/CE se înlocuiește cu următorul text: </w:t>
      </w:r>
    </w:p>
    <w:p>
      <w:pPr>
        <w:jc w:val="center"/>
        <w:rPr>
          <w:noProof/>
        </w:rPr>
      </w:pPr>
      <w:r>
        <w:rPr>
          <w:noProof/>
        </w:rPr>
        <w:t>ANEXA IIb</w:t>
      </w:r>
    </w:p>
    <w:p>
      <w:pPr>
        <w:ind w:left="850"/>
        <w:jc w:val="center"/>
        <w:rPr>
          <w:b/>
          <w:noProof/>
        </w:rPr>
      </w:pPr>
      <w:r>
        <w:rPr>
          <w:b/>
          <w:noProof/>
        </w:rPr>
        <w:t>Distribuirea fondurilor din Fondul pentru modernizare în conformitate cu articolul 10 alineatul (1)</w:t>
      </w:r>
    </w:p>
    <w:p>
      <w:pPr>
        <w:ind w:left="850"/>
        <w:jc w:val="center"/>
        <w:rPr>
          <w:bCs/>
          <w:noProof/>
        </w:rPr>
      </w:pPr>
    </w:p>
    <w:tbl>
      <w:tblPr>
        <w:tblStyle w:val="TableGrid"/>
        <w:tblW w:w="2700" w:type="dxa"/>
        <w:tblInd w:w="2767" w:type="dxa"/>
        <w:tblLook w:val="04A0" w:firstRow="1" w:lastRow="0" w:firstColumn="1" w:lastColumn="0" w:noHBand="0" w:noVBand="1"/>
      </w:tblPr>
      <w:tblGrid>
        <w:gridCol w:w="1740"/>
        <w:gridCol w:w="1016"/>
      </w:tblGrid>
      <w:tr>
        <w:trPr>
          <w:trHeight w:val="290"/>
        </w:trPr>
        <w:tc>
          <w:tcPr>
            <w:tcW w:w="1740" w:type="dxa"/>
            <w:noWrap/>
            <w:hideMark/>
          </w:tcPr>
          <w:p>
            <w:pPr>
              <w:rPr>
                <w:bCs/>
                <w:noProof/>
              </w:rPr>
            </w:pPr>
            <w:r>
              <w:rPr>
                <w:noProof/>
              </w:rPr>
              <w:t>Bulgaria</w:t>
            </w:r>
          </w:p>
        </w:tc>
        <w:tc>
          <w:tcPr>
            <w:tcW w:w="960" w:type="dxa"/>
            <w:noWrap/>
            <w:hideMark/>
          </w:tcPr>
          <w:p>
            <w:pPr>
              <w:rPr>
                <w:bCs/>
                <w:noProof/>
              </w:rPr>
            </w:pPr>
            <w:r>
              <w:rPr>
                <w:noProof/>
              </w:rPr>
              <w:t>5,44 %</w:t>
            </w:r>
          </w:p>
        </w:tc>
      </w:tr>
      <w:tr>
        <w:trPr>
          <w:trHeight w:val="290"/>
        </w:trPr>
        <w:tc>
          <w:tcPr>
            <w:tcW w:w="1740" w:type="dxa"/>
            <w:noWrap/>
          </w:tcPr>
          <w:p>
            <w:pPr>
              <w:rPr>
                <w:bCs/>
                <w:noProof/>
              </w:rPr>
            </w:pPr>
            <w:r>
              <w:rPr>
                <w:noProof/>
              </w:rPr>
              <w:t>Cehia</w:t>
            </w:r>
          </w:p>
        </w:tc>
        <w:tc>
          <w:tcPr>
            <w:tcW w:w="960" w:type="dxa"/>
            <w:noWrap/>
          </w:tcPr>
          <w:p>
            <w:pPr>
              <w:rPr>
                <w:bCs/>
                <w:noProof/>
              </w:rPr>
            </w:pPr>
            <w:r>
              <w:rPr>
                <w:noProof/>
              </w:rPr>
              <w:t>13,02 %</w:t>
            </w:r>
          </w:p>
        </w:tc>
      </w:tr>
      <w:tr>
        <w:trPr>
          <w:trHeight w:val="290"/>
        </w:trPr>
        <w:tc>
          <w:tcPr>
            <w:tcW w:w="1740" w:type="dxa"/>
            <w:noWrap/>
          </w:tcPr>
          <w:p>
            <w:pPr>
              <w:rPr>
                <w:bCs/>
                <w:noProof/>
              </w:rPr>
            </w:pPr>
            <w:r>
              <w:rPr>
                <w:noProof/>
              </w:rPr>
              <w:t>Estonia</w:t>
            </w:r>
          </w:p>
        </w:tc>
        <w:tc>
          <w:tcPr>
            <w:tcW w:w="960" w:type="dxa"/>
            <w:noWrap/>
          </w:tcPr>
          <w:p>
            <w:pPr>
              <w:rPr>
                <w:bCs/>
                <w:noProof/>
              </w:rPr>
            </w:pPr>
            <w:r>
              <w:rPr>
                <w:noProof/>
              </w:rPr>
              <w:t>1,62 %</w:t>
            </w:r>
          </w:p>
        </w:tc>
      </w:tr>
      <w:tr>
        <w:trPr>
          <w:trHeight w:val="290"/>
        </w:trPr>
        <w:tc>
          <w:tcPr>
            <w:tcW w:w="1740" w:type="dxa"/>
            <w:noWrap/>
          </w:tcPr>
          <w:p>
            <w:pPr>
              <w:rPr>
                <w:bCs/>
                <w:noProof/>
              </w:rPr>
            </w:pPr>
            <w:r>
              <w:rPr>
                <w:noProof/>
              </w:rPr>
              <w:lastRenderedPageBreak/>
              <w:t>Grecia</w:t>
            </w:r>
          </w:p>
        </w:tc>
        <w:tc>
          <w:tcPr>
            <w:tcW w:w="960" w:type="dxa"/>
            <w:noWrap/>
          </w:tcPr>
          <w:p>
            <w:pPr>
              <w:rPr>
                <w:bCs/>
                <w:noProof/>
              </w:rPr>
            </w:pPr>
            <w:r>
              <w:rPr>
                <w:noProof/>
              </w:rPr>
              <w:t>8,42 %</w:t>
            </w:r>
          </w:p>
        </w:tc>
      </w:tr>
      <w:tr>
        <w:trPr>
          <w:trHeight w:val="290"/>
        </w:trPr>
        <w:tc>
          <w:tcPr>
            <w:tcW w:w="1740" w:type="dxa"/>
            <w:noWrap/>
          </w:tcPr>
          <w:p>
            <w:pPr>
              <w:rPr>
                <w:bCs/>
                <w:noProof/>
              </w:rPr>
            </w:pPr>
            <w:r>
              <w:rPr>
                <w:noProof/>
              </w:rPr>
              <w:t>Croația</w:t>
            </w:r>
          </w:p>
        </w:tc>
        <w:tc>
          <w:tcPr>
            <w:tcW w:w="960" w:type="dxa"/>
            <w:noWrap/>
          </w:tcPr>
          <w:p>
            <w:pPr>
              <w:rPr>
                <w:bCs/>
                <w:noProof/>
              </w:rPr>
            </w:pPr>
            <w:r>
              <w:rPr>
                <w:noProof/>
              </w:rPr>
              <w:t>2,43 %</w:t>
            </w:r>
          </w:p>
        </w:tc>
      </w:tr>
      <w:tr>
        <w:trPr>
          <w:trHeight w:val="290"/>
        </w:trPr>
        <w:tc>
          <w:tcPr>
            <w:tcW w:w="1740" w:type="dxa"/>
            <w:noWrap/>
          </w:tcPr>
          <w:p>
            <w:pPr>
              <w:rPr>
                <w:bCs/>
                <w:noProof/>
              </w:rPr>
            </w:pPr>
            <w:r>
              <w:rPr>
                <w:noProof/>
              </w:rPr>
              <w:t>Letonia</w:t>
            </w:r>
          </w:p>
        </w:tc>
        <w:tc>
          <w:tcPr>
            <w:tcW w:w="960" w:type="dxa"/>
            <w:noWrap/>
          </w:tcPr>
          <w:p>
            <w:pPr>
              <w:rPr>
                <w:bCs/>
                <w:noProof/>
              </w:rPr>
            </w:pPr>
            <w:r>
              <w:rPr>
                <w:noProof/>
              </w:rPr>
              <w:t>1,01 %</w:t>
            </w:r>
          </w:p>
        </w:tc>
      </w:tr>
      <w:tr>
        <w:trPr>
          <w:trHeight w:val="290"/>
        </w:trPr>
        <w:tc>
          <w:tcPr>
            <w:tcW w:w="1740" w:type="dxa"/>
            <w:noWrap/>
          </w:tcPr>
          <w:p>
            <w:pPr>
              <w:rPr>
                <w:bCs/>
                <w:noProof/>
              </w:rPr>
            </w:pPr>
            <w:r>
              <w:rPr>
                <w:noProof/>
              </w:rPr>
              <w:t>Lituania</w:t>
            </w:r>
          </w:p>
        </w:tc>
        <w:tc>
          <w:tcPr>
            <w:tcW w:w="960" w:type="dxa"/>
            <w:noWrap/>
          </w:tcPr>
          <w:p>
            <w:pPr>
              <w:rPr>
                <w:bCs/>
                <w:noProof/>
              </w:rPr>
            </w:pPr>
            <w:r>
              <w:rPr>
                <w:noProof/>
              </w:rPr>
              <w:t>2,17 %</w:t>
            </w:r>
          </w:p>
        </w:tc>
      </w:tr>
      <w:tr>
        <w:trPr>
          <w:trHeight w:val="290"/>
        </w:trPr>
        <w:tc>
          <w:tcPr>
            <w:tcW w:w="1740" w:type="dxa"/>
            <w:noWrap/>
          </w:tcPr>
          <w:p>
            <w:pPr>
              <w:rPr>
                <w:bCs/>
                <w:noProof/>
              </w:rPr>
            </w:pPr>
            <w:r>
              <w:rPr>
                <w:noProof/>
              </w:rPr>
              <w:t>Ungaria</w:t>
            </w:r>
          </w:p>
        </w:tc>
        <w:tc>
          <w:tcPr>
            <w:tcW w:w="960" w:type="dxa"/>
            <w:noWrap/>
          </w:tcPr>
          <w:p>
            <w:pPr>
              <w:rPr>
                <w:bCs/>
                <w:noProof/>
              </w:rPr>
            </w:pPr>
            <w:r>
              <w:rPr>
                <w:noProof/>
              </w:rPr>
              <w:t>5,78 %</w:t>
            </w:r>
          </w:p>
        </w:tc>
      </w:tr>
      <w:tr>
        <w:trPr>
          <w:trHeight w:val="290"/>
        </w:trPr>
        <w:tc>
          <w:tcPr>
            <w:tcW w:w="1740" w:type="dxa"/>
            <w:noWrap/>
          </w:tcPr>
          <w:p>
            <w:pPr>
              <w:rPr>
                <w:bCs/>
                <w:noProof/>
              </w:rPr>
            </w:pPr>
            <w:r>
              <w:rPr>
                <w:noProof/>
              </w:rPr>
              <w:t>Polonia</w:t>
            </w:r>
          </w:p>
        </w:tc>
        <w:tc>
          <w:tcPr>
            <w:tcW w:w="960" w:type="dxa"/>
            <w:noWrap/>
          </w:tcPr>
          <w:p>
            <w:pPr>
              <w:rPr>
                <w:bCs/>
                <w:noProof/>
              </w:rPr>
            </w:pPr>
            <w:r>
              <w:rPr>
                <w:noProof/>
              </w:rPr>
              <w:t>38,14 %</w:t>
            </w:r>
          </w:p>
        </w:tc>
      </w:tr>
      <w:tr>
        <w:trPr>
          <w:trHeight w:val="290"/>
        </w:trPr>
        <w:tc>
          <w:tcPr>
            <w:tcW w:w="1740" w:type="dxa"/>
            <w:noWrap/>
          </w:tcPr>
          <w:p>
            <w:pPr>
              <w:rPr>
                <w:bCs/>
                <w:noProof/>
              </w:rPr>
            </w:pPr>
            <w:r>
              <w:rPr>
                <w:noProof/>
              </w:rPr>
              <w:t>Portugalia</w:t>
            </w:r>
          </w:p>
        </w:tc>
        <w:tc>
          <w:tcPr>
            <w:tcW w:w="960" w:type="dxa"/>
            <w:noWrap/>
          </w:tcPr>
          <w:p>
            <w:pPr>
              <w:rPr>
                <w:bCs/>
                <w:noProof/>
              </w:rPr>
            </w:pPr>
            <w:r>
              <w:rPr>
                <w:noProof/>
              </w:rPr>
              <w:t>7,26 %</w:t>
            </w:r>
          </w:p>
        </w:tc>
      </w:tr>
      <w:tr>
        <w:trPr>
          <w:trHeight w:val="290"/>
        </w:trPr>
        <w:tc>
          <w:tcPr>
            <w:tcW w:w="1740" w:type="dxa"/>
            <w:noWrap/>
            <w:hideMark/>
          </w:tcPr>
          <w:p>
            <w:pPr>
              <w:rPr>
                <w:bCs/>
                <w:noProof/>
              </w:rPr>
            </w:pPr>
            <w:r>
              <w:rPr>
                <w:noProof/>
              </w:rPr>
              <w:t>România</w:t>
            </w:r>
          </w:p>
        </w:tc>
        <w:tc>
          <w:tcPr>
            <w:tcW w:w="960" w:type="dxa"/>
            <w:noWrap/>
            <w:hideMark/>
          </w:tcPr>
          <w:p>
            <w:pPr>
              <w:rPr>
                <w:bCs/>
                <w:noProof/>
              </w:rPr>
            </w:pPr>
            <w:r>
              <w:rPr>
                <w:noProof/>
              </w:rPr>
              <w:t>9,92 %</w:t>
            </w:r>
          </w:p>
        </w:tc>
      </w:tr>
      <w:tr>
        <w:trPr>
          <w:trHeight w:val="290"/>
        </w:trPr>
        <w:tc>
          <w:tcPr>
            <w:tcW w:w="1740" w:type="dxa"/>
            <w:noWrap/>
            <w:hideMark/>
          </w:tcPr>
          <w:p>
            <w:pPr>
              <w:rPr>
                <w:bCs/>
                <w:noProof/>
              </w:rPr>
            </w:pPr>
            <w:r>
              <w:rPr>
                <w:noProof/>
              </w:rPr>
              <w:t>Slovacia</w:t>
            </w:r>
          </w:p>
        </w:tc>
        <w:tc>
          <w:tcPr>
            <w:tcW w:w="960" w:type="dxa"/>
            <w:noWrap/>
            <w:hideMark/>
          </w:tcPr>
          <w:p>
            <w:pPr>
              <w:rPr>
                <w:bCs/>
                <w:noProof/>
              </w:rPr>
            </w:pPr>
            <w:r>
              <w:rPr>
                <w:noProof/>
              </w:rPr>
              <w:t>4,78 %</w:t>
            </w:r>
          </w:p>
        </w:tc>
      </w:tr>
    </w:tbl>
    <w:p>
      <w:pPr>
        <w:ind w:left="850"/>
        <w:jc w:val="center"/>
        <w:rPr>
          <w:bCs/>
          <w:noProof/>
        </w:rPr>
      </w:pPr>
    </w:p>
    <w:p>
      <w:pPr>
        <w:pStyle w:val="Point0number"/>
        <w:numPr>
          <w:ilvl w:val="0"/>
          <w:numId w:val="4"/>
        </w:numPr>
        <w:rPr>
          <w:noProof/>
        </w:rPr>
      </w:pPr>
      <w:r>
        <w:rPr>
          <w:noProof/>
        </w:rPr>
        <w:t>anexa IV la Directiva 2003/87/CE se modifică după cum urmează:</w:t>
      </w:r>
    </w:p>
    <w:p>
      <w:pPr>
        <w:pStyle w:val="Text1"/>
        <w:rPr>
          <w:noProof/>
        </w:rPr>
      </w:pPr>
      <w:r>
        <w:rPr>
          <w:noProof/>
        </w:rPr>
        <w:t>(a) în titlul părții A, cuvântul „staționare” se elimină;</w:t>
      </w:r>
    </w:p>
    <w:p>
      <w:pPr>
        <w:pStyle w:val="Text1"/>
        <w:rPr>
          <w:noProof/>
        </w:rPr>
      </w:pPr>
      <w:r>
        <w:rPr>
          <w:noProof/>
        </w:rPr>
        <w:t>(b) în partea A, secțiunea „Calculul” se modifică după cum urmează:</w:t>
      </w:r>
    </w:p>
    <w:p>
      <w:pPr>
        <w:pStyle w:val="Text1"/>
        <w:rPr>
          <w:noProof/>
        </w:rPr>
      </w:pPr>
      <w:r>
        <w:rPr>
          <w:noProof/>
        </w:rPr>
        <w:t>(c) la al treilea paragraf se adaugă următorul text:</w:t>
      </w:r>
    </w:p>
    <w:p>
      <w:pPr>
        <w:pStyle w:val="Text2"/>
        <w:rPr>
          <w:noProof/>
        </w:rPr>
      </w:pPr>
      <w:r>
        <w:rPr>
          <w:noProof/>
        </w:rPr>
        <w:t>„Dioxidul de carbon captat din atmosferă sau din surse cu un factor de emisie zero are un factor de emisie zero, cu excepția cazului în care CO</w:t>
      </w:r>
      <w:r>
        <w:rPr>
          <w:noProof/>
          <w:vertAlign w:val="subscript"/>
        </w:rPr>
        <w:t>2</w:t>
      </w:r>
      <w:r>
        <w:rPr>
          <w:noProof/>
        </w:rPr>
        <w:t xml:space="preserve"> respectiv se scurge, este evacuat în atmosferă sau eliberat în alt mod dintr-un sit de stocare geologică permanentă.”;</w:t>
      </w:r>
    </w:p>
    <w:p>
      <w:pPr>
        <w:pStyle w:val="Point0number"/>
        <w:numPr>
          <w:ilvl w:val="0"/>
          <w:numId w:val="4"/>
        </w:numPr>
        <w:rPr>
          <w:noProof/>
          <w:szCs w:val="24"/>
        </w:rPr>
      </w:pPr>
      <w:r>
        <w:rPr>
          <w:noProof/>
        </w:rPr>
        <w:t>în anexa V la Directiva 2003/87/CE, în titlul părții A, cuvântul „staționare” se elimină.</w:t>
      </w:r>
    </w:p>
    <w:p>
      <w:pPr>
        <w:rPr>
          <w:noProof/>
        </w:rPr>
        <w:sectPr>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20"/>
          <w:docGrid w:linePitch="360"/>
        </w:sectPr>
      </w:pPr>
    </w:p>
    <w:p>
      <w:pPr>
        <w:pStyle w:val="Annexetitre"/>
        <w:rPr>
          <w:noProof/>
        </w:rPr>
      </w:pPr>
      <w:r>
        <w:rPr>
          <w:noProof/>
        </w:rPr>
        <w:lastRenderedPageBreak/>
        <w:t>ANEXA II</w:t>
      </w:r>
    </w:p>
    <w:p>
      <w:pPr>
        <w:rPr>
          <w:noProof/>
        </w:rPr>
      </w:pPr>
    </w:p>
    <w:p>
      <w:pPr>
        <w:rPr>
          <w:noProof/>
        </w:rPr>
      </w:pPr>
      <w:r>
        <w:rPr>
          <w:noProof/>
        </w:rPr>
        <w:t>La Decizia 2015/1814 se adaugă următoarea anexă:</w:t>
      </w:r>
    </w:p>
    <w:p>
      <w:pPr>
        <w:rPr>
          <w:b/>
          <w:noProof/>
        </w:rPr>
      </w:pPr>
      <w:bookmarkStart w:id="0" w:name="_Hlk230337102"/>
    </w:p>
    <w:p>
      <w:pPr>
        <w:jc w:val="center"/>
        <w:rPr>
          <w:b/>
          <w:noProof/>
        </w:rPr>
      </w:pPr>
      <w:r>
        <w:rPr>
          <w:b/>
          <w:noProof/>
        </w:rPr>
        <w:t>ANEXĂ</w:t>
      </w:r>
    </w:p>
    <w:p>
      <w:pPr>
        <w:jc w:val="center"/>
        <w:rPr>
          <w:b/>
          <w:i/>
          <w:iCs/>
          <w:noProof/>
        </w:rPr>
      </w:pPr>
      <w:r>
        <w:rPr>
          <w:b/>
          <w:i/>
          <w:noProof/>
        </w:rPr>
        <w:t>Parametrii dinamici</w:t>
      </w:r>
    </w:p>
    <w:bookmarkEnd w:id="0"/>
    <w:p>
      <w:pPr>
        <w:rPr>
          <w:i/>
          <w:noProof/>
        </w:rPr>
      </w:pPr>
      <w:r>
        <w:rPr>
          <w:i/>
          <w:noProof/>
        </w:rPr>
        <w:t xml:space="preserve">Parametrii dinamici ai RSP care scad cu o rată anuală de 4 % pe an </w:t>
      </w:r>
    </w:p>
    <w:tbl>
      <w:tblPr>
        <w:tblW w:w="908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065"/>
        <w:gridCol w:w="618"/>
        <w:gridCol w:w="618"/>
        <w:gridCol w:w="618"/>
        <w:gridCol w:w="617"/>
        <w:gridCol w:w="617"/>
        <w:gridCol w:w="617"/>
        <w:gridCol w:w="617"/>
        <w:gridCol w:w="617"/>
        <w:gridCol w:w="617"/>
        <w:gridCol w:w="617"/>
        <w:gridCol w:w="617"/>
        <w:gridCol w:w="617"/>
        <w:gridCol w:w="617"/>
      </w:tblGrid>
      <w:tr>
        <w:tc>
          <w:tcPr>
            <w:tcW w:w="1065" w:type="dxa"/>
            <w:tcBorders>
              <w:top w:val="single" w:sz="6" w:space="0" w:color="auto"/>
              <w:left w:val="single" w:sz="6" w:space="0" w:color="auto"/>
              <w:bottom w:val="single" w:sz="6" w:space="0" w:color="auto"/>
              <w:right w:val="single" w:sz="6" w:space="0" w:color="auto"/>
            </w:tcBorders>
            <w:vAlign w:val="center"/>
            <w:hideMark/>
          </w:tcPr>
          <w:p>
            <w:pPr>
              <w:rPr>
                <w:b/>
                <w:noProof/>
                <w:sz w:val="20"/>
                <w:szCs w:val="20"/>
              </w:rPr>
            </w:pPr>
            <w:r>
              <w:rPr>
                <w:b/>
                <w:i/>
                <w:noProof/>
                <w:sz w:val="20"/>
              </w:rPr>
              <w:t>Milioane de certificate de emisii</w:t>
            </w:r>
            <w:r>
              <w:rPr>
                <w:b/>
                <w:noProof/>
                <w:sz w:val="20"/>
              </w:rPr>
              <w:t xml:space="preserve"> </w:t>
            </w:r>
          </w:p>
        </w:tc>
        <w:tc>
          <w:tcPr>
            <w:tcW w:w="618" w:type="dxa"/>
            <w:tcBorders>
              <w:top w:val="single" w:sz="6" w:space="0" w:color="auto"/>
              <w:left w:val="single" w:sz="6" w:space="0" w:color="auto"/>
              <w:bottom w:val="single" w:sz="6" w:space="0" w:color="auto"/>
              <w:right w:val="single" w:sz="6" w:space="0" w:color="auto"/>
            </w:tcBorders>
            <w:vAlign w:val="center"/>
            <w:hideMark/>
          </w:tcPr>
          <w:p>
            <w:pPr>
              <w:rPr>
                <w:b/>
                <w:noProof/>
                <w:sz w:val="20"/>
                <w:szCs w:val="20"/>
              </w:rPr>
            </w:pPr>
            <w:r>
              <w:rPr>
                <w:b/>
                <w:noProof/>
                <w:sz w:val="20"/>
              </w:rPr>
              <w:t xml:space="preserve">2028 </w:t>
            </w:r>
          </w:p>
        </w:tc>
        <w:tc>
          <w:tcPr>
            <w:tcW w:w="618" w:type="dxa"/>
            <w:tcBorders>
              <w:top w:val="single" w:sz="6" w:space="0" w:color="auto"/>
              <w:left w:val="single" w:sz="6" w:space="0" w:color="auto"/>
              <w:bottom w:val="single" w:sz="6" w:space="0" w:color="auto"/>
              <w:right w:val="single" w:sz="6" w:space="0" w:color="auto"/>
            </w:tcBorders>
            <w:vAlign w:val="center"/>
            <w:hideMark/>
          </w:tcPr>
          <w:p>
            <w:pPr>
              <w:rPr>
                <w:b/>
                <w:noProof/>
                <w:sz w:val="20"/>
                <w:szCs w:val="20"/>
              </w:rPr>
            </w:pPr>
            <w:r>
              <w:rPr>
                <w:b/>
                <w:noProof/>
                <w:sz w:val="20"/>
              </w:rPr>
              <w:t xml:space="preserve">2029 </w:t>
            </w:r>
          </w:p>
        </w:tc>
        <w:tc>
          <w:tcPr>
            <w:tcW w:w="618" w:type="dxa"/>
            <w:tcBorders>
              <w:top w:val="single" w:sz="6" w:space="0" w:color="auto"/>
              <w:left w:val="single" w:sz="6" w:space="0" w:color="auto"/>
              <w:bottom w:val="single" w:sz="6" w:space="0" w:color="auto"/>
              <w:right w:val="single" w:sz="6" w:space="0" w:color="auto"/>
            </w:tcBorders>
            <w:vAlign w:val="center"/>
            <w:hideMark/>
          </w:tcPr>
          <w:p>
            <w:pPr>
              <w:rPr>
                <w:b/>
                <w:noProof/>
                <w:sz w:val="20"/>
                <w:szCs w:val="20"/>
              </w:rPr>
            </w:pPr>
            <w:r>
              <w:rPr>
                <w:b/>
                <w:noProof/>
                <w:sz w:val="20"/>
              </w:rPr>
              <w:t xml:space="preserve">2030 </w:t>
            </w:r>
          </w:p>
        </w:tc>
        <w:tc>
          <w:tcPr>
            <w:tcW w:w="617" w:type="dxa"/>
            <w:tcBorders>
              <w:top w:val="single" w:sz="6" w:space="0" w:color="auto"/>
              <w:left w:val="single" w:sz="6" w:space="0" w:color="auto"/>
              <w:bottom w:val="single" w:sz="6" w:space="0" w:color="auto"/>
              <w:right w:val="single" w:sz="6" w:space="0" w:color="auto"/>
            </w:tcBorders>
            <w:vAlign w:val="center"/>
            <w:hideMark/>
          </w:tcPr>
          <w:p>
            <w:pPr>
              <w:rPr>
                <w:b/>
                <w:noProof/>
                <w:sz w:val="20"/>
                <w:szCs w:val="20"/>
              </w:rPr>
            </w:pPr>
            <w:r>
              <w:rPr>
                <w:b/>
                <w:noProof/>
                <w:sz w:val="20"/>
              </w:rPr>
              <w:t xml:space="preserve">2031 </w:t>
            </w:r>
          </w:p>
        </w:tc>
        <w:tc>
          <w:tcPr>
            <w:tcW w:w="617" w:type="dxa"/>
            <w:tcBorders>
              <w:top w:val="single" w:sz="6" w:space="0" w:color="auto"/>
              <w:left w:val="single" w:sz="6" w:space="0" w:color="auto"/>
              <w:bottom w:val="single" w:sz="6" w:space="0" w:color="auto"/>
              <w:right w:val="single" w:sz="6" w:space="0" w:color="auto"/>
            </w:tcBorders>
            <w:vAlign w:val="center"/>
            <w:hideMark/>
          </w:tcPr>
          <w:p>
            <w:pPr>
              <w:rPr>
                <w:b/>
                <w:noProof/>
                <w:sz w:val="20"/>
                <w:szCs w:val="20"/>
              </w:rPr>
            </w:pPr>
            <w:r>
              <w:rPr>
                <w:b/>
                <w:noProof/>
                <w:sz w:val="20"/>
              </w:rPr>
              <w:t xml:space="preserve">2032 </w:t>
            </w:r>
          </w:p>
        </w:tc>
        <w:tc>
          <w:tcPr>
            <w:tcW w:w="617" w:type="dxa"/>
            <w:tcBorders>
              <w:top w:val="single" w:sz="6" w:space="0" w:color="auto"/>
              <w:left w:val="single" w:sz="6" w:space="0" w:color="auto"/>
              <w:bottom w:val="single" w:sz="6" w:space="0" w:color="auto"/>
              <w:right w:val="single" w:sz="6" w:space="0" w:color="auto"/>
            </w:tcBorders>
            <w:vAlign w:val="center"/>
            <w:hideMark/>
          </w:tcPr>
          <w:p>
            <w:pPr>
              <w:rPr>
                <w:b/>
                <w:noProof/>
                <w:sz w:val="20"/>
                <w:szCs w:val="20"/>
              </w:rPr>
            </w:pPr>
            <w:r>
              <w:rPr>
                <w:b/>
                <w:noProof/>
                <w:sz w:val="20"/>
              </w:rPr>
              <w:t xml:space="preserve">2033 </w:t>
            </w:r>
          </w:p>
        </w:tc>
        <w:tc>
          <w:tcPr>
            <w:tcW w:w="617" w:type="dxa"/>
            <w:tcBorders>
              <w:top w:val="single" w:sz="6" w:space="0" w:color="auto"/>
              <w:left w:val="single" w:sz="6" w:space="0" w:color="auto"/>
              <w:bottom w:val="single" w:sz="6" w:space="0" w:color="auto"/>
              <w:right w:val="single" w:sz="6" w:space="0" w:color="auto"/>
            </w:tcBorders>
            <w:vAlign w:val="center"/>
            <w:hideMark/>
          </w:tcPr>
          <w:p>
            <w:pPr>
              <w:rPr>
                <w:b/>
                <w:noProof/>
                <w:sz w:val="20"/>
                <w:szCs w:val="20"/>
              </w:rPr>
            </w:pPr>
            <w:r>
              <w:rPr>
                <w:b/>
                <w:noProof/>
                <w:sz w:val="20"/>
              </w:rPr>
              <w:t xml:space="preserve">2034 </w:t>
            </w:r>
          </w:p>
        </w:tc>
        <w:tc>
          <w:tcPr>
            <w:tcW w:w="617" w:type="dxa"/>
            <w:tcBorders>
              <w:top w:val="single" w:sz="6" w:space="0" w:color="auto"/>
              <w:left w:val="single" w:sz="6" w:space="0" w:color="auto"/>
              <w:bottom w:val="single" w:sz="6" w:space="0" w:color="auto"/>
              <w:right w:val="single" w:sz="6" w:space="0" w:color="auto"/>
            </w:tcBorders>
            <w:vAlign w:val="center"/>
            <w:hideMark/>
          </w:tcPr>
          <w:p>
            <w:pPr>
              <w:rPr>
                <w:b/>
                <w:noProof/>
                <w:sz w:val="20"/>
                <w:szCs w:val="20"/>
              </w:rPr>
            </w:pPr>
            <w:r>
              <w:rPr>
                <w:b/>
                <w:noProof/>
                <w:sz w:val="20"/>
              </w:rPr>
              <w:t xml:space="preserve">2035 </w:t>
            </w:r>
          </w:p>
        </w:tc>
        <w:tc>
          <w:tcPr>
            <w:tcW w:w="617" w:type="dxa"/>
            <w:tcBorders>
              <w:top w:val="single" w:sz="6" w:space="0" w:color="auto"/>
              <w:left w:val="single" w:sz="6" w:space="0" w:color="auto"/>
              <w:bottom w:val="single" w:sz="6" w:space="0" w:color="auto"/>
              <w:right w:val="single" w:sz="6" w:space="0" w:color="auto"/>
            </w:tcBorders>
            <w:vAlign w:val="center"/>
            <w:hideMark/>
          </w:tcPr>
          <w:p>
            <w:pPr>
              <w:rPr>
                <w:b/>
                <w:noProof/>
                <w:sz w:val="20"/>
                <w:szCs w:val="20"/>
              </w:rPr>
            </w:pPr>
            <w:r>
              <w:rPr>
                <w:b/>
                <w:noProof/>
                <w:sz w:val="20"/>
              </w:rPr>
              <w:t xml:space="preserve">2036 </w:t>
            </w:r>
          </w:p>
        </w:tc>
        <w:tc>
          <w:tcPr>
            <w:tcW w:w="617" w:type="dxa"/>
            <w:tcBorders>
              <w:top w:val="single" w:sz="6" w:space="0" w:color="auto"/>
              <w:left w:val="single" w:sz="6" w:space="0" w:color="auto"/>
              <w:bottom w:val="single" w:sz="6" w:space="0" w:color="auto"/>
              <w:right w:val="single" w:sz="6" w:space="0" w:color="auto"/>
            </w:tcBorders>
            <w:vAlign w:val="center"/>
            <w:hideMark/>
          </w:tcPr>
          <w:p>
            <w:pPr>
              <w:rPr>
                <w:b/>
                <w:noProof/>
                <w:sz w:val="20"/>
                <w:szCs w:val="20"/>
              </w:rPr>
            </w:pPr>
            <w:r>
              <w:rPr>
                <w:b/>
                <w:noProof/>
                <w:sz w:val="20"/>
              </w:rPr>
              <w:t xml:space="preserve">2037 </w:t>
            </w:r>
          </w:p>
        </w:tc>
        <w:tc>
          <w:tcPr>
            <w:tcW w:w="617" w:type="dxa"/>
            <w:tcBorders>
              <w:top w:val="single" w:sz="6" w:space="0" w:color="auto"/>
              <w:left w:val="single" w:sz="6" w:space="0" w:color="auto"/>
              <w:bottom w:val="single" w:sz="6" w:space="0" w:color="auto"/>
              <w:right w:val="single" w:sz="6" w:space="0" w:color="auto"/>
            </w:tcBorders>
            <w:vAlign w:val="center"/>
            <w:hideMark/>
          </w:tcPr>
          <w:p>
            <w:pPr>
              <w:rPr>
                <w:b/>
                <w:noProof/>
                <w:sz w:val="20"/>
                <w:szCs w:val="20"/>
              </w:rPr>
            </w:pPr>
            <w:r>
              <w:rPr>
                <w:b/>
                <w:noProof/>
                <w:sz w:val="20"/>
              </w:rPr>
              <w:t xml:space="preserve">2038 </w:t>
            </w:r>
          </w:p>
        </w:tc>
        <w:tc>
          <w:tcPr>
            <w:tcW w:w="617" w:type="dxa"/>
            <w:tcBorders>
              <w:top w:val="single" w:sz="6" w:space="0" w:color="auto"/>
              <w:left w:val="single" w:sz="6" w:space="0" w:color="auto"/>
              <w:bottom w:val="single" w:sz="6" w:space="0" w:color="auto"/>
              <w:right w:val="single" w:sz="6" w:space="0" w:color="auto"/>
            </w:tcBorders>
            <w:vAlign w:val="center"/>
            <w:hideMark/>
          </w:tcPr>
          <w:p>
            <w:pPr>
              <w:rPr>
                <w:b/>
                <w:noProof/>
                <w:sz w:val="20"/>
                <w:szCs w:val="20"/>
              </w:rPr>
            </w:pPr>
            <w:r>
              <w:rPr>
                <w:b/>
                <w:noProof/>
                <w:sz w:val="20"/>
              </w:rPr>
              <w:t xml:space="preserve">2039 </w:t>
            </w:r>
          </w:p>
        </w:tc>
        <w:tc>
          <w:tcPr>
            <w:tcW w:w="617" w:type="dxa"/>
            <w:tcBorders>
              <w:top w:val="single" w:sz="6" w:space="0" w:color="auto"/>
              <w:left w:val="single" w:sz="6" w:space="0" w:color="auto"/>
              <w:bottom w:val="single" w:sz="6" w:space="0" w:color="auto"/>
              <w:right w:val="single" w:sz="6" w:space="0" w:color="auto"/>
            </w:tcBorders>
            <w:vAlign w:val="center"/>
            <w:hideMark/>
          </w:tcPr>
          <w:p>
            <w:pPr>
              <w:rPr>
                <w:b/>
                <w:noProof/>
                <w:sz w:val="20"/>
                <w:szCs w:val="20"/>
              </w:rPr>
            </w:pPr>
            <w:r>
              <w:rPr>
                <w:b/>
                <w:noProof/>
                <w:sz w:val="20"/>
              </w:rPr>
              <w:t xml:space="preserve">2040 </w:t>
            </w:r>
          </w:p>
        </w:tc>
      </w:tr>
      <w:tr>
        <w:tc>
          <w:tcPr>
            <w:tcW w:w="1065" w:type="dxa"/>
            <w:tcBorders>
              <w:top w:val="single" w:sz="6" w:space="0" w:color="auto"/>
              <w:left w:val="single" w:sz="6" w:space="0" w:color="auto"/>
              <w:bottom w:val="single" w:sz="6" w:space="0" w:color="auto"/>
              <w:right w:val="single" w:sz="6" w:space="0" w:color="auto"/>
            </w:tcBorders>
            <w:vAlign w:val="center"/>
            <w:hideMark/>
          </w:tcPr>
          <w:p>
            <w:pPr>
              <w:rPr>
                <w:noProof/>
                <w:sz w:val="20"/>
                <w:szCs w:val="20"/>
              </w:rPr>
            </w:pPr>
            <w:r>
              <w:rPr>
                <w:b/>
                <w:noProof/>
                <w:sz w:val="20"/>
              </w:rPr>
              <w:t>Tampon superior</w:t>
            </w:r>
            <w:r>
              <w:rPr>
                <w:noProof/>
                <w:sz w:val="20"/>
              </w:rPr>
              <w:t xml:space="preserve"> </w:t>
            </w:r>
          </w:p>
        </w:tc>
        <w:tc>
          <w:tcPr>
            <w:tcW w:w="618" w:type="dxa"/>
            <w:tcBorders>
              <w:top w:val="single" w:sz="6" w:space="0" w:color="auto"/>
              <w:left w:val="single" w:sz="6" w:space="0" w:color="auto"/>
              <w:bottom w:val="single" w:sz="6" w:space="0" w:color="auto"/>
              <w:right w:val="single" w:sz="6" w:space="0" w:color="auto"/>
            </w:tcBorders>
          </w:tcPr>
          <w:p>
            <w:pPr>
              <w:rPr>
                <w:noProof/>
                <w:sz w:val="20"/>
                <w:szCs w:val="20"/>
              </w:rPr>
            </w:pPr>
            <w:r>
              <w:rPr>
                <w:noProof/>
                <w:sz w:val="20"/>
              </w:rPr>
              <w:t>947</w:t>
            </w:r>
          </w:p>
        </w:tc>
        <w:tc>
          <w:tcPr>
            <w:tcW w:w="618" w:type="dxa"/>
            <w:tcBorders>
              <w:top w:val="single" w:sz="6" w:space="0" w:color="auto"/>
              <w:left w:val="single" w:sz="6" w:space="0" w:color="auto"/>
              <w:bottom w:val="single" w:sz="6" w:space="0" w:color="auto"/>
              <w:right w:val="single" w:sz="6" w:space="0" w:color="auto"/>
            </w:tcBorders>
          </w:tcPr>
          <w:p>
            <w:pPr>
              <w:rPr>
                <w:noProof/>
                <w:sz w:val="20"/>
                <w:szCs w:val="20"/>
              </w:rPr>
            </w:pPr>
            <w:r>
              <w:rPr>
                <w:noProof/>
                <w:sz w:val="20"/>
              </w:rPr>
              <w:t>909</w:t>
            </w:r>
          </w:p>
        </w:tc>
        <w:tc>
          <w:tcPr>
            <w:tcW w:w="618" w:type="dxa"/>
            <w:tcBorders>
              <w:top w:val="single" w:sz="6" w:space="0" w:color="auto"/>
              <w:left w:val="single" w:sz="6" w:space="0" w:color="auto"/>
              <w:bottom w:val="single" w:sz="6" w:space="0" w:color="auto"/>
              <w:right w:val="single" w:sz="6" w:space="0" w:color="auto"/>
            </w:tcBorders>
          </w:tcPr>
          <w:p>
            <w:pPr>
              <w:rPr>
                <w:noProof/>
                <w:sz w:val="20"/>
                <w:szCs w:val="20"/>
              </w:rPr>
            </w:pPr>
            <w:r>
              <w:rPr>
                <w:noProof/>
                <w:sz w:val="20"/>
              </w:rPr>
              <w:t>872</w:t>
            </w:r>
          </w:p>
        </w:tc>
        <w:tc>
          <w:tcPr>
            <w:tcW w:w="617" w:type="dxa"/>
            <w:tcBorders>
              <w:top w:val="single" w:sz="6" w:space="0" w:color="auto"/>
              <w:left w:val="single" w:sz="6" w:space="0" w:color="auto"/>
              <w:bottom w:val="single" w:sz="6" w:space="0" w:color="auto"/>
              <w:right w:val="single" w:sz="6" w:space="0" w:color="auto"/>
            </w:tcBorders>
          </w:tcPr>
          <w:p>
            <w:pPr>
              <w:rPr>
                <w:noProof/>
                <w:sz w:val="20"/>
                <w:szCs w:val="20"/>
              </w:rPr>
            </w:pPr>
            <w:r>
              <w:rPr>
                <w:noProof/>
                <w:sz w:val="20"/>
              </w:rPr>
              <w:t>837</w:t>
            </w:r>
          </w:p>
        </w:tc>
        <w:tc>
          <w:tcPr>
            <w:tcW w:w="617" w:type="dxa"/>
            <w:tcBorders>
              <w:top w:val="single" w:sz="6" w:space="0" w:color="auto"/>
              <w:left w:val="single" w:sz="6" w:space="0" w:color="auto"/>
              <w:bottom w:val="single" w:sz="6" w:space="0" w:color="auto"/>
              <w:right w:val="single" w:sz="6" w:space="0" w:color="auto"/>
            </w:tcBorders>
          </w:tcPr>
          <w:p>
            <w:pPr>
              <w:rPr>
                <w:noProof/>
                <w:sz w:val="20"/>
                <w:szCs w:val="20"/>
              </w:rPr>
            </w:pPr>
            <w:r>
              <w:rPr>
                <w:noProof/>
                <w:sz w:val="20"/>
              </w:rPr>
              <w:t>804</w:t>
            </w:r>
          </w:p>
        </w:tc>
        <w:tc>
          <w:tcPr>
            <w:tcW w:w="617" w:type="dxa"/>
            <w:tcBorders>
              <w:top w:val="single" w:sz="6" w:space="0" w:color="auto"/>
              <w:left w:val="single" w:sz="6" w:space="0" w:color="auto"/>
              <w:bottom w:val="single" w:sz="6" w:space="0" w:color="auto"/>
              <w:right w:val="single" w:sz="6" w:space="0" w:color="auto"/>
            </w:tcBorders>
          </w:tcPr>
          <w:p>
            <w:pPr>
              <w:rPr>
                <w:noProof/>
                <w:sz w:val="20"/>
                <w:szCs w:val="20"/>
              </w:rPr>
            </w:pPr>
            <w:r>
              <w:rPr>
                <w:noProof/>
                <w:sz w:val="20"/>
              </w:rPr>
              <w:t>772</w:t>
            </w:r>
          </w:p>
        </w:tc>
        <w:tc>
          <w:tcPr>
            <w:tcW w:w="617" w:type="dxa"/>
            <w:tcBorders>
              <w:top w:val="single" w:sz="6" w:space="0" w:color="auto"/>
              <w:left w:val="single" w:sz="6" w:space="0" w:color="auto"/>
              <w:bottom w:val="single" w:sz="6" w:space="0" w:color="auto"/>
              <w:right w:val="single" w:sz="6" w:space="0" w:color="auto"/>
            </w:tcBorders>
          </w:tcPr>
          <w:p>
            <w:pPr>
              <w:rPr>
                <w:noProof/>
                <w:sz w:val="20"/>
                <w:szCs w:val="20"/>
              </w:rPr>
            </w:pPr>
            <w:r>
              <w:rPr>
                <w:noProof/>
                <w:sz w:val="20"/>
              </w:rPr>
              <w:t>741</w:t>
            </w:r>
          </w:p>
        </w:tc>
        <w:tc>
          <w:tcPr>
            <w:tcW w:w="617" w:type="dxa"/>
            <w:tcBorders>
              <w:top w:val="single" w:sz="6" w:space="0" w:color="auto"/>
              <w:left w:val="single" w:sz="6" w:space="0" w:color="auto"/>
              <w:bottom w:val="single" w:sz="6" w:space="0" w:color="auto"/>
              <w:right w:val="single" w:sz="6" w:space="0" w:color="auto"/>
            </w:tcBorders>
          </w:tcPr>
          <w:p>
            <w:pPr>
              <w:rPr>
                <w:noProof/>
                <w:sz w:val="20"/>
                <w:szCs w:val="20"/>
              </w:rPr>
            </w:pPr>
            <w:r>
              <w:rPr>
                <w:noProof/>
                <w:sz w:val="20"/>
              </w:rPr>
              <w:t>711</w:t>
            </w:r>
          </w:p>
        </w:tc>
        <w:tc>
          <w:tcPr>
            <w:tcW w:w="617" w:type="dxa"/>
            <w:tcBorders>
              <w:top w:val="single" w:sz="6" w:space="0" w:color="auto"/>
              <w:left w:val="single" w:sz="6" w:space="0" w:color="auto"/>
              <w:bottom w:val="single" w:sz="6" w:space="0" w:color="auto"/>
              <w:right w:val="single" w:sz="6" w:space="0" w:color="auto"/>
            </w:tcBorders>
          </w:tcPr>
          <w:p>
            <w:pPr>
              <w:rPr>
                <w:noProof/>
                <w:sz w:val="20"/>
                <w:szCs w:val="20"/>
              </w:rPr>
            </w:pPr>
            <w:r>
              <w:rPr>
                <w:noProof/>
                <w:sz w:val="20"/>
              </w:rPr>
              <w:t>683</w:t>
            </w:r>
          </w:p>
        </w:tc>
        <w:tc>
          <w:tcPr>
            <w:tcW w:w="617" w:type="dxa"/>
            <w:tcBorders>
              <w:top w:val="single" w:sz="6" w:space="0" w:color="auto"/>
              <w:left w:val="single" w:sz="6" w:space="0" w:color="auto"/>
              <w:bottom w:val="single" w:sz="6" w:space="0" w:color="auto"/>
              <w:right w:val="single" w:sz="6" w:space="0" w:color="auto"/>
            </w:tcBorders>
          </w:tcPr>
          <w:p>
            <w:pPr>
              <w:rPr>
                <w:noProof/>
                <w:sz w:val="20"/>
                <w:szCs w:val="20"/>
              </w:rPr>
            </w:pPr>
            <w:r>
              <w:rPr>
                <w:noProof/>
                <w:sz w:val="20"/>
              </w:rPr>
              <w:t>656</w:t>
            </w:r>
          </w:p>
        </w:tc>
        <w:tc>
          <w:tcPr>
            <w:tcW w:w="617" w:type="dxa"/>
            <w:tcBorders>
              <w:top w:val="single" w:sz="6" w:space="0" w:color="auto"/>
              <w:left w:val="single" w:sz="6" w:space="0" w:color="auto"/>
              <w:bottom w:val="single" w:sz="6" w:space="0" w:color="auto"/>
              <w:right w:val="single" w:sz="6" w:space="0" w:color="auto"/>
            </w:tcBorders>
          </w:tcPr>
          <w:p>
            <w:pPr>
              <w:rPr>
                <w:noProof/>
                <w:sz w:val="20"/>
                <w:szCs w:val="20"/>
              </w:rPr>
            </w:pPr>
            <w:r>
              <w:rPr>
                <w:noProof/>
                <w:sz w:val="20"/>
              </w:rPr>
              <w:t>629</w:t>
            </w:r>
          </w:p>
        </w:tc>
        <w:tc>
          <w:tcPr>
            <w:tcW w:w="617" w:type="dxa"/>
            <w:tcBorders>
              <w:top w:val="single" w:sz="6" w:space="0" w:color="auto"/>
              <w:left w:val="single" w:sz="6" w:space="0" w:color="auto"/>
              <w:bottom w:val="single" w:sz="6" w:space="0" w:color="auto"/>
              <w:right w:val="single" w:sz="6" w:space="0" w:color="auto"/>
            </w:tcBorders>
          </w:tcPr>
          <w:p>
            <w:pPr>
              <w:rPr>
                <w:noProof/>
                <w:sz w:val="20"/>
                <w:szCs w:val="20"/>
              </w:rPr>
            </w:pPr>
            <w:r>
              <w:rPr>
                <w:noProof/>
                <w:sz w:val="20"/>
              </w:rPr>
              <w:t>604</w:t>
            </w:r>
          </w:p>
        </w:tc>
        <w:tc>
          <w:tcPr>
            <w:tcW w:w="617" w:type="dxa"/>
            <w:tcBorders>
              <w:top w:val="single" w:sz="6" w:space="0" w:color="auto"/>
              <w:left w:val="single" w:sz="6" w:space="0" w:color="auto"/>
              <w:bottom w:val="single" w:sz="6" w:space="0" w:color="auto"/>
              <w:right w:val="single" w:sz="6" w:space="0" w:color="auto"/>
            </w:tcBorders>
          </w:tcPr>
          <w:p>
            <w:pPr>
              <w:rPr>
                <w:noProof/>
                <w:sz w:val="20"/>
                <w:szCs w:val="20"/>
              </w:rPr>
            </w:pPr>
            <w:r>
              <w:rPr>
                <w:noProof/>
                <w:sz w:val="20"/>
              </w:rPr>
              <w:t>580</w:t>
            </w:r>
          </w:p>
        </w:tc>
      </w:tr>
      <w:tr>
        <w:tc>
          <w:tcPr>
            <w:tcW w:w="1065" w:type="dxa"/>
            <w:tcBorders>
              <w:top w:val="single" w:sz="6" w:space="0" w:color="auto"/>
              <w:left w:val="single" w:sz="6" w:space="0" w:color="auto"/>
              <w:bottom w:val="single" w:sz="6" w:space="0" w:color="auto"/>
              <w:right w:val="single" w:sz="6" w:space="0" w:color="auto"/>
            </w:tcBorders>
            <w:vAlign w:val="center"/>
            <w:hideMark/>
          </w:tcPr>
          <w:p>
            <w:pPr>
              <w:rPr>
                <w:noProof/>
                <w:sz w:val="20"/>
                <w:szCs w:val="20"/>
              </w:rPr>
            </w:pPr>
            <w:r>
              <w:rPr>
                <w:b/>
                <w:noProof/>
                <w:sz w:val="20"/>
              </w:rPr>
              <w:t>Prag superior</w:t>
            </w:r>
            <w:r>
              <w:rPr>
                <w:noProof/>
                <w:sz w:val="20"/>
              </w:rPr>
              <w:t xml:space="preserve"> </w:t>
            </w:r>
          </w:p>
        </w:tc>
        <w:tc>
          <w:tcPr>
            <w:tcW w:w="618" w:type="dxa"/>
            <w:tcBorders>
              <w:top w:val="single" w:sz="6" w:space="0" w:color="auto"/>
              <w:left w:val="single" w:sz="6" w:space="0" w:color="auto"/>
              <w:bottom w:val="single" w:sz="6" w:space="0" w:color="auto"/>
              <w:right w:val="single" w:sz="6" w:space="0" w:color="auto"/>
            </w:tcBorders>
          </w:tcPr>
          <w:p>
            <w:pPr>
              <w:rPr>
                <w:noProof/>
                <w:sz w:val="20"/>
                <w:szCs w:val="20"/>
              </w:rPr>
            </w:pPr>
            <w:r>
              <w:rPr>
                <w:noProof/>
                <w:sz w:val="20"/>
              </w:rPr>
              <w:t>833</w:t>
            </w:r>
          </w:p>
        </w:tc>
        <w:tc>
          <w:tcPr>
            <w:tcW w:w="618" w:type="dxa"/>
            <w:tcBorders>
              <w:top w:val="single" w:sz="6" w:space="0" w:color="auto"/>
              <w:left w:val="single" w:sz="6" w:space="0" w:color="auto"/>
              <w:bottom w:val="single" w:sz="6" w:space="0" w:color="auto"/>
              <w:right w:val="single" w:sz="6" w:space="0" w:color="auto"/>
            </w:tcBorders>
          </w:tcPr>
          <w:p>
            <w:pPr>
              <w:rPr>
                <w:noProof/>
                <w:sz w:val="20"/>
                <w:szCs w:val="20"/>
              </w:rPr>
            </w:pPr>
            <w:r>
              <w:rPr>
                <w:noProof/>
                <w:sz w:val="20"/>
              </w:rPr>
              <w:t>800</w:t>
            </w:r>
          </w:p>
        </w:tc>
        <w:tc>
          <w:tcPr>
            <w:tcW w:w="618" w:type="dxa"/>
            <w:tcBorders>
              <w:top w:val="single" w:sz="6" w:space="0" w:color="auto"/>
              <w:left w:val="single" w:sz="6" w:space="0" w:color="auto"/>
              <w:bottom w:val="single" w:sz="6" w:space="0" w:color="auto"/>
              <w:right w:val="single" w:sz="6" w:space="0" w:color="auto"/>
            </w:tcBorders>
          </w:tcPr>
          <w:p>
            <w:pPr>
              <w:rPr>
                <w:noProof/>
                <w:sz w:val="20"/>
                <w:szCs w:val="20"/>
              </w:rPr>
            </w:pPr>
            <w:r>
              <w:rPr>
                <w:noProof/>
                <w:sz w:val="20"/>
              </w:rPr>
              <w:t>768</w:t>
            </w:r>
          </w:p>
        </w:tc>
        <w:tc>
          <w:tcPr>
            <w:tcW w:w="617" w:type="dxa"/>
            <w:tcBorders>
              <w:top w:val="single" w:sz="6" w:space="0" w:color="auto"/>
              <w:left w:val="single" w:sz="6" w:space="0" w:color="auto"/>
              <w:bottom w:val="single" w:sz="6" w:space="0" w:color="auto"/>
              <w:right w:val="single" w:sz="6" w:space="0" w:color="auto"/>
            </w:tcBorders>
          </w:tcPr>
          <w:p>
            <w:pPr>
              <w:rPr>
                <w:noProof/>
                <w:sz w:val="20"/>
                <w:szCs w:val="20"/>
              </w:rPr>
            </w:pPr>
            <w:r>
              <w:rPr>
                <w:noProof/>
                <w:sz w:val="20"/>
              </w:rPr>
              <w:t>737</w:t>
            </w:r>
          </w:p>
        </w:tc>
        <w:tc>
          <w:tcPr>
            <w:tcW w:w="617" w:type="dxa"/>
            <w:tcBorders>
              <w:top w:val="single" w:sz="6" w:space="0" w:color="auto"/>
              <w:left w:val="single" w:sz="6" w:space="0" w:color="auto"/>
              <w:bottom w:val="single" w:sz="6" w:space="0" w:color="auto"/>
              <w:right w:val="single" w:sz="6" w:space="0" w:color="auto"/>
            </w:tcBorders>
          </w:tcPr>
          <w:p>
            <w:pPr>
              <w:rPr>
                <w:noProof/>
                <w:sz w:val="20"/>
                <w:szCs w:val="20"/>
              </w:rPr>
            </w:pPr>
            <w:r>
              <w:rPr>
                <w:noProof/>
                <w:sz w:val="20"/>
              </w:rPr>
              <w:t>708</w:t>
            </w:r>
          </w:p>
        </w:tc>
        <w:tc>
          <w:tcPr>
            <w:tcW w:w="617" w:type="dxa"/>
            <w:tcBorders>
              <w:top w:val="single" w:sz="6" w:space="0" w:color="auto"/>
              <w:left w:val="single" w:sz="6" w:space="0" w:color="auto"/>
              <w:bottom w:val="single" w:sz="6" w:space="0" w:color="auto"/>
              <w:right w:val="single" w:sz="6" w:space="0" w:color="auto"/>
            </w:tcBorders>
          </w:tcPr>
          <w:p>
            <w:pPr>
              <w:rPr>
                <w:noProof/>
                <w:sz w:val="20"/>
                <w:szCs w:val="20"/>
              </w:rPr>
            </w:pPr>
            <w:r>
              <w:rPr>
                <w:noProof/>
                <w:sz w:val="20"/>
              </w:rPr>
              <w:t>679</w:t>
            </w:r>
          </w:p>
        </w:tc>
        <w:tc>
          <w:tcPr>
            <w:tcW w:w="617" w:type="dxa"/>
            <w:tcBorders>
              <w:top w:val="single" w:sz="6" w:space="0" w:color="auto"/>
              <w:left w:val="single" w:sz="6" w:space="0" w:color="auto"/>
              <w:bottom w:val="single" w:sz="6" w:space="0" w:color="auto"/>
              <w:right w:val="single" w:sz="6" w:space="0" w:color="auto"/>
            </w:tcBorders>
          </w:tcPr>
          <w:p>
            <w:pPr>
              <w:rPr>
                <w:noProof/>
                <w:sz w:val="20"/>
                <w:szCs w:val="20"/>
              </w:rPr>
            </w:pPr>
            <w:r>
              <w:rPr>
                <w:noProof/>
                <w:sz w:val="20"/>
              </w:rPr>
              <w:t>652</w:t>
            </w:r>
          </w:p>
        </w:tc>
        <w:tc>
          <w:tcPr>
            <w:tcW w:w="617" w:type="dxa"/>
            <w:tcBorders>
              <w:top w:val="single" w:sz="6" w:space="0" w:color="auto"/>
              <w:left w:val="single" w:sz="6" w:space="0" w:color="auto"/>
              <w:bottom w:val="single" w:sz="6" w:space="0" w:color="auto"/>
              <w:right w:val="single" w:sz="6" w:space="0" w:color="auto"/>
            </w:tcBorders>
          </w:tcPr>
          <w:p>
            <w:pPr>
              <w:rPr>
                <w:noProof/>
                <w:sz w:val="20"/>
                <w:szCs w:val="20"/>
              </w:rPr>
            </w:pPr>
            <w:r>
              <w:rPr>
                <w:noProof/>
                <w:sz w:val="20"/>
              </w:rPr>
              <w:t>626</w:t>
            </w:r>
          </w:p>
        </w:tc>
        <w:tc>
          <w:tcPr>
            <w:tcW w:w="617" w:type="dxa"/>
            <w:tcBorders>
              <w:top w:val="single" w:sz="6" w:space="0" w:color="auto"/>
              <w:left w:val="single" w:sz="6" w:space="0" w:color="auto"/>
              <w:bottom w:val="single" w:sz="6" w:space="0" w:color="auto"/>
              <w:right w:val="single" w:sz="6" w:space="0" w:color="auto"/>
            </w:tcBorders>
          </w:tcPr>
          <w:p>
            <w:pPr>
              <w:rPr>
                <w:noProof/>
                <w:sz w:val="20"/>
                <w:szCs w:val="20"/>
              </w:rPr>
            </w:pPr>
            <w:r>
              <w:rPr>
                <w:noProof/>
                <w:sz w:val="20"/>
              </w:rPr>
              <w:t>601</w:t>
            </w:r>
          </w:p>
        </w:tc>
        <w:tc>
          <w:tcPr>
            <w:tcW w:w="617" w:type="dxa"/>
            <w:tcBorders>
              <w:top w:val="single" w:sz="6" w:space="0" w:color="auto"/>
              <w:left w:val="single" w:sz="6" w:space="0" w:color="auto"/>
              <w:bottom w:val="single" w:sz="6" w:space="0" w:color="auto"/>
              <w:right w:val="single" w:sz="6" w:space="0" w:color="auto"/>
            </w:tcBorders>
          </w:tcPr>
          <w:p>
            <w:pPr>
              <w:rPr>
                <w:noProof/>
                <w:sz w:val="20"/>
                <w:szCs w:val="20"/>
              </w:rPr>
            </w:pPr>
            <w:r>
              <w:rPr>
                <w:noProof/>
                <w:sz w:val="20"/>
              </w:rPr>
              <w:t>577</w:t>
            </w:r>
          </w:p>
        </w:tc>
        <w:tc>
          <w:tcPr>
            <w:tcW w:w="617" w:type="dxa"/>
            <w:tcBorders>
              <w:top w:val="single" w:sz="6" w:space="0" w:color="auto"/>
              <w:left w:val="single" w:sz="6" w:space="0" w:color="auto"/>
              <w:bottom w:val="single" w:sz="6" w:space="0" w:color="auto"/>
              <w:right w:val="single" w:sz="6" w:space="0" w:color="auto"/>
            </w:tcBorders>
          </w:tcPr>
          <w:p>
            <w:pPr>
              <w:rPr>
                <w:noProof/>
                <w:sz w:val="20"/>
                <w:szCs w:val="20"/>
              </w:rPr>
            </w:pPr>
            <w:r>
              <w:rPr>
                <w:noProof/>
                <w:sz w:val="20"/>
              </w:rPr>
              <w:t>554</w:t>
            </w:r>
          </w:p>
        </w:tc>
        <w:tc>
          <w:tcPr>
            <w:tcW w:w="617" w:type="dxa"/>
            <w:tcBorders>
              <w:top w:val="single" w:sz="6" w:space="0" w:color="auto"/>
              <w:left w:val="single" w:sz="6" w:space="0" w:color="auto"/>
              <w:bottom w:val="single" w:sz="6" w:space="0" w:color="auto"/>
              <w:right w:val="single" w:sz="6" w:space="0" w:color="auto"/>
            </w:tcBorders>
          </w:tcPr>
          <w:p>
            <w:pPr>
              <w:rPr>
                <w:noProof/>
                <w:sz w:val="20"/>
                <w:szCs w:val="20"/>
              </w:rPr>
            </w:pPr>
            <w:r>
              <w:rPr>
                <w:noProof/>
                <w:sz w:val="20"/>
              </w:rPr>
              <w:t>532</w:t>
            </w:r>
          </w:p>
        </w:tc>
        <w:tc>
          <w:tcPr>
            <w:tcW w:w="617" w:type="dxa"/>
            <w:tcBorders>
              <w:top w:val="single" w:sz="6" w:space="0" w:color="auto"/>
              <w:left w:val="single" w:sz="6" w:space="0" w:color="auto"/>
              <w:bottom w:val="single" w:sz="6" w:space="0" w:color="auto"/>
              <w:right w:val="single" w:sz="6" w:space="0" w:color="auto"/>
            </w:tcBorders>
          </w:tcPr>
          <w:p>
            <w:pPr>
              <w:rPr>
                <w:noProof/>
                <w:sz w:val="20"/>
                <w:szCs w:val="20"/>
              </w:rPr>
            </w:pPr>
            <w:r>
              <w:rPr>
                <w:noProof/>
                <w:sz w:val="20"/>
              </w:rPr>
              <w:t>510</w:t>
            </w:r>
          </w:p>
        </w:tc>
      </w:tr>
      <w:tr>
        <w:tc>
          <w:tcPr>
            <w:tcW w:w="1065" w:type="dxa"/>
            <w:tcBorders>
              <w:top w:val="single" w:sz="6" w:space="0" w:color="auto"/>
              <w:left w:val="single" w:sz="6" w:space="0" w:color="auto"/>
              <w:bottom w:val="single" w:sz="6" w:space="0" w:color="auto"/>
              <w:right w:val="single" w:sz="6" w:space="0" w:color="auto"/>
            </w:tcBorders>
            <w:vAlign w:val="center"/>
            <w:hideMark/>
          </w:tcPr>
          <w:p>
            <w:pPr>
              <w:rPr>
                <w:noProof/>
                <w:sz w:val="20"/>
                <w:szCs w:val="20"/>
              </w:rPr>
            </w:pPr>
            <w:r>
              <w:rPr>
                <w:b/>
                <w:noProof/>
                <w:sz w:val="20"/>
              </w:rPr>
              <w:t>Prag inferior</w:t>
            </w:r>
            <w:r>
              <w:rPr>
                <w:noProof/>
                <w:sz w:val="20"/>
              </w:rPr>
              <w:t xml:space="preserve"> </w:t>
            </w:r>
          </w:p>
        </w:tc>
        <w:tc>
          <w:tcPr>
            <w:tcW w:w="618" w:type="dxa"/>
            <w:tcBorders>
              <w:top w:val="single" w:sz="6" w:space="0" w:color="auto"/>
              <w:left w:val="single" w:sz="6" w:space="0" w:color="auto"/>
              <w:bottom w:val="single" w:sz="6" w:space="0" w:color="auto"/>
              <w:right w:val="single" w:sz="6" w:space="0" w:color="auto"/>
            </w:tcBorders>
          </w:tcPr>
          <w:p>
            <w:pPr>
              <w:rPr>
                <w:noProof/>
                <w:sz w:val="20"/>
                <w:szCs w:val="20"/>
              </w:rPr>
            </w:pPr>
            <w:r>
              <w:rPr>
                <w:noProof/>
                <w:sz w:val="20"/>
              </w:rPr>
              <w:t>400</w:t>
            </w:r>
          </w:p>
        </w:tc>
        <w:tc>
          <w:tcPr>
            <w:tcW w:w="618" w:type="dxa"/>
            <w:tcBorders>
              <w:top w:val="single" w:sz="6" w:space="0" w:color="auto"/>
              <w:left w:val="single" w:sz="6" w:space="0" w:color="auto"/>
              <w:bottom w:val="single" w:sz="6" w:space="0" w:color="auto"/>
              <w:right w:val="single" w:sz="6" w:space="0" w:color="auto"/>
            </w:tcBorders>
          </w:tcPr>
          <w:p>
            <w:pPr>
              <w:rPr>
                <w:noProof/>
                <w:sz w:val="20"/>
                <w:szCs w:val="20"/>
              </w:rPr>
            </w:pPr>
            <w:r>
              <w:rPr>
                <w:noProof/>
                <w:sz w:val="20"/>
              </w:rPr>
              <w:t>384</w:t>
            </w:r>
          </w:p>
        </w:tc>
        <w:tc>
          <w:tcPr>
            <w:tcW w:w="618" w:type="dxa"/>
            <w:tcBorders>
              <w:top w:val="single" w:sz="6" w:space="0" w:color="auto"/>
              <w:left w:val="single" w:sz="6" w:space="0" w:color="auto"/>
              <w:bottom w:val="single" w:sz="6" w:space="0" w:color="auto"/>
              <w:right w:val="single" w:sz="6" w:space="0" w:color="auto"/>
            </w:tcBorders>
          </w:tcPr>
          <w:p>
            <w:pPr>
              <w:rPr>
                <w:noProof/>
                <w:sz w:val="20"/>
                <w:szCs w:val="20"/>
              </w:rPr>
            </w:pPr>
            <w:r>
              <w:rPr>
                <w:noProof/>
                <w:sz w:val="20"/>
              </w:rPr>
              <w:t>369</w:t>
            </w:r>
          </w:p>
        </w:tc>
        <w:tc>
          <w:tcPr>
            <w:tcW w:w="617" w:type="dxa"/>
            <w:tcBorders>
              <w:top w:val="single" w:sz="6" w:space="0" w:color="auto"/>
              <w:left w:val="single" w:sz="6" w:space="0" w:color="auto"/>
              <w:bottom w:val="single" w:sz="6" w:space="0" w:color="auto"/>
              <w:right w:val="single" w:sz="6" w:space="0" w:color="auto"/>
            </w:tcBorders>
          </w:tcPr>
          <w:p>
            <w:pPr>
              <w:rPr>
                <w:noProof/>
                <w:sz w:val="20"/>
                <w:szCs w:val="20"/>
              </w:rPr>
            </w:pPr>
            <w:r>
              <w:rPr>
                <w:noProof/>
                <w:sz w:val="20"/>
              </w:rPr>
              <w:t>354</w:t>
            </w:r>
          </w:p>
        </w:tc>
        <w:tc>
          <w:tcPr>
            <w:tcW w:w="617" w:type="dxa"/>
            <w:tcBorders>
              <w:top w:val="single" w:sz="6" w:space="0" w:color="auto"/>
              <w:left w:val="single" w:sz="6" w:space="0" w:color="auto"/>
              <w:bottom w:val="single" w:sz="6" w:space="0" w:color="auto"/>
              <w:right w:val="single" w:sz="6" w:space="0" w:color="auto"/>
            </w:tcBorders>
          </w:tcPr>
          <w:p>
            <w:pPr>
              <w:rPr>
                <w:noProof/>
                <w:sz w:val="20"/>
                <w:szCs w:val="20"/>
              </w:rPr>
            </w:pPr>
            <w:r>
              <w:rPr>
                <w:noProof/>
                <w:sz w:val="20"/>
              </w:rPr>
              <w:t>340</w:t>
            </w:r>
          </w:p>
        </w:tc>
        <w:tc>
          <w:tcPr>
            <w:tcW w:w="617" w:type="dxa"/>
            <w:tcBorders>
              <w:top w:val="single" w:sz="6" w:space="0" w:color="auto"/>
              <w:left w:val="single" w:sz="6" w:space="0" w:color="auto"/>
              <w:bottom w:val="single" w:sz="6" w:space="0" w:color="auto"/>
              <w:right w:val="single" w:sz="6" w:space="0" w:color="auto"/>
            </w:tcBorders>
          </w:tcPr>
          <w:p>
            <w:pPr>
              <w:rPr>
                <w:noProof/>
                <w:sz w:val="20"/>
                <w:szCs w:val="20"/>
              </w:rPr>
            </w:pPr>
            <w:r>
              <w:rPr>
                <w:noProof/>
                <w:sz w:val="20"/>
              </w:rPr>
              <w:t>326</w:t>
            </w:r>
          </w:p>
        </w:tc>
        <w:tc>
          <w:tcPr>
            <w:tcW w:w="617" w:type="dxa"/>
            <w:tcBorders>
              <w:top w:val="single" w:sz="6" w:space="0" w:color="auto"/>
              <w:left w:val="single" w:sz="6" w:space="0" w:color="auto"/>
              <w:bottom w:val="single" w:sz="6" w:space="0" w:color="auto"/>
              <w:right w:val="single" w:sz="6" w:space="0" w:color="auto"/>
            </w:tcBorders>
          </w:tcPr>
          <w:p>
            <w:pPr>
              <w:rPr>
                <w:noProof/>
                <w:sz w:val="20"/>
                <w:szCs w:val="20"/>
              </w:rPr>
            </w:pPr>
            <w:r>
              <w:rPr>
                <w:noProof/>
                <w:sz w:val="20"/>
              </w:rPr>
              <w:t>313</w:t>
            </w:r>
          </w:p>
        </w:tc>
        <w:tc>
          <w:tcPr>
            <w:tcW w:w="617" w:type="dxa"/>
            <w:tcBorders>
              <w:top w:val="single" w:sz="6" w:space="0" w:color="auto"/>
              <w:left w:val="single" w:sz="6" w:space="0" w:color="auto"/>
              <w:bottom w:val="single" w:sz="6" w:space="0" w:color="auto"/>
              <w:right w:val="single" w:sz="6" w:space="0" w:color="auto"/>
            </w:tcBorders>
          </w:tcPr>
          <w:p>
            <w:pPr>
              <w:rPr>
                <w:noProof/>
                <w:sz w:val="20"/>
                <w:szCs w:val="20"/>
              </w:rPr>
            </w:pPr>
            <w:r>
              <w:rPr>
                <w:noProof/>
                <w:sz w:val="20"/>
              </w:rPr>
              <w:t>301</w:t>
            </w:r>
          </w:p>
        </w:tc>
        <w:tc>
          <w:tcPr>
            <w:tcW w:w="617" w:type="dxa"/>
            <w:tcBorders>
              <w:top w:val="single" w:sz="6" w:space="0" w:color="auto"/>
              <w:left w:val="single" w:sz="6" w:space="0" w:color="auto"/>
              <w:bottom w:val="single" w:sz="6" w:space="0" w:color="auto"/>
              <w:right w:val="single" w:sz="6" w:space="0" w:color="auto"/>
            </w:tcBorders>
          </w:tcPr>
          <w:p>
            <w:pPr>
              <w:rPr>
                <w:noProof/>
                <w:sz w:val="20"/>
                <w:szCs w:val="20"/>
              </w:rPr>
            </w:pPr>
            <w:r>
              <w:rPr>
                <w:noProof/>
                <w:sz w:val="20"/>
              </w:rPr>
              <w:t>289</w:t>
            </w:r>
          </w:p>
        </w:tc>
        <w:tc>
          <w:tcPr>
            <w:tcW w:w="617" w:type="dxa"/>
            <w:tcBorders>
              <w:top w:val="single" w:sz="6" w:space="0" w:color="auto"/>
              <w:left w:val="single" w:sz="6" w:space="0" w:color="auto"/>
              <w:bottom w:val="single" w:sz="6" w:space="0" w:color="auto"/>
              <w:right w:val="single" w:sz="6" w:space="0" w:color="auto"/>
            </w:tcBorders>
          </w:tcPr>
          <w:p>
            <w:pPr>
              <w:rPr>
                <w:noProof/>
                <w:sz w:val="20"/>
                <w:szCs w:val="20"/>
              </w:rPr>
            </w:pPr>
            <w:r>
              <w:rPr>
                <w:noProof/>
                <w:sz w:val="20"/>
              </w:rPr>
              <w:t>277</w:t>
            </w:r>
          </w:p>
        </w:tc>
        <w:tc>
          <w:tcPr>
            <w:tcW w:w="617" w:type="dxa"/>
            <w:tcBorders>
              <w:top w:val="single" w:sz="6" w:space="0" w:color="auto"/>
              <w:left w:val="single" w:sz="6" w:space="0" w:color="auto"/>
              <w:bottom w:val="single" w:sz="6" w:space="0" w:color="auto"/>
              <w:right w:val="single" w:sz="6" w:space="0" w:color="auto"/>
            </w:tcBorders>
          </w:tcPr>
          <w:p>
            <w:pPr>
              <w:rPr>
                <w:noProof/>
                <w:sz w:val="20"/>
                <w:szCs w:val="20"/>
              </w:rPr>
            </w:pPr>
            <w:r>
              <w:rPr>
                <w:noProof/>
                <w:sz w:val="20"/>
              </w:rPr>
              <w:t>266</w:t>
            </w:r>
          </w:p>
        </w:tc>
        <w:tc>
          <w:tcPr>
            <w:tcW w:w="617" w:type="dxa"/>
            <w:tcBorders>
              <w:top w:val="single" w:sz="6" w:space="0" w:color="auto"/>
              <w:left w:val="single" w:sz="6" w:space="0" w:color="auto"/>
              <w:bottom w:val="single" w:sz="6" w:space="0" w:color="auto"/>
              <w:right w:val="single" w:sz="6" w:space="0" w:color="auto"/>
            </w:tcBorders>
          </w:tcPr>
          <w:p>
            <w:pPr>
              <w:rPr>
                <w:noProof/>
                <w:sz w:val="20"/>
                <w:szCs w:val="20"/>
              </w:rPr>
            </w:pPr>
            <w:r>
              <w:rPr>
                <w:noProof/>
                <w:sz w:val="20"/>
              </w:rPr>
              <w:t>255</w:t>
            </w:r>
          </w:p>
        </w:tc>
        <w:tc>
          <w:tcPr>
            <w:tcW w:w="617" w:type="dxa"/>
            <w:tcBorders>
              <w:top w:val="single" w:sz="6" w:space="0" w:color="auto"/>
              <w:left w:val="single" w:sz="6" w:space="0" w:color="auto"/>
              <w:bottom w:val="single" w:sz="6" w:space="0" w:color="auto"/>
              <w:right w:val="single" w:sz="6" w:space="0" w:color="auto"/>
            </w:tcBorders>
          </w:tcPr>
          <w:p>
            <w:pPr>
              <w:rPr>
                <w:noProof/>
                <w:sz w:val="20"/>
                <w:szCs w:val="20"/>
              </w:rPr>
            </w:pPr>
            <w:r>
              <w:rPr>
                <w:noProof/>
                <w:sz w:val="20"/>
              </w:rPr>
              <w:t>245</w:t>
            </w:r>
          </w:p>
        </w:tc>
      </w:tr>
      <w:tr>
        <w:tc>
          <w:tcPr>
            <w:tcW w:w="1065" w:type="dxa"/>
            <w:tcBorders>
              <w:top w:val="single" w:sz="6" w:space="0" w:color="auto"/>
              <w:left w:val="single" w:sz="6" w:space="0" w:color="auto"/>
              <w:bottom w:val="single" w:sz="6" w:space="0" w:color="auto"/>
              <w:right w:val="single" w:sz="6" w:space="0" w:color="auto"/>
            </w:tcBorders>
            <w:vAlign w:val="center"/>
            <w:hideMark/>
          </w:tcPr>
          <w:p>
            <w:pPr>
              <w:rPr>
                <w:noProof/>
                <w:sz w:val="20"/>
                <w:szCs w:val="20"/>
              </w:rPr>
            </w:pPr>
            <w:r>
              <w:rPr>
                <w:b/>
                <w:noProof/>
                <w:sz w:val="20"/>
              </w:rPr>
              <w:t>Tampon inferior</w:t>
            </w:r>
            <w:r>
              <w:rPr>
                <w:noProof/>
                <w:sz w:val="20"/>
              </w:rPr>
              <w:t xml:space="preserve"> </w:t>
            </w:r>
          </w:p>
        </w:tc>
        <w:tc>
          <w:tcPr>
            <w:tcW w:w="618" w:type="dxa"/>
            <w:tcBorders>
              <w:top w:val="single" w:sz="6" w:space="0" w:color="auto"/>
              <w:left w:val="single" w:sz="6" w:space="0" w:color="auto"/>
              <w:bottom w:val="single" w:sz="6" w:space="0" w:color="auto"/>
              <w:right w:val="single" w:sz="6" w:space="0" w:color="auto"/>
            </w:tcBorders>
          </w:tcPr>
          <w:p>
            <w:pPr>
              <w:rPr>
                <w:noProof/>
                <w:sz w:val="20"/>
                <w:szCs w:val="20"/>
              </w:rPr>
            </w:pPr>
            <w:r>
              <w:rPr>
                <w:noProof/>
                <w:sz w:val="20"/>
              </w:rPr>
              <w:t>300</w:t>
            </w:r>
          </w:p>
        </w:tc>
        <w:tc>
          <w:tcPr>
            <w:tcW w:w="618" w:type="dxa"/>
            <w:tcBorders>
              <w:top w:val="single" w:sz="6" w:space="0" w:color="auto"/>
              <w:left w:val="single" w:sz="6" w:space="0" w:color="auto"/>
              <w:bottom w:val="single" w:sz="6" w:space="0" w:color="auto"/>
              <w:right w:val="single" w:sz="6" w:space="0" w:color="auto"/>
            </w:tcBorders>
          </w:tcPr>
          <w:p>
            <w:pPr>
              <w:rPr>
                <w:noProof/>
                <w:sz w:val="20"/>
                <w:szCs w:val="20"/>
              </w:rPr>
            </w:pPr>
            <w:r>
              <w:rPr>
                <w:noProof/>
                <w:sz w:val="20"/>
              </w:rPr>
              <w:t>288</w:t>
            </w:r>
          </w:p>
        </w:tc>
        <w:tc>
          <w:tcPr>
            <w:tcW w:w="618" w:type="dxa"/>
            <w:tcBorders>
              <w:top w:val="single" w:sz="6" w:space="0" w:color="auto"/>
              <w:left w:val="single" w:sz="6" w:space="0" w:color="auto"/>
              <w:bottom w:val="single" w:sz="6" w:space="0" w:color="auto"/>
              <w:right w:val="single" w:sz="6" w:space="0" w:color="auto"/>
            </w:tcBorders>
          </w:tcPr>
          <w:p>
            <w:pPr>
              <w:rPr>
                <w:noProof/>
                <w:sz w:val="20"/>
                <w:szCs w:val="20"/>
              </w:rPr>
            </w:pPr>
            <w:r>
              <w:rPr>
                <w:noProof/>
                <w:sz w:val="20"/>
              </w:rPr>
              <w:t>276</w:t>
            </w:r>
          </w:p>
        </w:tc>
        <w:tc>
          <w:tcPr>
            <w:tcW w:w="617" w:type="dxa"/>
            <w:tcBorders>
              <w:top w:val="single" w:sz="6" w:space="0" w:color="auto"/>
              <w:left w:val="single" w:sz="6" w:space="0" w:color="auto"/>
              <w:bottom w:val="single" w:sz="6" w:space="0" w:color="auto"/>
              <w:right w:val="single" w:sz="6" w:space="0" w:color="auto"/>
            </w:tcBorders>
          </w:tcPr>
          <w:p>
            <w:pPr>
              <w:rPr>
                <w:noProof/>
                <w:sz w:val="20"/>
                <w:szCs w:val="20"/>
              </w:rPr>
            </w:pPr>
            <w:r>
              <w:rPr>
                <w:noProof/>
                <w:sz w:val="20"/>
              </w:rPr>
              <w:t>265</w:t>
            </w:r>
          </w:p>
        </w:tc>
        <w:tc>
          <w:tcPr>
            <w:tcW w:w="617" w:type="dxa"/>
            <w:tcBorders>
              <w:top w:val="single" w:sz="6" w:space="0" w:color="auto"/>
              <w:left w:val="single" w:sz="6" w:space="0" w:color="auto"/>
              <w:bottom w:val="single" w:sz="6" w:space="0" w:color="auto"/>
              <w:right w:val="single" w:sz="6" w:space="0" w:color="auto"/>
            </w:tcBorders>
          </w:tcPr>
          <w:p>
            <w:pPr>
              <w:rPr>
                <w:noProof/>
                <w:sz w:val="20"/>
                <w:szCs w:val="20"/>
              </w:rPr>
            </w:pPr>
            <w:r>
              <w:rPr>
                <w:noProof/>
                <w:sz w:val="20"/>
              </w:rPr>
              <w:t>255</w:t>
            </w:r>
          </w:p>
        </w:tc>
        <w:tc>
          <w:tcPr>
            <w:tcW w:w="617" w:type="dxa"/>
            <w:tcBorders>
              <w:top w:val="single" w:sz="6" w:space="0" w:color="auto"/>
              <w:left w:val="single" w:sz="6" w:space="0" w:color="auto"/>
              <w:bottom w:val="single" w:sz="6" w:space="0" w:color="auto"/>
              <w:right w:val="single" w:sz="6" w:space="0" w:color="auto"/>
            </w:tcBorders>
          </w:tcPr>
          <w:p>
            <w:pPr>
              <w:rPr>
                <w:noProof/>
                <w:sz w:val="20"/>
                <w:szCs w:val="20"/>
              </w:rPr>
            </w:pPr>
            <w:r>
              <w:rPr>
                <w:noProof/>
                <w:sz w:val="20"/>
              </w:rPr>
              <w:t>245</w:t>
            </w:r>
          </w:p>
        </w:tc>
        <w:tc>
          <w:tcPr>
            <w:tcW w:w="617" w:type="dxa"/>
            <w:tcBorders>
              <w:top w:val="single" w:sz="6" w:space="0" w:color="auto"/>
              <w:left w:val="single" w:sz="6" w:space="0" w:color="auto"/>
              <w:bottom w:val="single" w:sz="6" w:space="0" w:color="auto"/>
              <w:right w:val="single" w:sz="6" w:space="0" w:color="auto"/>
            </w:tcBorders>
          </w:tcPr>
          <w:p>
            <w:pPr>
              <w:rPr>
                <w:noProof/>
                <w:sz w:val="20"/>
                <w:szCs w:val="20"/>
              </w:rPr>
            </w:pPr>
            <w:r>
              <w:rPr>
                <w:noProof/>
                <w:sz w:val="20"/>
              </w:rPr>
              <w:t>235</w:t>
            </w:r>
          </w:p>
        </w:tc>
        <w:tc>
          <w:tcPr>
            <w:tcW w:w="617" w:type="dxa"/>
            <w:tcBorders>
              <w:top w:val="single" w:sz="6" w:space="0" w:color="auto"/>
              <w:left w:val="single" w:sz="6" w:space="0" w:color="auto"/>
              <w:bottom w:val="single" w:sz="6" w:space="0" w:color="auto"/>
              <w:right w:val="single" w:sz="6" w:space="0" w:color="auto"/>
            </w:tcBorders>
          </w:tcPr>
          <w:p>
            <w:pPr>
              <w:rPr>
                <w:noProof/>
                <w:sz w:val="20"/>
                <w:szCs w:val="20"/>
              </w:rPr>
            </w:pPr>
            <w:r>
              <w:rPr>
                <w:noProof/>
                <w:sz w:val="20"/>
              </w:rPr>
              <w:t>225</w:t>
            </w:r>
          </w:p>
        </w:tc>
        <w:tc>
          <w:tcPr>
            <w:tcW w:w="617" w:type="dxa"/>
            <w:tcBorders>
              <w:top w:val="single" w:sz="6" w:space="0" w:color="auto"/>
              <w:left w:val="single" w:sz="6" w:space="0" w:color="auto"/>
              <w:bottom w:val="single" w:sz="6" w:space="0" w:color="auto"/>
              <w:right w:val="single" w:sz="6" w:space="0" w:color="auto"/>
            </w:tcBorders>
          </w:tcPr>
          <w:p>
            <w:pPr>
              <w:rPr>
                <w:noProof/>
                <w:sz w:val="20"/>
                <w:szCs w:val="20"/>
              </w:rPr>
            </w:pPr>
            <w:r>
              <w:rPr>
                <w:noProof/>
                <w:sz w:val="20"/>
              </w:rPr>
              <w:t>216</w:t>
            </w:r>
          </w:p>
        </w:tc>
        <w:tc>
          <w:tcPr>
            <w:tcW w:w="617" w:type="dxa"/>
            <w:tcBorders>
              <w:top w:val="single" w:sz="6" w:space="0" w:color="auto"/>
              <w:left w:val="single" w:sz="6" w:space="0" w:color="auto"/>
              <w:bottom w:val="single" w:sz="6" w:space="0" w:color="auto"/>
              <w:right w:val="single" w:sz="6" w:space="0" w:color="auto"/>
            </w:tcBorders>
          </w:tcPr>
          <w:p>
            <w:pPr>
              <w:rPr>
                <w:noProof/>
                <w:sz w:val="20"/>
                <w:szCs w:val="20"/>
              </w:rPr>
            </w:pPr>
            <w:r>
              <w:rPr>
                <w:noProof/>
                <w:sz w:val="20"/>
              </w:rPr>
              <w:t>208</w:t>
            </w:r>
          </w:p>
        </w:tc>
        <w:tc>
          <w:tcPr>
            <w:tcW w:w="617" w:type="dxa"/>
            <w:tcBorders>
              <w:top w:val="single" w:sz="6" w:space="0" w:color="auto"/>
              <w:left w:val="single" w:sz="6" w:space="0" w:color="auto"/>
              <w:bottom w:val="single" w:sz="6" w:space="0" w:color="auto"/>
              <w:right w:val="single" w:sz="6" w:space="0" w:color="auto"/>
            </w:tcBorders>
          </w:tcPr>
          <w:p>
            <w:pPr>
              <w:rPr>
                <w:noProof/>
                <w:sz w:val="20"/>
                <w:szCs w:val="20"/>
              </w:rPr>
            </w:pPr>
            <w:r>
              <w:rPr>
                <w:noProof/>
                <w:sz w:val="20"/>
              </w:rPr>
              <w:t>199</w:t>
            </w:r>
          </w:p>
        </w:tc>
        <w:tc>
          <w:tcPr>
            <w:tcW w:w="617" w:type="dxa"/>
            <w:tcBorders>
              <w:top w:val="single" w:sz="6" w:space="0" w:color="auto"/>
              <w:left w:val="single" w:sz="6" w:space="0" w:color="auto"/>
              <w:bottom w:val="single" w:sz="6" w:space="0" w:color="auto"/>
              <w:right w:val="single" w:sz="6" w:space="0" w:color="auto"/>
            </w:tcBorders>
          </w:tcPr>
          <w:p>
            <w:pPr>
              <w:rPr>
                <w:noProof/>
                <w:sz w:val="20"/>
                <w:szCs w:val="20"/>
              </w:rPr>
            </w:pPr>
            <w:r>
              <w:rPr>
                <w:noProof/>
                <w:sz w:val="20"/>
              </w:rPr>
              <w:t>191</w:t>
            </w:r>
          </w:p>
        </w:tc>
        <w:tc>
          <w:tcPr>
            <w:tcW w:w="617" w:type="dxa"/>
            <w:tcBorders>
              <w:top w:val="single" w:sz="6" w:space="0" w:color="auto"/>
              <w:left w:val="single" w:sz="6" w:space="0" w:color="auto"/>
              <w:bottom w:val="single" w:sz="6" w:space="0" w:color="auto"/>
              <w:right w:val="single" w:sz="6" w:space="0" w:color="auto"/>
            </w:tcBorders>
          </w:tcPr>
          <w:p>
            <w:pPr>
              <w:rPr>
                <w:noProof/>
                <w:sz w:val="20"/>
                <w:szCs w:val="20"/>
              </w:rPr>
            </w:pPr>
            <w:r>
              <w:rPr>
                <w:noProof/>
                <w:sz w:val="20"/>
              </w:rPr>
              <w:t>184</w:t>
            </w:r>
          </w:p>
        </w:tc>
      </w:tr>
      <w:tr>
        <w:tc>
          <w:tcPr>
            <w:tcW w:w="1065" w:type="dxa"/>
            <w:tcBorders>
              <w:top w:val="single" w:sz="6" w:space="0" w:color="auto"/>
              <w:left w:val="single" w:sz="6" w:space="0" w:color="auto"/>
              <w:bottom w:val="single" w:sz="6" w:space="0" w:color="auto"/>
              <w:right w:val="single" w:sz="6" w:space="0" w:color="auto"/>
            </w:tcBorders>
            <w:vAlign w:val="center"/>
            <w:hideMark/>
          </w:tcPr>
          <w:p>
            <w:pPr>
              <w:rPr>
                <w:noProof/>
                <w:sz w:val="20"/>
                <w:szCs w:val="20"/>
              </w:rPr>
            </w:pPr>
            <w:r>
              <w:rPr>
                <w:b/>
                <w:noProof/>
                <w:sz w:val="20"/>
              </w:rPr>
              <w:t>Rata de eliberare</w:t>
            </w:r>
            <w:r>
              <w:rPr>
                <w:noProof/>
                <w:sz w:val="20"/>
              </w:rPr>
              <w:t xml:space="preserve"> </w:t>
            </w:r>
          </w:p>
        </w:tc>
        <w:tc>
          <w:tcPr>
            <w:tcW w:w="618" w:type="dxa"/>
            <w:tcBorders>
              <w:top w:val="single" w:sz="6" w:space="0" w:color="auto"/>
              <w:left w:val="single" w:sz="6" w:space="0" w:color="auto"/>
              <w:bottom w:val="single" w:sz="6" w:space="0" w:color="auto"/>
              <w:right w:val="single" w:sz="6" w:space="0" w:color="auto"/>
            </w:tcBorders>
          </w:tcPr>
          <w:p>
            <w:pPr>
              <w:rPr>
                <w:noProof/>
                <w:sz w:val="20"/>
                <w:szCs w:val="20"/>
              </w:rPr>
            </w:pPr>
            <w:r>
              <w:rPr>
                <w:noProof/>
                <w:sz w:val="20"/>
              </w:rPr>
              <w:t>100</w:t>
            </w:r>
          </w:p>
        </w:tc>
        <w:tc>
          <w:tcPr>
            <w:tcW w:w="618" w:type="dxa"/>
            <w:tcBorders>
              <w:top w:val="single" w:sz="6" w:space="0" w:color="auto"/>
              <w:left w:val="single" w:sz="6" w:space="0" w:color="auto"/>
              <w:bottom w:val="single" w:sz="6" w:space="0" w:color="auto"/>
              <w:right w:val="single" w:sz="6" w:space="0" w:color="auto"/>
            </w:tcBorders>
          </w:tcPr>
          <w:p>
            <w:pPr>
              <w:rPr>
                <w:noProof/>
                <w:sz w:val="20"/>
                <w:szCs w:val="20"/>
              </w:rPr>
            </w:pPr>
            <w:r>
              <w:rPr>
                <w:noProof/>
                <w:sz w:val="20"/>
              </w:rPr>
              <w:t>96</w:t>
            </w:r>
          </w:p>
        </w:tc>
        <w:tc>
          <w:tcPr>
            <w:tcW w:w="618" w:type="dxa"/>
            <w:tcBorders>
              <w:top w:val="single" w:sz="6" w:space="0" w:color="auto"/>
              <w:left w:val="single" w:sz="6" w:space="0" w:color="auto"/>
              <w:bottom w:val="single" w:sz="6" w:space="0" w:color="auto"/>
              <w:right w:val="single" w:sz="6" w:space="0" w:color="auto"/>
            </w:tcBorders>
          </w:tcPr>
          <w:p>
            <w:pPr>
              <w:rPr>
                <w:noProof/>
                <w:sz w:val="20"/>
                <w:szCs w:val="20"/>
              </w:rPr>
            </w:pPr>
            <w:r>
              <w:rPr>
                <w:noProof/>
                <w:sz w:val="20"/>
              </w:rPr>
              <w:t>92</w:t>
            </w:r>
          </w:p>
        </w:tc>
        <w:tc>
          <w:tcPr>
            <w:tcW w:w="617" w:type="dxa"/>
            <w:tcBorders>
              <w:top w:val="single" w:sz="6" w:space="0" w:color="auto"/>
              <w:left w:val="single" w:sz="6" w:space="0" w:color="auto"/>
              <w:bottom w:val="single" w:sz="6" w:space="0" w:color="auto"/>
              <w:right w:val="single" w:sz="6" w:space="0" w:color="auto"/>
            </w:tcBorders>
          </w:tcPr>
          <w:p>
            <w:pPr>
              <w:rPr>
                <w:noProof/>
                <w:sz w:val="20"/>
                <w:szCs w:val="20"/>
              </w:rPr>
            </w:pPr>
            <w:r>
              <w:rPr>
                <w:noProof/>
                <w:sz w:val="20"/>
              </w:rPr>
              <w:t>88</w:t>
            </w:r>
          </w:p>
        </w:tc>
        <w:tc>
          <w:tcPr>
            <w:tcW w:w="617" w:type="dxa"/>
            <w:tcBorders>
              <w:top w:val="single" w:sz="6" w:space="0" w:color="auto"/>
              <w:left w:val="single" w:sz="6" w:space="0" w:color="auto"/>
              <w:bottom w:val="single" w:sz="6" w:space="0" w:color="auto"/>
              <w:right w:val="single" w:sz="6" w:space="0" w:color="auto"/>
            </w:tcBorders>
          </w:tcPr>
          <w:p>
            <w:pPr>
              <w:rPr>
                <w:noProof/>
                <w:sz w:val="20"/>
                <w:szCs w:val="20"/>
              </w:rPr>
            </w:pPr>
            <w:r>
              <w:rPr>
                <w:noProof/>
                <w:sz w:val="20"/>
              </w:rPr>
              <w:t>85</w:t>
            </w:r>
          </w:p>
        </w:tc>
        <w:tc>
          <w:tcPr>
            <w:tcW w:w="617" w:type="dxa"/>
            <w:tcBorders>
              <w:top w:val="single" w:sz="6" w:space="0" w:color="auto"/>
              <w:left w:val="single" w:sz="6" w:space="0" w:color="auto"/>
              <w:bottom w:val="single" w:sz="6" w:space="0" w:color="auto"/>
              <w:right w:val="single" w:sz="6" w:space="0" w:color="auto"/>
            </w:tcBorders>
          </w:tcPr>
          <w:p>
            <w:pPr>
              <w:rPr>
                <w:noProof/>
                <w:sz w:val="20"/>
                <w:szCs w:val="20"/>
              </w:rPr>
            </w:pPr>
            <w:r>
              <w:rPr>
                <w:noProof/>
                <w:sz w:val="20"/>
              </w:rPr>
              <w:t>82</w:t>
            </w:r>
          </w:p>
        </w:tc>
        <w:tc>
          <w:tcPr>
            <w:tcW w:w="617" w:type="dxa"/>
            <w:tcBorders>
              <w:top w:val="single" w:sz="6" w:space="0" w:color="auto"/>
              <w:left w:val="single" w:sz="6" w:space="0" w:color="auto"/>
              <w:bottom w:val="single" w:sz="6" w:space="0" w:color="auto"/>
              <w:right w:val="single" w:sz="6" w:space="0" w:color="auto"/>
            </w:tcBorders>
          </w:tcPr>
          <w:p>
            <w:pPr>
              <w:rPr>
                <w:noProof/>
                <w:sz w:val="20"/>
                <w:szCs w:val="20"/>
              </w:rPr>
            </w:pPr>
            <w:r>
              <w:rPr>
                <w:noProof/>
                <w:sz w:val="20"/>
              </w:rPr>
              <w:t>78</w:t>
            </w:r>
          </w:p>
        </w:tc>
        <w:tc>
          <w:tcPr>
            <w:tcW w:w="617" w:type="dxa"/>
            <w:tcBorders>
              <w:top w:val="single" w:sz="6" w:space="0" w:color="auto"/>
              <w:left w:val="single" w:sz="6" w:space="0" w:color="auto"/>
              <w:bottom w:val="single" w:sz="6" w:space="0" w:color="auto"/>
              <w:right w:val="single" w:sz="6" w:space="0" w:color="auto"/>
            </w:tcBorders>
          </w:tcPr>
          <w:p>
            <w:pPr>
              <w:rPr>
                <w:noProof/>
                <w:sz w:val="20"/>
                <w:szCs w:val="20"/>
              </w:rPr>
            </w:pPr>
            <w:r>
              <w:rPr>
                <w:noProof/>
                <w:sz w:val="20"/>
              </w:rPr>
              <w:t>75</w:t>
            </w:r>
          </w:p>
        </w:tc>
        <w:tc>
          <w:tcPr>
            <w:tcW w:w="617" w:type="dxa"/>
            <w:tcBorders>
              <w:top w:val="single" w:sz="6" w:space="0" w:color="auto"/>
              <w:left w:val="single" w:sz="6" w:space="0" w:color="auto"/>
              <w:bottom w:val="single" w:sz="6" w:space="0" w:color="auto"/>
              <w:right w:val="single" w:sz="6" w:space="0" w:color="auto"/>
            </w:tcBorders>
          </w:tcPr>
          <w:p>
            <w:pPr>
              <w:rPr>
                <w:noProof/>
                <w:sz w:val="20"/>
                <w:szCs w:val="20"/>
              </w:rPr>
            </w:pPr>
            <w:r>
              <w:rPr>
                <w:noProof/>
                <w:sz w:val="20"/>
              </w:rPr>
              <w:t>72</w:t>
            </w:r>
          </w:p>
        </w:tc>
        <w:tc>
          <w:tcPr>
            <w:tcW w:w="617" w:type="dxa"/>
            <w:tcBorders>
              <w:top w:val="single" w:sz="6" w:space="0" w:color="auto"/>
              <w:left w:val="single" w:sz="6" w:space="0" w:color="auto"/>
              <w:bottom w:val="single" w:sz="6" w:space="0" w:color="auto"/>
              <w:right w:val="single" w:sz="6" w:space="0" w:color="auto"/>
            </w:tcBorders>
          </w:tcPr>
          <w:p>
            <w:pPr>
              <w:rPr>
                <w:noProof/>
                <w:sz w:val="20"/>
                <w:szCs w:val="20"/>
              </w:rPr>
            </w:pPr>
            <w:r>
              <w:rPr>
                <w:noProof/>
                <w:sz w:val="20"/>
              </w:rPr>
              <w:t>69</w:t>
            </w:r>
          </w:p>
        </w:tc>
        <w:tc>
          <w:tcPr>
            <w:tcW w:w="617" w:type="dxa"/>
            <w:tcBorders>
              <w:top w:val="single" w:sz="6" w:space="0" w:color="auto"/>
              <w:left w:val="single" w:sz="6" w:space="0" w:color="auto"/>
              <w:bottom w:val="single" w:sz="6" w:space="0" w:color="auto"/>
              <w:right w:val="single" w:sz="6" w:space="0" w:color="auto"/>
            </w:tcBorders>
          </w:tcPr>
          <w:p>
            <w:pPr>
              <w:rPr>
                <w:noProof/>
                <w:sz w:val="20"/>
                <w:szCs w:val="20"/>
              </w:rPr>
            </w:pPr>
            <w:r>
              <w:rPr>
                <w:noProof/>
                <w:sz w:val="20"/>
              </w:rPr>
              <w:t>66</w:t>
            </w:r>
          </w:p>
        </w:tc>
        <w:tc>
          <w:tcPr>
            <w:tcW w:w="617" w:type="dxa"/>
            <w:tcBorders>
              <w:top w:val="single" w:sz="6" w:space="0" w:color="auto"/>
              <w:left w:val="single" w:sz="6" w:space="0" w:color="auto"/>
              <w:bottom w:val="single" w:sz="6" w:space="0" w:color="auto"/>
              <w:right w:val="single" w:sz="6" w:space="0" w:color="auto"/>
            </w:tcBorders>
          </w:tcPr>
          <w:p>
            <w:pPr>
              <w:rPr>
                <w:noProof/>
                <w:sz w:val="20"/>
                <w:szCs w:val="20"/>
              </w:rPr>
            </w:pPr>
            <w:r>
              <w:rPr>
                <w:noProof/>
                <w:sz w:val="20"/>
              </w:rPr>
              <w:t>64</w:t>
            </w:r>
          </w:p>
        </w:tc>
        <w:tc>
          <w:tcPr>
            <w:tcW w:w="617" w:type="dxa"/>
            <w:tcBorders>
              <w:top w:val="single" w:sz="6" w:space="0" w:color="auto"/>
              <w:left w:val="single" w:sz="6" w:space="0" w:color="auto"/>
              <w:bottom w:val="single" w:sz="6" w:space="0" w:color="auto"/>
              <w:right w:val="single" w:sz="6" w:space="0" w:color="auto"/>
            </w:tcBorders>
          </w:tcPr>
          <w:p>
            <w:pPr>
              <w:rPr>
                <w:noProof/>
                <w:sz w:val="20"/>
                <w:szCs w:val="20"/>
              </w:rPr>
            </w:pPr>
            <w:r>
              <w:rPr>
                <w:noProof/>
                <w:sz w:val="20"/>
              </w:rPr>
              <w:t>61</w:t>
            </w:r>
          </w:p>
        </w:tc>
      </w:tr>
    </w:tbl>
    <w:p>
      <w:pPr>
        <w:rPr>
          <w:noProof/>
        </w:rPr>
      </w:pPr>
    </w:p>
    <w:p>
      <w:pPr>
        <w:rPr>
          <w:noProof/>
        </w:rPr>
      </w:pPr>
    </w:p>
    <w:p>
      <w:pPr>
        <w:rPr>
          <w:noProof/>
        </w:rPr>
      </w:pPr>
    </w:p>
    <w:sectPr>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RO</w:t>
    </w:r>
    <w:r>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tab/>
    </w:r>
    <w:r>
      <w:rPr>
        <w:rFonts w:ascii="Arial" w:hAnsi="Arial" w:cs="Arial"/>
        <w:b/>
        <w:sz w:val="48"/>
      </w:rPr>
      <w:t>RO</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before="0" w:after="0"/>
      </w:pPr>
      <w:r>
        <w:separator/>
      </w:r>
    </w:p>
  </w:footnote>
  <w:footnote w:type="continuationSeparator" w:id="0">
    <w:p>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1"/>
    <w:multiLevelType w:val="singleLevel"/>
    <w:tmpl w:val="7B66553C"/>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7F64AD8E"/>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6A244D16"/>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FBCEACEA"/>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9"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0"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1"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2"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3"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4"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5"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6"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7"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9"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8"/>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2"/>
  </w:num>
  <w:num w:numId="7">
    <w:abstractNumId w:val="1"/>
  </w:num>
  <w:num w:numId="8">
    <w:abstractNumId w:val="0"/>
  </w:num>
  <w:num w:numId="9">
    <w:abstractNumId w:val="16"/>
  </w:num>
  <w:num w:numId="10">
    <w:abstractNumId w:val="9"/>
  </w:num>
  <w:num w:numId="11">
    <w:abstractNumId w:val="18"/>
  </w:num>
  <w:num w:numId="12">
    <w:abstractNumId w:val="7"/>
  </w:num>
  <w:num w:numId="13">
    <w:abstractNumId w:val="10"/>
  </w:num>
  <w:num w:numId="14">
    <w:abstractNumId w:val="11"/>
  </w:num>
  <w:num w:numId="15">
    <w:abstractNumId w:val="5"/>
  </w:num>
  <w:num w:numId="16">
    <w:abstractNumId w:val="17"/>
  </w:num>
  <w:num w:numId="17">
    <w:abstractNumId w:val="4"/>
  </w:num>
  <w:num w:numId="18">
    <w:abstractNumId w:val="12"/>
  </w:num>
  <w:num w:numId="19">
    <w:abstractNumId w:val="14"/>
  </w:num>
  <w:num w:numId="20">
    <w:abstractNumId w:val="15"/>
  </w:num>
  <w:num w:numId="21">
    <w:abstractNumId w:val="6"/>
  </w:num>
  <w:num w:numId="22">
    <w:abstractNumId w:val="13"/>
  </w:num>
  <w:num w:numId="23">
    <w:abstractNumId w:val="19"/>
  </w:num>
  <w:num w:numId="24">
    <w:abstractNumId w:val="16"/>
  </w:num>
  <w:num w:numId="25">
    <w:abstractNumId w:val="9"/>
  </w:num>
  <w:num w:numId="26">
    <w:abstractNumId w:val="18"/>
  </w:num>
  <w:num w:numId="27">
    <w:abstractNumId w:val="7"/>
  </w:num>
  <w:num w:numId="28">
    <w:abstractNumId w:val="10"/>
  </w:num>
  <w:num w:numId="29">
    <w:abstractNumId w:val="11"/>
  </w:num>
  <w:num w:numId="30">
    <w:abstractNumId w:val="5"/>
  </w:num>
  <w:num w:numId="31">
    <w:abstractNumId w:val="17"/>
  </w:num>
  <w:num w:numId="32">
    <w:abstractNumId w:val="4"/>
  </w:num>
  <w:num w:numId="33">
    <w:abstractNumId w:val="12"/>
  </w:num>
  <w:num w:numId="34">
    <w:abstractNumId w:val="14"/>
  </w:num>
  <w:num w:numId="35">
    <w:abstractNumId w:val="15"/>
  </w:num>
  <w:num w:numId="36">
    <w:abstractNumId w:val="6"/>
  </w:num>
  <w:num w:numId="37">
    <w:abstractNumId w:val="13"/>
  </w:num>
  <w:num w:numId="38">
    <w:abstractNumId w:val="19"/>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removePersonalInformation/>
  <w:removeDateAndTime/>
  <w:doNotDisplayPageBoundaries/>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R_RefLast" w:val="0"/>
    <w:docVar w:name="DQCDateTime" w:val="2026-09-08 15:06:08"/>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ACCOMPAGNANT" w:val="la"/>
    <w:docVar w:name="LW_ACCOMPAGNANT.CP" w:val="la"/>
    <w:docVar w:name="LW_ANNEX_NBR_FIRST" w:val="1"/>
    <w:docVar w:name="LW_ANNEX_NBR_LAST" w:val="2"/>
    <w:docVar w:name="LW_ANNEX_UNIQUE" w:val="0"/>
    <w:docVar w:name="LW_CORRIGENDUM" w:val="&lt;UNUSED&gt;"/>
    <w:docVar w:name="LW_COVERPAGE_EXISTS" w:val="True"/>
    <w:docVar w:name="LW_COVERPAGE_GUID" w:val="764D65DE-8826-4C82-9B20-B97875B2FD67"/>
    <w:docVar w:name="LW_COVERPAGE_TYPE" w:val="1"/>
    <w:docVar w:name="LW_CreatedUtc" w:val="2026-07-07T15:55:04.0317398Z"/>
    <w:docVar w:name="LW_CROSSREFERENCE" w:val="{COM(2026) 619 final} - {COM(2026) 620 final} - {SEC(2026) 616 final} - {SWD(2026) 616 final} - {SWD(2026) 617 final} - {SWD(2026) 618 final}"/>
    <w:docVar w:name="LW_DocType" w:val="ANNEX"/>
    <w:docVar w:name="LW_EMISSION" w:val="17.7.2026"/>
    <w:docVar w:name="LW_EMISSION_ISODATE" w:val="2026-07-17"/>
    <w:docVar w:name="LW_EMISSION_LOCATION" w:val="BRX"/>
    <w:docVar w:name="LW_EMISSION_PREFIX" w:val="Bruxelles, "/>
    <w:docVar w:name="LW_EMISSION_SUFFIX" w:val=" "/>
    <w:docVar w:name="LW_ID_DOCSTRUCTURE" w:val="COM/ANNEX"/>
    <w:docVar w:name="LW_ID_DOCTYPE" w:val="SG-017"/>
    <w:docVar w:name="LW_LANGUE" w:val="RO"/>
    <w:docVar w:name="LW_LEVEL_OF_SENSITIVITY" w:val="Standard treatment"/>
    <w:docVar w:name="LW_NOM.INST" w:val="COMISIA EUROPEAN\u258?"/>
    <w:docVar w:name="LW_NOM.INST_JOINTDOC" w:val="&lt;EMPTY&gt;"/>
    <w:docVar w:name="LW_OBJETACTEPRINCIPAL" w:val="&lt;FMT:Bold&gt;de modificare a Directivei 2003/87/CE \u537?i a Deciziei (UE) 2015/1814 în ceea ce prive\u537?te stimularea competitivit\u259?\u539?ii \u537?i a decarboniz\u259?rii eficiente din punctul de vedere al costurilor&lt;/FMT&gt;_x000b_"/>
    <w:docVar w:name="LW_OBJETACTEPRINCIPAL.CP" w:val="&lt;FMT:Bold&gt;de modificare a Directivei 2003/87/CE \u537?i a Deciziei (UE) 2015/1814 în ceea ce prive\u537?te stimularea competitivit\u259?\u539?ii \u537?i a decarboniz\u259?rii eficiente din punctul de vedere al costurilor&lt;/FMT&gt;_x000b_"/>
    <w:docVar w:name="LW_PART_NBR" w:val="&lt;UNUSED&gt;"/>
    <w:docVar w:name="LW_PART_NBR_TOTAL" w:val="&lt;UNUSED&gt;"/>
    <w:docVar w:name="LW_REF.INST.NEW" w:val="COM"/>
    <w:docVar w:name="LW_REF.INST.NEW_ADOPTED" w:val="final"/>
    <w:docVar w:name="LW_REF.INST.NEW_TEXT" w:val="(2026) 616"/>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 w:val="ANEXE"/>
    <w:docVar w:name="LW_TYPE.DOC.CP" w:val="ANEXE"/>
    <w:docVar w:name="LW_TYPEACTEPRINCIPAL" w:val="Propunerea de Directiv\u259? a Parlamentului European \u537?i a Consiliului"/>
    <w:docVar w:name="LW_TYPEACTEPRINCIPAL.CP" w:val="Propunerea de Directiv\u259? a Parlamentului European \u537?i a Consiliului"/>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31"/>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1"/>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1"/>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1"/>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1"/>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1"/>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1"/>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pPr>
      <w:spacing w:before="120" w:after="120" w:line="240" w:lineRule="auto"/>
      <w:jc w:val="both"/>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aliases w:val=" Znak Znak Znak,Znak Znak Znak,toc 2,TOC 21"/>
    <w:uiPriority w:val="99"/>
    <w:qFormat/>
    <w:rPr>
      <w:color w:val="0000FF"/>
      <w:u w:val="single"/>
    </w:rPr>
  </w:style>
  <w:style w:type="paragraph" w:styleId="ListNumber2">
    <w:name w:val="List Number 2"/>
    <w:basedOn w:val="Normal"/>
    <w:pPr>
      <w:numPr>
        <w:numId w:val="1"/>
      </w:numPr>
      <w:tabs>
        <w:tab w:val="clear" w:pos="1560"/>
      </w:tabs>
      <w:ind w:left="0" w:firstLine="0"/>
    </w:pPr>
    <w:rPr>
      <w:rFonts w:eastAsia="Times New Roman"/>
      <w:lang w:eastAsia="en-GB"/>
    </w:rPr>
  </w:style>
  <w:style w:type="paragraph" w:customStyle="1" w:styleId="ListNumber2Level2">
    <w:name w:val="List Number 2 (Level 2)"/>
    <w:basedOn w:val="Text2"/>
    <w:pPr>
      <w:numPr>
        <w:ilvl w:val="1"/>
        <w:numId w:val="1"/>
      </w:numPr>
      <w:tabs>
        <w:tab w:val="clear" w:pos="2268"/>
      </w:tabs>
      <w:ind w:left="0" w:firstLine="0"/>
    </w:pPr>
    <w:rPr>
      <w:rFonts w:eastAsia="Times New Roman"/>
      <w:lang w:eastAsia="en-GB"/>
    </w:rPr>
  </w:style>
  <w:style w:type="paragraph" w:customStyle="1" w:styleId="ListNumber2Level3">
    <w:name w:val="List Number 2 (Level 3)"/>
    <w:basedOn w:val="Text2"/>
    <w:pPr>
      <w:numPr>
        <w:ilvl w:val="2"/>
        <w:numId w:val="1"/>
      </w:numPr>
      <w:tabs>
        <w:tab w:val="clear" w:pos="2977"/>
      </w:tabs>
      <w:ind w:left="0" w:firstLine="0"/>
    </w:pPr>
    <w:rPr>
      <w:rFonts w:eastAsia="Times New Roman"/>
      <w:lang w:eastAsia="en-GB"/>
    </w:rPr>
  </w:style>
  <w:style w:type="paragraph" w:customStyle="1" w:styleId="ListNumber2Level4">
    <w:name w:val="List Number 2 (Level 4)"/>
    <w:basedOn w:val="Text2"/>
    <w:pPr>
      <w:numPr>
        <w:ilvl w:val="3"/>
        <w:numId w:val="1"/>
      </w:numPr>
      <w:tabs>
        <w:tab w:val="clear" w:pos="3686"/>
      </w:tabs>
      <w:ind w:left="0" w:firstLine="0"/>
    </w:pPr>
    <w:rPr>
      <w:rFonts w:eastAsia="Times New Roman"/>
      <w:lang w:eastAsia="en-GB"/>
    </w:rPr>
  </w:style>
  <w:style w:type="character" w:styleId="CommentReference">
    <w:name w:val="annotation reference"/>
    <w:uiPriority w:val="99"/>
    <w:rPr>
      <w:rFonts w:cs="Times New Roman"/>
      <w:sz w:val="16"/>
      <w:szCs w:val="16"/>
    </w:rPr>
  </w:style>
  <w:style w:type="paragraph" w:styleId="CommentText">
    <w:name w:val="annotation text"/>
    <w:aliases w:val="Text poznámky"/>
    <w:basedOn w:val="Normal"/>
    <w:link w:val="CommentTextChar"/>
    <w:uiPriority w:val="99"/>
    <w:rPr>
      <w:rFonts w:eastAsia="Times New Roman"/>
      <w:sz w:val="20"/>
      <w:szCs w:val="20"/>
      <w:lang w:eastAsia="en-GB"/>
    </w:rPr>
  </w:style>
  <w:style w:type="character" w:customStyle="1" w:styleId="CommentTextChar">
    <w:name w:val="Comment Text Char"/>
    <w:aliases w:val="Text poznámky Char"/>
    <w:basedOn w:val="DefaultParagraphFont"/>
    <w:link w:val="CommentText"/>
    <w:uiPriority w:val="99"/>
    <w:rPr>
      <w:rFonts w:ascii="Times New Roman" w:eastAsia="Times New Roman" w:hAnsi="Times New Roman" w:cs="Times New Roman"/>
      <w:sz w:val="20"/>
      <w:szCs w:val="20"/>
      <w:lang w:val="ro-RO" w:eastAsia="en-GB"/>
    </w:rPr>
  </w:style>
  <w:style w:type="paragraph" w:customStyle="1" w:styleId="Point1letter0">
    <w:name w:val="Point 1 (letter)0"/>
    <w:basedOn w:val="Normal"/>
    <w:pPr>
      <w:tabs>
        <w:tab w:val="num" w:pos="1417"/>
      </w:tabs>
      <w:ind w:left="1417" w:hanging="567"/>
    </w:pPr>
  </w:style>
  <w:style w:type="paragraph" w:styleId="Revision">
    <w:name w:val="Revision"/>
    <w:hidden/>
    <w:uiPriority w:val="99"/>
    <w:semiHidden/>
    <w:pPr>
      <w:spacing w:after="0" w:line="240" w:lineRule="auto"/>
    </w:pPr>
    <w:rPr>
      <w:rFonts w:ascii="Times New Roman" w:hAnsi="Times New Roman" w:cs="Times New Roman"/>
      <w:sz w:val="24"/>
    </w:rPr>
  </w:style>
  <w:style w:type="paragraph" w:styleId="ListBullet">
    <w:name w:val="List Bullet"/>
    <w:basedOn w:val="Normal"/>
    <w:uiPriority w:val="99"/>
    <w:semiHidden/>
    <w:unhideWhenUsed/>
    <w:pPr>
      <w:numPr>
        <w:numId w:val="5"/>
      </w:numPr>
      <w:contextualSpacing/>
    </w:pPr>
  </w:style>
  <w:style w:type="paragraph" w:styleId="ListBullet2">
    <w:name w:val="List Bullet 2"/>
    <w:basedOn w:val="Normal"/>
    <w:uiPriority w:val="99"/>
    <w:semiHidden/>
    <w:unhideWhenUsed/>
    <w:pPr>
      <w:numPr>
        <w:numId w:val="6"/>
      </w:numPr>
      <w:contextualSpacing/>
    </w:pPr>
  </w:style>
  <w:style w:type="paragraph" w:styleId="ListBullet3">
    <w:name w:val="List Bullet 3"/>
    <w:basedOn w:val="Normal"/>
    <w:uiPriority w:val="99"/>
    <w:semiHidden/>
    <w:unhideWhenUsed/>
    <w:pPr>
      <w:numPr>
        <w:numId w:val="7"/>
      </w:numPr>
      <w:contextualSpacing/>
    </w:pPr>
  </w:style>
  <w:style w:type="paragraph" w:styleId="ListBullet4">
    <w:name w:val="List Bullet 4"/>
    <w:basedOn w:val="Normal"/>
    <w:uiPriority w:val="99"/>
    <w:semiHidden/>
    <w:unhideWhenUsed/>
    <w:pPr>
      <w:numPr>
        <w:numId w:val="8"/>
      </w:numPr>
      <w:contextualSpacing/>
    </w:pPr>
  </w:style>
  <w:style w:type="paragraph" w:styleId="CommentSubject">
    <w:name w:val="annotation subject"/>
    <w:basedOn w:val="CommentText"/>
    <w:next w:val="CommentText"/>
    <w:link w:val="CommentSubjectChar"/>
    <w:uiPriority w:val="99"/>
    <w:semiHidden/>
    <w:unhideWhenUsed/>
    <w:rPr>
      <w:rFonts w:eastAsiaTheme="minorHAnsi"/>
      <w:b/>
      <w:bCs/>
      <w:lang w:eastAsia="en-US"/>
    </w:rPr>
  </w:style>
  <w:style w:type="character" w:customStyle="1" w:styleId="CommentSubjectChar">
    <w:name w:val="Comment Subject Char"/>
    <w:basedOn w:val="CommentTextChar"/>
    <w:link w:val="CommentSubject"/>
    <w:uiPriority w:val="99"/>
    <w:semiHidden/>
    <w:rPr>
      <w:rFonts w:ascii="Times New Roman" w:eastAsia="Times New Roman" w:hAnsi="Times New Roman" w:cs="Times New Roman"/>
      <w:b/>
      <w:bCs/>
      <w:sz w:val="20"/>
      <w:szCs w:val="20"/>
      <w:lang w:val="ro-RO" w:eastAsia="en-GB"/>
    </w:rPr>
  </w:style>
  <w:style w:type="character" w:customStyle="1" w:styleId="UnresolvedMention1">
    <w:name w:val="Unresolved Mention1"/>
    <w:basedOn w:val="DefaultParagraphFont"/>
    <w:uiPriority w:val="99"/>
    <w:semiHidden/>
    <w:unhideWhenUsed/>
    <w:rPr>
      <w:color w:val="605E5C"/>
      <w:shd w:val="clear" w:color="auto" w:fill="E1DFDD"/>
    </w:rPr>
  </w:style>
  <w:style w:type="character" w:styleId="UnresolvedMention">
    <w:name w:val="Unresolved Mention"/>
    <w:basedOn w:val="DefaultParagraphFont"/>
    <w:uiPriority w:val="99"/>
    <w:semiHidden/>
    <w:unhideWhenUsed/>
    <w:rPr>
      <w:color w:val="605E5C"/>
      <w:shd w:val="clear" w:color="auto" w:fill="E1DFDD"/>
    </w:rPr>
  </w:style>
  <w:style w:type="character" w:customStyle="1" w:styleId="HeaderChar">
    <w:name w:val="Header Char"/>
    <w:basedOn w:val="DefaultParagraphFont"/>
    <w:link w:val="Header"/>
    <w:uiPriority w:val="99"/>
    <w:rPr>
      <w:rFonts w:ascii="Times New Roman" w:hAnsi="Times New Roman" w:cs="Times New Roman"/>
      <w:sz w:val="24"/>
      <w:lang w:val="ro-RO"/>
    </w:rPr>
  </w:style>
  <w:style w:type="character" w:customStyle="1" w:styleId="FooterChar">
    <w:name w:val="Footer Char"/>
    <w:basedOn w:val="DefaultParagraphFont"/>
    <w:link w:val="Footer"/>
    <w:uiPriority w:val="99"/>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4"/>
      </w:numPr>
    </w:pPr>
  </w:style>
  <w:style w:type="paragraph" w:customStyle="1" w:styleId="Tiret1">
    <w:name w:val="Tiret 1"/>
    <w:basedOn w:val="Point1"/>
    <w:pPr>
      <w:numPr>
        <w:numId w:val="25"/>
      </w:numPr>
    </w:pPr>
  </w:style>
  <w:style w:type="paragraph" w:customStyle="1" w:styleId="Tiret2">
    <w:name w:val="Tiret 2"/>
    <w:basedOn w:val="Point2"/>
    <w:pPr>
      <w:numPr>
        <w:numId w:val="26"/>
      </w:numPr>
    </w:pPr>
  </w:style>
  <w:style w:type="paragraph" w:customStyle="1" w:styleId="Tiret3">
    <w:name w:val="Tiret 3"/>
    <w:basedOn w:val="Point3"/>
    <w:pPr>
      <w:numPr>
        <w:numId w:val="27"/>
      </w:numPr>
    </w:pPr>
  </w:style>
  <w:style w:type="paragraph" w:customStyle="1" w:styleId="Tiret4">
    <w:name w:val="Tiret 4"/>
    <w:basedOn w:val="Point4"/>
    <w:pPr>
      <w:numPr>
        <w:numId w:val="28"/>
      </w:numPr>
    </w:pPr>
  </w:style>
  <w:style w:type="paragraph" w:customStyle="1" w:styleId="Tiret5">
    <w:name w:val="Tiret 5"/>
    <w:basedOn w:val="Point5"/>
    <w:pPr>
      <w:numPr>
        <w:numId w:val="29"/>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0"/>
      </w:numPr>
    </w:pPr>
  </w:style>
  <w:style w:type="paragraph" w:customStyle="1" w:styleId="NumPar2">
    <w:name w:val="NumPar 2"/>
    <w:basedOn w:val="Normal"/>
    <w:next w:val="Text1"/>
    <w:pPr>
      <w:numPr>
        <w:ilvl w:val="1"/>
        <w:numId w:val="30"/>
      </w:numPr>
    </w:pPr>
  </w:style>
  <w:style w:type="paragraph" w:customStyle="1" w:styleId="NumPar3">
    <w:name w:val="NumPar 3"/>
    <w:basedOn w:val="Normal"/>
    <w:next w:val="Text1"/>
    <w:pPr>
      <w:numPr>
        <w:ilvl w:val="2"/>
        <w:numId w:val="30"/>
      </w:numPr>
    </w:pPr>
  </w:style>
  <w:style w:type="paragraph" w:customStyle="1" w:styleId="NumPar4">
    <w:name w:val="NumPar 4"/>
    <w:basedOn w:val="Normal"/>
    <w:next w:val="Text1"/>
    <w:pPr>
      <w:numPr>
        <w:ilvl w:val="3"/>
        <w:numId w:val="30"/>
      </w:numPr>
    </w:pPr>
  </w:style>
  <w:style w:type="paragraph" w:customStyle="1" w:styleId="NumPar5">
    <w:name w:val="NumPar 5"/>
    <w:basedOn w:val="Normal"/>
    <w:next w:val="Text2"/>
    <w:pPr>
      <w:numPr>
        <w:ilvl w:val="4"/>
        <w:numId w:val="30"/>
      </w:numPr>
    </w:pPr>
  </w:style>
  <w:style w:type="paragraph" w:customStyle="1" w:styleId="NumPar6">
    <w:name w:val="NumPar 6"/>
    <w:basedOn w:val="Normal"/>
    <w:next w:val="Text2"/>
    <w:pPr>
      <w:numPr>
        <w:ilvl w:val="5"/>
        <w:numId w:val="30"/>
      </w:numPr>
    </w:pPr>
  </w:style>
  <w:style w:type="paragraph" w:customStyle="1" w:styleId="NumPar7">
    <w:name w:val="NumPar 7"/>
    <w:basedOn w:val="Normal"/>
    <w:next w:val="Text2"/>
    <w:pPr>
      <w:numPr>
        <w:ilvl w:val="6"/>
        <w:numId w:val="30"/>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2"/>
      </w:numPr>
    </w:pPr>
  </w:style>
  <w:style w:type="paragraph" w:customStyle="1" w:styleId="Point1number">
    <w:name w:val="Point 1 (number)"/>
    <w:basedOn w:val="Normal"/>
    <w:pPr>
      <w:numPr>
        <w:ilvl w:val="2"/>
        <w:numId w:val="32"/>
      </w:numPr>
    </w:pPr>
  </w:style>
  <w:style w:type="paragraph" w:customStyle="1" w:styleId="Point2number">
    <w:name w:val="Point 2 (number)"/>
    <w:basedOn w:val="Normal"/>
    <w:pPr>
      <w:numPr>
        <w:ilvl w:val="4"/>
        <w:numId w:val="32"/>
      </w:numPr>
    </w:pPr>
  </w:style>
  <w:style w:type="paragraph" w:customStyle="1" w:styleId="Point3number">
    <w:name w:val="Point 3 (number)"/>
    <w:basedOn w:val="Normal"/>
    <w:pPr>
      <w:numPr>
        <w:ilvl w:val="6"/>
        <w:numId w:val="32"/>
      </w:numPr>
    </w:pPr>
  </w:style>
  <w:style w:type="paragraph" w:customStyle="1" w:styleId="Point0letter">
    <w:name w:val="Point 0 (letter)"/>
    <w:basedOn w:val="Normal"/>
    <w:pPr>
      <w:numPr>
        <w:ilvl w:val="1"/>
        <w:numId w:val="32"/>
      </w:numPr>
    </w:pPr>
  </w:style>
  <w:style w:type="paragraph" w:customStyle="1" w:styleId="Point1letter">
    <w:name w:val="Point 1 (letter)"/>
    <w:basedOn w:val="Normal"/>
    <w:pPr>
      <w:numPr>
        <w:ilvl w:val="3"/>
        <w:numId w:val="32"/>
      </w:numPr>
    </w:pPr>
  </w:style>
  <w:style w:type="paragraph" w:customStyle="1" w:styleId="Point2letter">
    <w:name w:val="Point 2 (letter)"/>
    <w:basedOn w:val="Normal"/>
    <w:pPr>
      <w:numPr>
        <w:ilvl w:val="5"/>
        <w:numId w:val="32"/>
      </w:numPr>
    </w:pPr>
  </w:style>
  <w:style w:type="paragraph" w:customStyle="1" w:styleId="Point3letter">
    <w:name w:val="Point 3 (letter)"/>
    <w:basedOn w:val="Normal"/>
    <w:pPr>
      <w:numPr>
        <w:ilvl w:val="7"/>
        <w:numId w:val="32"/>
      </w:numPr>
    </w:pPr>
  </w:style>
  <w:style w:type="paragraph" w:customStyle="1" w:styleId="Point4letter">
    <w:name w:val="Point 4 (letter)"/>
    <w:basedOn w:val="Normal"/>
    <w:pPr>
      <w:numPr>
        <w:ilvl w:val="8"/>
        <w:numId w:val="32"/>
      </w:numPr>
    </w:pPr>
  </w:style>
  <w:style w:type="paragraph" w:customStyle="1" w:styleId="Bullet0">
    <w:name w:val="Bullet 0"/>
    <w:basedOn w:val="Normal"/>
    <w:pPr>
      <w:numPr>
        <w:numId w:val="33"/>
      </w:numPr>
    </w:pPr>
  </w:style>
  <w:style w:type="paragraph" w:customStyle="1" w:styleId="Bullet1">
    <w:name w:val="Bullet 1"/>
    <w:basedOn w:val="Normal"/>
    <w:pPr>
      <w:numPr>
        <w:numId w:val="34"/>
      </w:numPr>
    </w:pPr>
  </w:style>
  <w:style w:type="paragraph" w:customStyle="1" w:styleId="Bullet2">
    <w:name w:val="Bullet 2"/>
    <w:basedOn w:val="Normal"/>
    <w:pPr>
      <w:numPr>
        <w:numId w:val="35"/>
      </w:numPr>
    </w:pPr>
  </w:style>
  <w:style w:type="paragraph" w:customStyle="1" w:styleId="Bullet3">
    <w:name w:val="Bullet 3"/>
    <w:basedOn w:val="Normal"/>
    <w:pPr>
      <w:numPr>
        <w:numId w:val="36"/>
      </w:numPr>
    </w:pPr>
  </w:style>
  <w:style w:type="paragraph" w:customStyle="1" w:styleId="Bullet4">
    <w:name w:val="Bullet 4"/>
    <w:basedOn w:val="Normal"/>
    <w:pPr>
      <w:numPr>
        <w:numId w:val="37"/>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8"/>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pPr>
      <w:spacing w:before="360" w:after="240"/>
      <w:jc w:val="center"/>
    </w:pPr>
  </w:style>
  <w:style w:type="paragraph" w:styleId="Header">
    <w:name w:val="header"/>
    <w:basedOn w:val="Normal"/>
    <w:link w:val="HeaderChar"/>
    <w:uiPriority w:val="99"/>
    <w:unhideWhenUsed/>
    <w:pPr>
      <w:tabs>
        <w:tab w:val="center" w:pos="4535"/>
        <w:tab w:val="right" w:pos="9071"/>
      </w:tabs>
      <w:spacing w:before="0"/>
    </w:pPr>
  </w:style>
  <w:style w:type="paragraph" w:customStyle="1" w:styleId="HeaderLandscape">
    <w:name w:val="HeaderLandscape"/>
    <w:basedOn w:val="Normal"/>
    <w:pPr>
      <w:tabs>
        <w:tab w:val="center" w:pos="7285"/>
        <w:tab w:val="right" w:pos="14003"/>
      </w:tabs>
      <w:spacing w:before="0"/>
    </w:p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header" Target="header3.xml"/><Relationship Id="rId17" Type="http://schemas.openxmlformats.org/officeDocument/2006/relationships/header" Target="header5.xml"/><Relationship Id="rId2" Type="http://schemas.openxmlformats.org/officeDocument/2006/relationships/styles" Target="styles.xml"/><Relationship Id="rId16" Type="http://schemas.openxmlformats.org/officeDocument/2006/relationships/footer" Target="footer5.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ANNEX.dotm</Template>
  <TotalTime>0</TotalTime>
  <Pages>3</Pages>
  <Words>1095</Words>
  <Characters>6247</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2026-07-17T07:05:00Z</dcterms:created>
  <dcterms:modified xsi:type="dcterms:W3CDTF">2026-09-08T13:06:00Z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9.2, Build 20250828</vt:lpwstr>
  </property>
  <property fmtid="{D5CDD505-2E9C-101B-9397-08002B2CF9AE}" pid="3" name="MSIP_Label_6bd9ddd1-4d20-43f6-abfa-fc3c07406f94_Enabled">
    <vt:lpwstr>true</vt:lpwstr>
  </property>
  <property fmtid="{D5CDD505-2E9C-101B-9397-08002B2CF9AE}" pid="4" name="MSIP_Label_6bd9ddd1-4d20-43f6-abfa-fc3c07406f94_SetDate">
    <vt:lpwstr>2026-07-15T15:13:13Z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02a9ce12-7e9d-4fc1-9ee9-2353cf1b06e6</vt:lpwstr>
  </property>
  <property fmtid="{D5CDD505-2E9C-101B-9397-08002B2CF9AE}" pid="9" name="MSIP_Label_6bd9ddd1-4d20-43f6-abfa-fc3c07406f94_ContentBits">
    <vt:lpwstr>0</vt:lpwstr>
  </property>
  <property fmtid="{D5CDD505-2E9C-101B-9397-08002B2CF9AE}" pid="10" name="MSIP_Label_6bd9ddd1-4d20-43f6-abfa-fc3c07406f94_Tag">
    <vt:lpwstr>10, 3, 0, 1</vt:lpwstr>
  </property>
  <property fmtid="{D5CDD505-2E9C-101B-9397-08002B2CF9AE}" pid="11" name="Category">
    <vt:lpwstr>COM/ANNEX</vt:lpwstr>
  </property>
  <property fmtid="{D5CDD505-2E9C-101B-9397-08002B2CF9AE}" pid="12" name="Level of sensitivity">
    <vt:lpwstr>Standard treatment</vt:lpwstr>
  </property>
  <property fmtid="{D5CDD505-2E9C-101B-9397-08002B2CF9AE}" pid="13" name="First annex">
    <vt:lpwstr>1</vt:lpwstr>
  </property>
  <property fmtid="{D5CDD505-2E9C-101B-9397-08002B2CF9AE}" pid="14" name="Last annex">
    <vt:lpwstr>2</vt:lpwstr>
  </property>
  <property fmtid="{D5CDD505-2E9C-101B-9397-08002B2CF9AE}" pid="15" name="Unique annex">
    <vt:lpwstr>0</vt:lpwstr>
  </property>
  <property fmtid="{D5CDD505-2E9C-101B-9397-08002B2CF9AE}" pid="16" name="Part">
    <vt:lpwstr>&lt;UNUSED&gt;</vt:lpwstr>
  </property>
  <property fmtid="{D5CDD505-2E9C-101B-9397-08002B2CF9AE}" pid="17" name="Total parts">
    <vt:lpwstr>&lt;UNUSED&gt;</vt:lpwstr>
  </property>
  <property fmtid="{D5CDD505-2E9C-101B-9397-08002B2CF9AE}" pid="18" name="LWTemplateID">
    <vt:lpwstr>SG-017</vt:lpwstr>
  </property>
  <property fmtid="{D5CDD505-2E9C-101B-9397-08002B2CF9AE}" pid="19" name="DQCStatus">
    <vt:lpwstr>Green (DQC version 03)</vt:lpwstr>
  </property>
</Properties>
</file>